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8.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drawings/drawing4.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drawings/drawing5.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6.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7.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8.xml" ContentType="application/vnd.openxmlformats-officedocument.drawingml.chartshapes+xml"/>
  <Override PartName="/word/charts/chart25.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5.xml" ContentType="application/vnd.openxmlformats-officedocument.themeOverride+xml"/>
  <Override PartName="/word/drawings/drawing9.xml" ContentType="application/vnd.openxmlformats-officedocument.drawingml.chartshapes+xml"/>
  <Override PartName="/word/charts/chart26.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6.xml" ContentType="application/vnd.openxmlformats-officedocument.themeOverride+xml"/>
  <Override PartName="/word/drawings/drawing10.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drawings/drawing11.xml" ContentType="application/vnd.openxmlformats-officedocument.drawingml.chartshapes+xml"/>
  <Override PartName="/word/charts/chart30.xml" ContentType="application/vnd.openxmlformats-officedocument.drawingml.chart+xml"/>
  <Override PartName="/word/theme/themeOverride30.xml" ContentType="application/vnd.openxmlformats-officedocument.themeOverride+xml"/>
  <Override PartName="/word/drawings/drawing12.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13.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drawings/drawing14.xml" ContentType="application/vnd.openxmlformats-officedocument.drawingml.chartshapes+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drawings/drawing15.xml" ContentType="application/vnd.openxmlformats-officedocument.drawingml.chartshapes+xml"/>
  <Override PartName="/word/charts/chart37.xml" ContentType="application/vnd.openxmlformats-officedocument.drawingml.chart+xml"/>
  <Override PartName="/word/theme/themeOverride37.xml" ContentType="application/vnd.openxmlformats-officedocument.themeOverride+xml"/>
  <Override PartName="/word/drawings/drawing16.xml" ContentType="application/vnd.openxmlformats-officedocument.drawingml.chartshapes+xml"/>
  <Override PartName="/word/charts/chart38.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7.xml" ContentType="application/vnd.openxmlformats-officedocument.drawingml.chartshapes+xml"/>
  <Override PartName="/word/charts/chart53.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18.xml" ContentType="application/vnd.openxmlformats-officedocument.drawingml.chartshapes+xml"/>
  <Override PartName="/word/charts/chart54.xml" ContentType="application/vnd.openxmlformats-officedocument.drawingml.chart+xml"/>
  <Override PartName="/word/theme/themeOverride52.xml" ContentType="application/vnd.openxmlformats-officedocument.themeOverride+xml"/>
  <Override PartName="/word/drawings/drawing19.xml" ContentType="application/vnd.openxmlformats-officedocument.drawingml.chartshapes+xml"/>
  <Override PartName="/word/charts/chart55.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20.xml" ContentType="application/vnd.openxmlformats-officedocument.drawingml.chartshapes+xml"/>
  <Override PartName="/word/charts/chart56.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21.xml" ContentType="application/vnd.openxmlformats-officedocument.drawingml.chartshapes+xml"/>
  <Override PartName="/word/charts/chart57.xml" ContentType="application/vnd.openxmlformats-officedocument.drawingml.chart+xml"/>
  <Override PartName="/word/theme/themeOverride53.xml" ContentType="application/vnd.openxmlformats-officedocument.themeOverride+xml"/>
  <Override PartName="/word/drawings/drawing22.xml" ContentType="application/vnd.openxmlformats-officedocument.drawingml.chartshapes+xml"/>
  <Override PartName="/word/charts/chart58.xml" ContentType="application/vnd.openxmlformats-officedocument.drawingml.chart+xml"/>
  <Override PartName="/word/theme/themeOverride54.xml" ContentType="application/vnd.openxmlformats-officedocument.themeOverride+xml"/>
  <Override PartName="/word/drawings/drawing23.xml" ContentType="application/vnd.openxmlformats-officedocument.drawingml.chartshapes+xml"/>
  <Override PartName="/word/charts/chart59.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6A1138" w14:textId="77777777" w:rsidR="00522278" w:rsidRPr="00522278" w:rsidRDefault="00522278" w:rsidP="00522278">
      <w:pPr>
        <w:tabs>
          <w:tab w:val="right" w:leader="dot" w:pos="10198"/>
        </w:tabs>
        <w:spacing w:before="0" w:line="240" w:lineRule="auto"/>
        <w:jc w:val="left"/>
        <w:rPr>
          <w:rFonts w:cs="Sylfaen"/>
          <w:bCs/>
          <w:caps/>
          <w:noProof/>
          <w:color w:val="000000"/>
          <w:sz w:val="20"/>
          <w:szCs w:val="20"/>
          <w:lang w:val="en-US" w:eastAsia="en-US"/>
        </w:rPr>
      </w:pPr>
      <w:bookmarkStart w:id="0" w:name="_Toc51947410"/>
      <w:bookmarkStart w:id="1" w:name="_Toc52452083"/>
      <w:bookmarkStart w:id="2" w:name="_Toc45838512"/>
      <w:bookmarkStart w:id="3" w:name="_Toc46154342"/>
      <w:bookmarkStart w:id="4" w:name="_Toc57559411"/>
      <w:bookmarkStart w:id="5" w:name="_Toc83663893"/>
      <w:bookmarkStart w:id="6" w:name="_Toc83972829"/>
      <w:bookmarkStart w:id="7" w:name="_Toc153184460"/>
      <w:bookmarkStart w:id="8" w:name="_Toc46760415"/>
    </w:p>
    <w:p w14:paraId="3E23785F" w14:textId="77777777" w:rsidR="00522278" w:rsidRPr="00522278" w:rsidRDefault="00522278" w:rsidP="00522278">
      <w:pPr>
        <w:spacing w:before="0" w:line="240" w:lineRule="auto"/>
        <w:jc w:val="left"/>
        <w:rPr>
          <w:rFonts w:ascii="Arial Armenian" w:hAnsi="Arial Armenian"/>
          <w:b w:val="0"/>
          <w:sz w:val="24"/>
          <w:lang w:val="en-US" w:eastAsia="en-US"/>
        </w:rPr>
      </w:pPr>
    </w:p>
    <w:p w14:paraId="71CDA4FB" w14:textId="77777777" w:rsidR="00522278" w:rsidRPr="00522278" w:rsidRDefault="00522278" w:rsidP="00522278">
      <w:pPr>
        <w:tabs>
          <w:tab w:val="right" w:leader="dot" w:pos="10198"/>
        </w:tabs>
        <w:spacing w:before="0" w:line="240" w:lineRule="auto"/>
        <w:jc w:val="center"/>
        <w:rPr>
          <w:rFonts w:cs="Sylfaen"/>
          <w:bCs/>
          <w:caps/>
          <w:noProof/>
          <w:color w:val="000000"/>
          <w:sz w:val="24"/>
          <w:lang w:val="en-US" w:eastAsia="en-US"/>
        </w:rPr>
      </w:pPr>
      <w:r w:rsidRPr="00522278">
        <w:rPr>
          <w:rFonts w:cs="Sylfaen"/>
          <w:bCs/>
          <w:caps/>
          <w:noProof/>
          <w:color w:val="000000"/>
          <w:sz w:val="24"/>
          <w:lang w:val="en-US" w:eastAsia="en-US"/>
        </w:rPr>
        <w:t>ԲՈՎԱՆԴԱԿՈՒԹՅՈՒՆ</w:t>
      </w:r>
    </w:p>
    <w:p w14:paraId="793F3488" w14:textId="77777777" w:rsidR="00522278" w:rsidRPr="00522278" w:rsidRDefault="00522278" w:rsidP="00522278">
      <w:pPr>
        <w:tabs>
          <w:tab w:val="left" w:pos="0"/>
        </w:tabs>
        <w:spacing w:before="0" w:line="240" w:lineRule="auto"/>
        <w:jc w:val="left"/>
        <w:rPr>
          <w:szCs w:val="22"/>
          <w:lang w:val="en-US" w:eastAsia="en-US"/>
        </w:rPr>
      </w:pPr>
      <w:bookmarkStart w:id="9" w:name="_Toc71283303"/>
      <w:bookmarkStart w:id="10" w:name="_Toc71283304"/>
    </w:p>
    <w:p w14:paraId="08CF2F49" w14:textId="77777777" w:rsidR="00522278" w:rsidRPr="00522278" w:rsidRDefault="00522278" w:rsidP="00522278">
      <w:pPr>
        <w:tabs>
          <w:tab w:val="left" w:pos="0"/>
        </w:tabs>
        <w:spacing w:before="0" w:line="240" w:lineRule="auto"/>
        <w:jc w:val="left"/>
        <w:rPr>
          <w:szCs w:val="22"/>
          <w:lang w:val="en-US" w:eastAsia="en-US"/>
        </w:rPr>
      </w:pPr>
    </w:p>
    <w:sdt>
      <w:sdtPr>
        <w:rPr>
          <w:rFonts w:ascii="Arial Armenian" w:hAnsi="Arial Armenian"/>
          <w:b w:val="0"/>
          <w:color w:val="0563C1"/>
          <w:szCs w:val="22"/>
          <w:u w:val="single"/>
          <w:lang w:val="hy-AM" w:eastAsia="en-US"/>
        </w:rPr>
        <w:id w:val="-1015307837"/>
        <w:docPartObj>
          <w:docPartGallery w:val="Table of Contents"/>
          <w:docPartUnique/>
        </w:docPartObj>
      </w:sdtPr>
      <w:sdtEndPr>
        <w:rPr>
          <w:color w:val="auto"/>
          <w:sz w:val="24"/>
          <w:szCs w:val="24"/>
          <w:u w:val="none"/>
          <w:lang w:val="en-US"/>
        </w:rPr>
      </w:sdtEndPr>
      <w:sdtContent>
        <w:p w14:paraId="1657D0CC" w14:textId="083BF38D" w:rsidR="00522278" w:rsidRDefault="00522278">
          <w:pPr>
            <w:pStyle w:val="TOC1"/>
            <w:rPr>
              <w:rFonts w:asciiTheme="minorHAnsi" w:eastAsiaTheme="minorEastAsia" w:hAnsiTheme="minorHAnsi" w:cstheme="minorBidi"/>
              <w:b w:val="0"/>
              <w:noProof/>
              <w:szCs w:val="22"/>
              <w:lang w:val="en-US" w:eastAsia="en-US"/>
            </w:rPr>
          </w:pPr>
          <w:r w:rsidRPr="00522278">
            <w:rPr>
              <w:rFonts w:cs="Sylfaen"/>
              <w:bCs/>
              <w:caps/>
              <w:noProof/>
              <w:color w:val="000000"/>
              <w:sz w:val="20"/>
              <w:szCs w:val="20"/>
              <w:lang w:val="en-US" w:eastAsia="en-US"/>
            </w:rPr>
            <w:fldChar w:fldCharType="begin"/>
          </w:r>
          <w:r w:rsidRPr="00522278">
            <w:rPr>
              <w:rFonts w:cs="Sylfaen"/>
              <w:bCs/>
              <w:caps/>
              <w:noProof/>
              <w:color w:val="000000"/>
              <w:sz w:val="20"/>
              <w:szCs w:val="20"/>
              <w:lang w:val="en-US" w:eastAsia="en-US"/>
            </w:rPr>
            <w:instrText xml:space="preserve"> TOC \o "1-3" \h \z \u </w:instrText>
          </w:r>
          <w:r w:rsidRPr="00522278">
            <w:rPr>
              <w:rFonts w:cs="Sylfaen"/>
              <w:bCs/>
              <w:caps/>
              <w:noProof/>
              <w:color w:val="000000"/>
              <w:sz w:val="20"/>
              <w:szCs w:val="20"/>
              <w:lang w:val="en-US" w:eastAsia="en-US"/>
            </w:rPr>
            <w:fldChar w:fldCharType="separate"/>
          </w:r>
          <w:hyperlink w:anchor="_Toc165901451" w:history="1">
            <w:r w:rsidRPr="004D3121">
              <w:rPr>
                <w:rStyle w:val="Hyperlink"/>
                <w:noProof/>
              </w:rPr>
              <w:t>ՄԱԿՐՈՏՆՏԵՍԱԿԱՆ ԶԱՐԳԱՑՈՒՄՆԵՐ ԵՎ ԿԱՆԽԱՏԵՍՈՒՄՆԵՐ</w:t>
            </w:r>
            <w:r>
              <w:rPr>
                <w:noProof/>
                <w:webHidden/>
              </w:rPr>
              <w:tab/>
            </w:r>
            <w:r>
              <w:rPr>
                <w:noProof/>
                <w:webHidden/>
              </w:rPr>
              <w:fldChar w:fldCharType="begin"/>
            </w:r>
            <w:r>
              <w:rPr>
                <w:noProof/>
                <w:webHidden/>
              </w:rPr>
              <w:instrText xml:space="preserve"> PAGEREF _Toc165901451 \h </w:instrText>
            </w:r>
            <w:r>
              <w:rPr>
                <w:noProof/>
                <w:webHidden/>
              </w:rPr>
            </w:r>
            <w:r>
              <w:rPr>
                <w:noProof/>
                <w:webHidden/>
              </w:rPr>
              <w:fldChar w:fldCharType="separate"/>
            </w:r>
            <w:r>
              <w:rPr>
                <w:noProof/>
                <w:webHidden/>
              </w:rPr>
              <w:t>3</w:t>
            </w:r>
            <w:r>
              <w:rPr>
                <w:noProof/>
                <w:webHidden/>
              </w:rPr>
              <w:fldChar w:fldCharType="end"/>
            </w:r>
          </w:hyperlink>
        </w:p>
        <w:p w14:paraId="41F1D3C9" w14:textId="5229F590" w:rsidR="00522278" w:rsidRDefault="00522278">
          <w:pPr>
            <w:pStyle w:val="TOC3"/>
            <w:rPr>
              <w:rFonts w:asciiTheme="minorHAnsi" w:eastAsiaTheme="minorEastAsia" w:hAnsiTheme="minorHAnsi" w:cstheme="minorBidi"/>
              <w:b w:val="0"/>
              <w:noProof/>
              <w:szCs w:val="22"/>
              <w:lang w:val="en-US" w:eastAsia="en-US"/>
            </w:rPr>
          </w:pPr>
          <w:hyperlink w:anchor="_Toc165901452" w:history="1">
            <w:r w:rsidRPr="004D3121">
              <w:rPr>
                <w:rStyle w:val="Hyperlink"/>
                <w:rFonts w:eastAsiaTheme="majorEastAsia" w:cstheme="majorBidi"/>
                <w:bCs/>
                <w:noProof/>
                <w:lang w:val="hy-AM" w:eastAsia="en-US"/>
              </w:rPr>
              <w:t>1.1 ՄԱԿՐՈՏՆՏԵՍԱԿԱՆ ԱՄՓՈՓԱԳԻՐ ԵՎ ՇՐՋԱՆԱԿ</w:t>
            </w:r>
            <w:r>
              <w:rPr>
                <w:noProof/>
                <w:webHidden/>
              </w:rPr>
              <w:tab/>
            </w:r>
            <w:r>
              <w:rPr>
                <w:noProof/>
                <w:webHidden/>
              </w:rPr>
              <w:fldChar w:fldCharType="begin"/>
            </w:r>
            <w:r>
              <w:rPr>
                <w:noProof/>
                <w:webHidden/>
              </w:rPr>
              <w:instrText xml:space="preserve"> PAGEREF _Toc165901452 \h </w:instrText>
            </w:r>
            <w:r>
              <w:rPr>
                <w:noProof/>
                <w:webHidden/>
              </w:rPr>
            </w:r>
            <w:r>
              <w:rPr>
                <w:noProof/>
                <w:webHidden/>
              </w:rPr>
              <w:fldChar w:fldCharType="separate"/>
            </w:r>
            <w:r>
              <w:rPr>
                <w:noProof/>
                <w:webHidden/>
              </w:rPr>
              <w:t>3</w:t>
            </w:r>
            <w:r>
              <w:rPr>
                <w:noProof/>
                <w:webHidden/>
              </w:rPr>
              <w:fldChar w:fldCharType="end"/>
            </w:r>
          </w:hyperlink>
        </w:p>
        <w:p w14:paraId="7556B044" w14:textId="6913EBE5" w:rsidR="00522278" w:rsidRDefault="00522278">
          <w:pPr>
            <w:pStyle w:val="TOC3"/>
            <w:rPr>
              <w:rFonts w:asciiTheme="minorHAnsi" w:eastAsiaTheme="minorEastAsia" w:hAnsiTheme="minorHAnsi" w:cstheme="minorBidi"/>
              <w:b w:val="0"/>
              <w:noProof/>
              <w:szCs w:val="22"/>
              <w:lang w:val="en-US" w:eastAsia="en-US"/>
            </w:rPr>
          </w:pPr>
          <w:hyperlink w:anchor="_Toc165901453" w:history="1">
            <w:r w:rsidRPr="004D3121">
              <w:rPr>
                <w:rStyle w:val="Hyperlink"/>
                <w:rFonts w:eastAsiaTheme="majorEastAsia" w:cstheme="majorBidi"/>
                <w:bCs/>
                <w:noProof/>
                <w:lang w:val="hy-AM" w:eastAsia="en-US"/>
              </w:rPr>
              <w:t>1.2. ՀԱՄԱՇԽԱՐՀԱՅԻՆ ՏՆՏԵՍՈՒԹՅԱՆ ԵՎ ԳՈՐԾԸՆԿԵՐ ԵՐԿՐՆԵՐԻ ԶԱՐԳԱՑՈՒՄՆԵՐ ԵՎ ԿԱՆԽԱՏԵՍՈՒՄՆԵՐ</w:t>
            </w:r>
            <w:r>
              <w:rPr>
                <w:noProof/>
                <w:webHidden/>
              </w:rPr>
              <w:tab/>
            </w:r>
            <w:r>
              <w:rPr>
                <w:noProof/>
                <w:webHidden/>
              </w:rPr>
              <w:fldChar w:fldCharType="begin"/>
            </w:r>
            <w:r>
              <w:rPr>
                <w:noProof/>
                <w:webHidden/>
              </w:rPr>
              <w:instrText xml:space="preserve"> PAGEREF _Toc165901453 \h </w:instrText>
            </w:r>
            <w:r>
              <w:rPr>
                <w:noProof/>
                <w:webHidden/>
              </w:rPr>
            </w:r>
            <w:r>
              <w:rPr>
                <w:noProof/>
                <w:webHidden/>
              </w:rPr>
              <w:fldChar w:fldCharType="separate"/>
            </w:r>
            <w:r>
              <w:rPr>
                <w:noProof/>
                <w:webHidden/>
              </w:rPr>
              <w:t>6</w:t>
            </w:r>
            <w:r>
              <w:rPr>
                <w:noProof/>
                <w:webHidden/>
              </w:rPr>
              <w:fldChar w:fldCharType="end"/>
            </w:r>
          </w:hyperlink>
        </w:p>
        <w:p w14:paraId="19B51046" w14:textId="1220BF11" w:rsidR="00522278" w:rsidRDefault="00522278">
          <w:pPr>
            <w:pStyle w:val="TOC3"/>
            <w:rPr>
              <w:rFonts w:asciiTheme="minorHAnsi" w:eastAsiaTheme="minorEastAsia" w:hAnsiTheme="minorHAnsi" w:cstheme="minorBidi"/>
              <w:b w:val="0"/>
              <w:noProof/>
              <w:szCs w:val="22"/>
              <w:lang w:val="en-US" w:eastAsia="en-US"/>
            </w:rPr>
          </w:pPr>
          <w:hyperlink w:anchor="_Toc165901454" w:history="1">
            <w:r w:rsidRPr="004D3121">
              <w:rPr>
                <w:rStyle w:val="Hyperlink"/>
                <w:rFonts w:eastAsiaTheme="majorEastAsia" w:cstheme="majorBidi"/>
                <w:bCs/>
                <w:noProof/>
                <w:lang w:val="hy-AM" w:eastAsia="en-US"/>
              </w:rPr>
              <w:t>1.3. ՀՀ ՄԱԿՐՈՏՆՏԵՍԱԿԱՆ ԶԱՐԳԱՑՈՒՄՆԵՐ ԵՎ ԿԱՆԽԱՏԵՍՈՒՄՆԵՐ</w:t>
            </w:r>
            <w:r>
              <w:rPr>
                <w:noProof/>
                <w:webHidden/>
              </w:rPr>
              <w:tab/>
            </w:r>
            <w:r>
              <w:rPr>
                <w:noProof/>
                <w:webHidden/>
              </w:rPr>
              <w:fldChar w:fldCharType="begin"/>
            </w:r>
            <w:r>
              <w:rPr>
                <w:noProof/>
                <w:webHidden/>
              </w:rPr>
              <w:instrText xml:space="preserve"> PAGEREF _Toc165901454 \h </w:instrText>
            </w:r>
            <w:r>
              <w:rPr>
                <w:noProof/>
                <w:webHidden/>
              </w:rPr>
            </w:r>
            <w:r>
              <w:rPr>
                <w:noProof/>
                <w:webHidden/>
              </w:rPr>
              <w:fldChar w:fldCharType="separate"/>
            </w:r>
            <w:r>
              <w:rPr>
                <w:noProof/>
                <w:webHidden/>
              </w:rPr>
              <w:t>11</w:t>
            </w:r>
            <w:r>
              <w:rPr>
                <w:noProof/>
                <w:webHidden/>
              </w:rPr>
              <w:fldChar w:fldCharType="end"/>
            </w:r>
          </w:hyperlink>
        </w:p>
        <w:p w14:paraId="523E12BD" w14:textId="1E1EF509" w:rsidR="00522278" w:rsidRDefault="00522278">
          <w:pPr>
            <w:pStyle w:val="TOC3"/>
            <w:rPr>
              <w:rFonts w:asciiTheme="minorHAnsi" w:eastAsiaTheme="minorEastAsia" w:hAnsiTheme="minorHAnsi" w:cstheme="minorBidi"/>
              <w:b w:val="0"/>
              <w:noProof/>
              <w:szCs w:val="22"/>
              <w:lang w:val="en-US" w:eastAsia="en-US"/>
            </w:rPr>
          </w:pPr>
          <w:hyperlink w:anchor="_Toc165901455" w:history="1">
            <w:r w:rsidRPr="004D3121">
              <w:rPr>
                <w:rStyle w:val="Hyperlink"/>
                <w:rFonts w:eastAsiaTheme="majorEastAsia" w:cstheme="majorBidi"/>
                <w:bCs/>
                <w:noProof/>
                <w:lang w:val="hy-AM" w:eastAsia="en-US"/>
              </w:rPr>
              <w:t>1.4. ԿԱՆԽԱՏԵՍՈՒՄՆԵՐԻ ՀԻՄՔՈՒՄ ԸՆԿԱԾ ԵՆԹԱԴՐՈՒԹՅՈՒՆՆԵՐԸ</w:t>
            </w:r>
            <w:r>
              <w:rPr>
                <w:noProof/>
                <w:webHidden/>
              </w:rPr>
              <w:tab/>
            </w:r>
            <w:r>
              <w:rPr>
                <w:noProof/>
                <w:webHidden/>
              </w:rPr>
              <w:fldChar w:fldCharType="begin"/>
            </w:r>
            <w:r>
              <w:rPr>
                <w:noProof/>
                <w:webHidden/>
              </w:rPr>
              <w:instrText xml:space="preserve"> PAGEREF _Toc165901455 \h </w:instrText>
            </w:r>
            <w:r>
              <w:rPr>
                <w:noProof/>
                <w:webHidden/>
              </w:rPr>
            </w:r>
            <w:r>
              <w:rPr>
                <w:noProof/>
                <w:webHidden/>
              </w:rPr>
              <w:fldChar w:fldCharType="separate"/>
            </w:r>
            <w:r>
              <w:rPr>
                <w:noProof/>
                <w:webHidden/>
              </w:rPr>
              <w:t>28</w:t>
            </w:r>
            <w:r>
              <w:rPr>
                <w:noProof/>
                <w:webHidden/>
              </w:rPr>
              <w:fldChar w:fldCharType="end"/>
            </w:r>
          </w:hyperlink>
        </w:p>
        <w:p w14:paraId="3261B72D" w14:textId="05E3A759" w:rsidR="00522278" w:rsidRDefault="00522278">
          <w:pPr>
            <w:pStyle w:val="TOC3"/>
            <w:rPr>
              <w:rFonts w:asciiTheme="minorHAnsi" w:eastAsiaTheme="minorEastAsia" w:hAnsiTheme="minorHAnsi" w:cstheme="minorBidi"/>
              <w:b w:val="0"/>
              <w:noProof/>
              <w:szCs w:val="22"/>
              <w:lang w:val="en-US" w:eastAsia="en-US"/>
            </w:rPr>
          </w:pPr>
          <w:hyperlink w:anchor="_Toc165901456" w:history="1">
            <w:r w:rsidRPr="004D3121">
              <w:rPr>
                <w:rStyle w:val="Hyperlink"/>
                <w:rFonts w:eastAsiaTheme="majorEastAsia" w:cstheme="majorBidi"/>
                <w:bCs/>
                <w:noProof/>
                <w:lang w:val="hy-AM" w:eastAsia="en-US"/>
              </w:rPr>
              <w:t>1.5. ՄԱԿՐՈՏՆՏԵՍԱԿԱՆ ԿԱՆԽԱՏԵՍՈՒՄՆԵՐԻ ՌԻՍԿԵՐԸ</w:t>
            </w:r>
            <w:r>
              <w:rPr>
                <w:noProof/>
                <w:webHidden/>
              </w:rPr>
              <w:tab/>
            </w:r>
            <w:r>
              <w:rPr>
                <w:noProof/>
                <w:webHidden/>
              </w:rPr>
              <w:fldChar w:fldCharType="begin"/>
            </w:r>
            <w:r>
              <w:rPr>
                <w:noProof/>
                <w:webHidden/>
              </w:rPr>
              <w:instrText xml:space="preserve"> PAGEREF _Toc165901456 \h </w:instrText>
            </w:r>
            <w:r>
              <w:rPr>
                <w:noProof/>
                <w:webHidden/>
              </w:rPr>
            </w:r>
            <w:r>
              <w:rPr>
                <w:noProof/>
                <w:webHidden/>
              </w:rPr>
              <w:fldChar w:fldCharType="separate"/>
            </w:r>
            <w:r>
              <w:rPr>
                <w:noProof/>
                <w:webHidden/>
              </w:rPr>
              <w:t>31</w:t>
            </w:r>
            <w:r>
              <w:rPr>
                <w:noProof/>
                <w:webHidden/>
              </w:rPr>
              <w:fldChar w:fldCharType="end"/>
            </w:r>
          </w:hyperlink>
        </w:p>
        <w:p w14:paraId="69BCFD01" w14:textId="57AA1FC3" w:rsidR="00522278" w:rsidRDefault="00522278">
          <w:pPr>
            <w:pStyle w:val="TOC3"/>
            <w:rPr>
              <w:rFonts w:asciiTheme="minorHAnsi" w:eastAsiaTheme="minorEastAsia" w:hAnsiTheme="minorHAnsi" w:cstheme="minorBidi"/>
              <w:b w:val="0"/>
              <w:noProof/>
              <w:szCs w:val="22"/>
              <w:lang w:val="en-US" w:eastAsia="en-US"/>
            </w:rPr>
          </w:pPr>
          <w:hyperlink w:anchor="_Toc165901457" w:history="1">
            <w:r w:rsidRPr="004D3121">
              <w:rPr>
                <w:rStyle w:val="Hyperlink"/>
                <w:noProof/>
                <w:lang w:val="hy-AM" w:eastAsia="en-US"/>
              </w:rPr>
              <w:t>1.5.1. ՀՀ տնտեսական աճի դեպի ներքև ուղղությամբ ռիսկեր</w:t>
            </w:r>
            <w:r>
              <w:rPr>
                <w:noProof/>
                <w:webHidden/>
              </w:rPr>
              <w:tab/>
            </w:r>
            <w:r>
              <w:rPr>
                <w:noProof/>
                <w:webHidden/>
              </w:rPr>
              <w:fldChar w:fldCharType="begin"/>
            </w:r>
            <w:r>
              <w:rPr>
                <w:noProof/>
                <w:webHidden/>
              </w:rPr>
              <w:instrText xml:space="preserve"> PAGEREF _Toc165901457 \h </w:instrText>
            </w:r>
            <w:r>
              <w:rPr>
                <w:noProof/>
                <w:webHidden/>
              </w:rPr>
            </w:r>
            <w:r>
              <w:rPr>
                <w:noProof/>
                <w:webHidden/>
              </w:rPr>
              <w:fldChar w:fldCharType="separate"/>
            </w:r>
            <w:r>
              <w:rPr>
                <w:noProof/>
                <w:webHidden/>
              </w:rPr>
              <w:t>31</w:t>
            </w:r>
            <w:r>
              <w:rPr>
                <w:noProof/>
                <w:webHidden/>
              </w:rPr>
              <w:fldChar w:fldCharType="end"/>
            </w:r>
          </w:hyperlink>
        </w:p>
        <w:p w14:paraId="12431065" w14:textId="69E51F42" w:rsidR="00522278" w:rsidRDefault="00522278">
          <w:pPr>
            <w:pStyle w:val="TOC3"/>
            <w:rPr>
              <w:rFonts w:asciiTheme="minorHAnsi" w:eastAsiaTheme="minorEastAsia" w:hAnsiTheme="minorHAnsi" w:cstheme="minorBidi"/>
              <w:b w:val="0"/>
              <w:noProof/>
              <w:szCs w:val="22"/>
              <w:lang w:val="en-US" w:eastAsia="en-US"/>
            </w:rPr>
          </w:pPr>
          <w:hyperlink w:anchor="_Toc165901458" w:history="1">
            <w:r w:rsidRPr="004D3121">
              <w:rPr>
                <w:rStyle w:val="Hyperlink"/>
                <w:noProof/>
                <w:lang w:val="hy-AM" w:eastAsia="en-US"/>
              </w:rPr>
              <w:t>1.5.2. Տնտեսական աճի դեպի վերև ուղղությամբ ռիսկեր</w:t>
            </w:r>
            <w:r>
              <w:rPr>
                <w:noProof/>
                <w:webHidden/>
              </w:rPr>
              <w:tab/>
            </w:r>
            <w:r>
              <w:rPr>
                <w:noProof/>
                <w:webHidden/>
              </w:rPr>
              <w:fldChar w:fldCharType="begin"/>
            </w:r>
            <w:r>
              <w:rPr>
                <w:noProof/>
                <w:webHidden/>
              </w:rPr>
              <w:instrText xml:space="preserve"> PAGEREF _Toc165901458 \h </w:instrText>
            </w:r>
            <w:r>
              <w:rPr>
                <w:noProof/>
                <w:webHidden/>
              </w:rPr>
            </w:r>
            <w:r>
              <w:rPr>
                <w:noProof/>
                <w:webHidden/>
              </w:rPr>
              <w:fldChar w:fldCharType="separate"/>
            </w:r>
            <w:r>
              <w:rPr>
                <w:noProof/>
                <w:webHidden/>
              </w:rPr>
              <w:t>32</w:t>
            </w:r>
            <w:r>
              <w:rPr>
                <w:noProof/>
                <w:webHidden/>
              </w:rPr>
              <w:fldChar w:fldCharType="end"/>
            </w:r>
          </w:hyperlink>
        </w:p>
        <w:p w14:paraId="31D89DED" w14:textId="64E77742" w:rsidR="00522278" w:rsidRDefault="00522278">
          <w:pPr>
            <w:pStyle w:val="TOC1"/>
            <w:rPr>
              <w:rFonts w:asciiTheme="minorHAnsi" w:eastAsiaTheme="minorEastAsia" w:hAnsiTheme="minorHAnsi" w:cstheme="minorBidi"/>
              <w:b w:val="0"/>
              <w:noProof/>
              <w:szCs w:val="22"/>
              <w:lang w:val="en-US" w:eastAsia="en-US"/>
            </w:rPr>
          </w:pPr>
          <w:hyperlink w:anchor="_Toc165901459" w:history="1">
            <w:r w:rsidRPr="004D3121">
              <w:rPr>
                <w:rStyle w:val="Hyperlink"/>
                <w:noProof/>
              </w:rPr>
              <w:t>ՀԱՐԿԱԲՅՈՒՋԵՏԱՅԻՆ ՔԱՂԱՔԱԿԱՆՈՒԹՅԱՆ ՀԻՄՆԱԿԱՆ ՈՒՂՂՈՒԹՅՈՒՆՆԵՐԸ ԵՎ ԿԱՆԽԱՏԵՍՈՒՄՆԵՐԸ</w:t>
            </w:r>
            <w:r>
              <w:rPr>
                <w:noProof/>
                <w:webHidden/>
              </w:rPr>
              <w:tab/>
            </w:r>
            <w:r>
              <w:rPr>
                <w:noProof/>
                <w:webHidden/>
              </w:rPr>
              <w:fldChar w:fldCharType="begin"/>
            </w:r>
            <w:r>
              <w:rPr>
                <w:noProof/>
                <w:webHidden/>
              </w:rPr>
              <w:instrText xml:space="preserve"> PAGEREF _Toc165901459 \h </w:instrText>
            </w:r>
            <w:r>
              <w:rPr>
                <w:noProof/>
                <w:webHidden/>
              </w:rPr>
            </w:r>
            <w:r>
              <w:rPr>
                <w:noProof/>
                <w:webHidden/>
              </w:rPr>
              <w:fldChar w:fldCharType="separate"/>
            </w:r>
            <w:r>
              <w:rPr>
                <w:noProof/>
                <w:webHidden/>
              </w:rPr>
              <w:t>35</w:t>
            </w:r>
            <w:r>
              <w:rPr>
                <w:noProof/>
                <w:webHidden/>
              </w:rPr>
              <w:fldChar w:fldCharType="end"/>
            </w:r>
          </w:hyperlink>
        </w:p>
        <w:p w14:paraId="5E2F5F84" w14:textId="79699644" w:rsidR="00522278" w:rsidRDefault="00522278">
          <w:pPr>
            <w:pStyle w:val="TOC3"/>
            <w:rPr>
              <w:rFonts w:asciiTheme="minorHAnsi" w:eastAsiaTheme="minorEastAsia" w:hAnsiTheme="minorHAnsi" w:cstheme="minorBidi"/>
              <w:b w:val="0"/>
              <w:noProof/>
              <w:szCs w:val="22"/>
              <w:lang w:val="en-US" w:eastAsia="en-US"/>
            </w:rPr>
          </w:pPr>
          <w:hyperlink w:anchor="_Toc165901460" w:history="1">
            <w:r w:rsidRPr="004D3121">
              <w:rPr>
                <w:rStyle w:val="Hyperlink"/>
                <w:rFonts w:eastAsiaTheme="majorEastAsia" w:cstheme="majorBidi"/>
                <w:bCs/>
                <w:noProof/>
                <w:lang w:val="hy-AM" w:eastAsia="en-US"/>
              </w:rPr>
              <w:t>2.1. ՀԱՐԿԱԲՅՈՒՋԵՏԱՅԻՆ ԸՆԴՀԱՆՈՒՐ ԱԿՆԱՐԿ ԵՎ ՀԱՐԿԱԲՅՈՒՋԵՏԱՅԻՆ ՇՐՋԱՆԱԿ</w:t>
            </w:r>
            <w:r>
              <w:rPr>
                <w:noProof/>
                <w:webHidden/>
              </w:rPr>
              <w:tab/>
            </w:r>
            <w:r>
              <w:rPr>
                <w:noProof/>
                <w:webHidden/>
              </w:rPr>
              <w:fldChar w:fldCharType="begin"/>
            </w:r>
            <w:r>
              <w:rPr>
                <w:noProof/>
                <w:webHidden/>
              </w:rPr>
              <w:instrText xml:space="preserve"> PAGEREF _Toc165901460 \h </w:instrText>
            </w:r>
            <w:r>
              <w:rPr>
                <w:noProof/>
                <w:webHidden/>
              </w:rPr>
            </w:r>
            <w:r>
              <w:rPr>
                <w:noProof/>
                <w:webHidden/>
              </w:rPr>
              <w:fldChar w:fldCharType="separate"/>
            </w:r>
            <w:r>
              <w:rPr>
                <w:noProof/>
                <w:webHidden/>
              </w:rPr>
              <w:t>35</w:t>
            </w:r>
            <w:r>
              <w:rPr>
                <w:noProof/>
                <w:webHidden/>
              </w:rPr>
              <w:fldChar w:fldCharType="end"/>
            </w:r>
          </w:hyperlink>
        </w:p>
        <w:p w14:paraId="5A7043A9" w14:textId="57A34370" w:rsidR="00522278" w:rsidRDefault="00522278">
          <w:pPr>
            <w:pStyle w:val="TOC3"/>
            <w:rPr>
              <w:rFonts w:asciiTheme="minorHAnsi" w:eastAsiaTheme="minorEastAsia" w:hAnsiTheme="minorHAnsi" w:cstheme="minorBidi"/>
              <w:b w:val="0"/>
              <w:noProof/>
              <w:szCs w:val="22"/>
              <w:lang w:val="en-US" w:eastAsia="en-US"/>
            </w:rPr>
          </w:pPr>
          <w:hyperlink w:anchor="_Toc165901461" w:history="1">
            <w:r w:rsidRPr="004D3121">
              <w:rPr>
                <w:rStyle w:val="Hyperlink"/>
                <w:rFonts w:eastAsiaTheme="majorEastAsia" w:cstheme="majorBidi"/>
                <w:bCs/>
                <w:noProof/>
                <w:lang w:val="hy-AM" w:eastAsia="en-US"/>
              </w:rPr>
              <w:t>2.2. ՀԱՐԿԱԲՅՈՒՋԵՏԱՅԻՆ ՔԱՂԱՔԱԿԱՆՈՒԹՅԱՆ ՄԻՏՈՒՄՆԵՐԸ ԵՎ ԿԱՆԽԱՏԵՍՈՒՄՆԵՐԸ</w:t>
            </w:r>
            <w:r>
              <w:rPr>
                <w:noProof/>
                <w:webHidden/>
              </w:rPr>
              <w:tab/>
            </w:r>
            <w:r>
              <w:rPr>
                <w:noProof/>
                <w:webHidden/>
              </w:rPr>
              <w:fldChar w:fldCharType="begin"/>
            </w:r>
            <w:r>
              <w:rPr>
                <w:noProof/>
                <w:webHidden/>
              </w:rPr>
              <w:instrText xml:space="preserve"> PAGEREF _Toc165901461 \h </w:instrText>
            </w:r>
            <w:r>
              <w:rPr>
                <w:noProof/>
                <w:webHidden/>
              </w:rPr>
            </w:r>
            <w:r>
              <w:rPr>
                <w:noProof/>
                <w:webHidden/>
              </w:rPr>
              <w:fldChar w:fldCharType="separate"/>
            </w:r>
            <w:r>
              <w:rPr>
                <w:noProof/>
                <w:webHidden/>
              </w:rPr>
              <w:t>36</w:t>
            </w:r>
            <w:r>
              <w:rPr>
                <w:noProof/>
                <w:webHidden/>
              </w:rPr>
              <w:fldChar w:fldCharType="end"/>
            </w:r>
          </w:hyperlink>
        </w:p>
        <w:p w14:paraId="1FE09C23" w14:textId="21485B27" w:rsidR="00522278" w:rsidRDefault="00522278">
          <w:pPr>
            <w:pStyle w:val="TOC3"/>
            <w:rPr>
              <w:rFonts w:asciiTheme="minorHAnsi" w:eastAsiaTheme="minorEastAsia" w:hAnsiTheme="minorHAnsi" w:cstheme="minorBidi"/>
              <w:b w:val="0"/>
              <w:noProof/>
              <w:szCs w:val="22"/>
              <w:lang w:val="en-US" w:eastAsia="en-US"/>
            </w:rPr>
          </w:pPr>
          <w:hyperlink w:anchor="_Toc165901462" w:history="1">
            <w:r w:rsidRPr="004D3121">
              <w:rPr>
                <w:rStyle w:val="Hyperlink"/>
                <w:rFonts w:eastAsiaTheme="majorEastAsia" w:cstheme="majorBidi"/>
                <w:bCs/>
                <w:noProof/>
                <w:lang w:val="hy-AM" w:eastAsia="en-US"/>
              </w:rPr>
              <w:t>2.3. ՀԱՐԿԱԲՅՈՒՋԵՏԱՅԻՆ ՌԻՍԿԵՐ</w:t>
            </w:r>
            <w:r>
              <w:rPr>
                <w:noProof/>
                <w:webHidden/>
              </w:rPr>
              <w:tab/>
            </w:r>
            <w:r>
              <w:rPr>
                <w:noProof/>
                <w:webHidden/>
              </w:rPr>
              <w:fldChar w:fldCharType="begin"/>
            </w:r>
            <w:r>
              <w:rPr>
                <w:noProof/>
                <w:webHidden/>
              </w:rPr>
              <w:instrText xml:space="preserve"> PAGEREF _Toc165901462 \h </w:instrText>
            </w:r>
            <w:r>
              <w:rPr>
                <w:noProof/>
                <w:webHidden/>
              </w:rPr>
            </w:r>
            <w:r>
              <w:rPr>
                <w:noProof/>
                <w:webHidden/>
              </w:rPr>
              <w:fldChar w:fldCharType="separate"/>
            </w:r>
            <w:r>
              <w:rPr>
                <w:noProof/>
                <w:webHidden/>
              </w:rPr>
              <w:t>45</w:t>
            </w:r>
            <w:r>
              <w:rPr>
                <w:noProof/>
                <w:webHidden/>
              </w:rPr>
              <w:fldChar w:fldCharType="end"/>
            </w:r>
          </w:hyperlink>
        </w:p>
        <w:p w14:paraId="06D2BA38" w14:textId="33A823AA" w:rsidR="00522278" w:rsidRDefault="00522278">
          <w:pPr>
            <w:pStyle w:val="TOC3"/>
            <w:rPr>
              <w:rFonts w:asciiTheme="minorHAnsi" w:eastAsiaTheme="minorEastAsia" w:hAnsiTheme="minorHAnsi" w:cstheme="minorBidi"/>
              <w:b w:val="0"/>
              <w:noProof/>
              <w:szCs w:val="22"/>
              <w:lang w:val="en-US" w:eastAsia="en-US"/>
            </w:rPr>
          </w:pPr>
          <w:hyperlink w:anchor="_Toc165901463" w:history="1">
            <w:r w:rsidRPr="004D3121">
              <w:rPr>
                <w:rStyle w:val="Hyperlink"/>
                <w:rFonts w:eastAsiaTheme="majorEastAsia" w:cstheme="majorBidi"/>
                <w:bCs/>
                <w:noProof/>
                <w:lang w:val="hy-AM" w:eastAsia="en-US"/>
              </w:rPr>
              <w:t>2.4. ՀԱՐԿԱԲՅՈՒՋԵՏԱՅԻՆ  ՔԱՂԱՔԱԿԱՆՈՒԹՅԱՆ ՀԱՄԱՊԱՏԱՍԽԱՆՈՒԹՅՈՒՆԸ ՀԱՐԿԱԲՅՈՒՋԵՏԱՅԻՆ ԿԱՆՈՆՆԵՐԻՆ</w:t>
            </w:r>
            <w:r>
              <w:rPr>
                <w:noProof/>
                <w:webHidden/>
              </w:rPr>
              <w:tab/>
            </w:r>
            <w:r>
              <w:rPr>
                <w:noProof/>
                <w:webHidden/>
              </w:rPr>
              <w:fldChar w:fldCharType="begin"/>
            </w:r>
            <w:r>
              <w:rPr>
                <w:noProof/>
                <w:webHidden/>
              </w:rPr>
              <w:instrText xml:space="preserve"> PAGEREF _Toc165901463 \h </w:instrText>
            </w:r>
            <w:r>
              <w:rPr>
                <w:noProof/>
                <w:webHidden/>
              </w:rPr>
            </w:r>
            <w:r>
              <w:rPr>
                <w:noProof/>
                <w:webHidden/>
              </w:rPr>
              <w:fldChar w:fldCharType="separate"/>
            </w:r>
            <w:r>
              <w:rPr>
                <w:noProof/>
                <w:webHidden/>
              </w:rPr>
              <w:t>47</w:t>
            </w:r>
            <w:r>
              <w:rPr>
                <w:noProof/>
                <w:webHidden/>
              </w:rPr>
              <w:fldChar w:fldCharType="end"/>
            </w:r>
          </w:hyperlink>
        </w:p>
        <w:p w14:paraId="5D3E9F1A" w14:textId="64901ABB" w:rsidR="00522278" w:rsidRDefault="00522278">
          <w:pPr>
            <w:pStyle w:val="TOC3"/>
            <w:rPr>
              <w:rFonts w:asciiTheme="minorHAnsi" w:eastAsiaTheme="minorEastAsia" w:hAnsiTheme="minorHAnsi" w:cstheme="minorBidi"/>
              <w:b w:val="0"/>
              <w:noProof/>
              <w:szCs w:val="22"/>
              <w:lang w:val="en-US" w:eastAsia="en-US"/>
            </w:rPr>
          </w:pPr>
          <w:hyperlink w:anchor="_Toc165901464" w:history="1">
            <w:r w:rsidRPr="004D3121">
              <w:rPr>
                <w:rStyle w:val="Hyperlink"/>
                <w:rFonts w:eastAsiaTheme="majorEastAsia" w:cstheme="majorBidi"/>
                <w:bCs/>
                <w:noProof/>
                <w:lang w:val="hy-AM" w:eastAsia="en-US"/>
              </w:rPr>
              <w:t>2.5. ՊԵՏԱԿԱՆ ԲՅՈՒՋԵԻ ՑՈՒՑԱՆԻՇՆԵՐԻ ԿԱՆԽԱՏԵՍՈՒՄՆԵՐԻ ՀԱՄԵՄԱՏԱԿԱՆ ԱՂՅՈՒՍԱԿՆԵՐ</w:t>
            </w:r>
            <w:r>
              <w:rPr>
                <w:noProof/>
                <w:webHidden/>
              </w:rPr>
              <w:tab/>
            </w:r>
            <w:r>
              <w:rPr>
                <w:noProof/>
                <w:webHidden/>
              </w:rPr>
              <w:fldChar w:fldCharType="begin"/>
            </w:r>
            <w:r>
              <w:rPr>
                <w:noProof/>
                <w:webHidden/>
              </w:rPr>
              <w:instrText xml:space="preserve"> PAGEREF _Toc165901464 \h </w:instrText>
            </w:r>
            <w:r>
              <w:rPr>
                <w:noProof/>
                <w:webHidden/>
              </w:rPr>
            </w:r>
            <w:r>
              <w:rPr>
                <w:noProof/>
                <w:webHidden/>
              </w:rPr>
              <w:fldChar w:fldCharType="separate"/>
            </w:r>
            <w:r>
              <w:rPr>
                <w:noProof/>
                <w:webHidden/>
              </w:rPr>
              <w:t>50</w:t>
            </w:r>
            <w:r>
              <w:rPr>
                <w:noProof/>
                <w:webHidden/>
              </w:rPr>
              <w:fldChar w:fldCharType="end"/>
            </w:r>
          </w:hyperlink>
        </w:p>
        <w:p w14:paraId="466AA174" w14:textId="6BA25E5D" w:rsidR="00522278" w:rsidRDefault="00522278">
          <w:pPr>
            <w:pStyle w:val="TOC1"/>
            <w:rPr>
              <w:rFonts w:asciiTheme="minorHAnsi" w:eastAsiaTheme="minorEastAsia" w:hAnsiTheme="minorHAnsi" w:cstheme="minorBidi"/>
              <w:b w:val="0"/>
              <w:noProof/>
              <w:szCs w:val="22"/>
              <w:lang w:val="en-US" w:eastAsia="en-US"/>
            </w:rPr>
          </w:pPr>
          <w:hyperlink w:anchor="_Toc165901465" w:history="1">
            <w:r w:rsidRPr="004D3121">
              <w:rPr>
                <w:rStyle w:val="Hyperlink"/>
                <w:noProof/>
              </w:rPr>
              <w:t>2. ՊԵՏԱԿԱՆ ԲՅՈՒՋԵԻ ՎՐԱ ՄԱԿՐՈՏՆՏԵՍԱԿԱՆ ԿԱՆԽԱՏԵՍՎԱԾ ՑՈՒՑԱՆԻՇՆԵՐԻՑ ՇԵՂՄԱՆ ՌԻՍԿԵՐԻ ԱԶԴԵՑՈՒԹՅԱՆ ՔԱՆԱԿԱԿԱՆ ԳՆԱՀԱՏՈՒՄ</w:t>
            </w:r>
            <w:r>
              <w:rPr>
                <w:noProof/>
                <w:webHidden/>
              </w:rPr>
              <w:tab/>
            </w:r>
            <w:r>
              <w:rPr>
                <w:noProof/>
                <w:webHidden/>
              </w:rPr>
              <w:fldChar w:fldCharType="begin"/>
            </w:r>
            <w:r>
              <w:rPr>
                <w:noProof/>
                <w:webHidden/>
              </w:rPr>
              <w:instrText xml:space="preserve"> PAGEREF _Toc165901465 \h </w:instrText>
            </w:r>
            <w:r>
              <w:rPr>
                <w:noProof/>
                <w:webHidden/>
              </w:rPr>
            </w:r>
            <w:r>
              <w:rPr>
                <w:noProof/>
                <w:webHidden/>
              </w:rPr>
              <w:fldChar w:fldCharType="separate"/>
            </w:r>
            <w:r>
              <w:rPr>
                <w:noProof/>
                <w:webHidden/>
              </w:rPr>
              <w:t>54</w:t>
            </w:r>
            <w:r>
              <w:rPr>
                <w:noProof/>
                <w:webHidden/>
              </w:rPr>
              <w:fldChar w:fldCharType="end"/>
            </w:r>
          </w:hyperlink>
        </w:p>
        <w:p w14:paraId="03C0C665" w14:textId="56686BED" w:rsidR="00522278" w:rsidRDefault="00522278">
          <w:pPr>
            <w:pStyle w:val="TOC1"/>
            <w:rPr>
              <w:rFonts w:asciiTheme="minorHAnsi" w:eastAsiaTheme="minorEastAsia" w:hAnsiTheme="minorHAnsi" w:cstheme="minorBidi"/>
              <w:b w:val="0"/>
              <w:noProof/>
              <w:szCs w:val="22"/>
              <w:lang w:val="en-US" w:eastAsia="en-US"/>
            </w:rPr>
          </w:pPr>
          <w:hyperlink w:anchor="_Toc165901466" w:history="1">
            <w:r w:rsidRPr="004D3121">
              <w:rPr>
                <w:rStyle w:val="Hyperlink"/>
                <w:noProof/>
              </w:rPr>
              <w:t>3. ԱՅԼ ԿԱՌՈՒՅՑՆԵՐԻ ԿՈՂՄԻՑ ՀՀ ՏՆՏԵՍԱԿԱՆ ԱՃԻ ԿԱՆԽԱՏԵՍՈՒՄՆԵՐԻ ՀԵՏ ՀԱՄԵՄԱՏԱԿԱՆ</w:t>
            </w:r>
            <w:r>
              <w:rPr>
                <w:noProof/>
                <w:webHidden/>
              </w:rPr>
              <w:tab/>
            </w:r>
            <w:r>
              <w:rPr>
                <w:noProof/>
                <w:webHidden/>
              </w:rPr>
              <w:fldChar w:fldCharType="begin"/>
            </w:r>
            <w:r>
              <w:rPr>
                <w:noProof/>
                <w:webHidden/>
              </w:rPr>
              <w:instrText xml:space="preserve"> PAGEREF _Toc165901466 \h </w:instrText>
            </w:r>
            <w:r>
              <w:rPr>
                <w:noProof/>
                <w:webHidden/>
              </w:rPr>
            </w:r>
            <w:r>
              <w:rPr>
                <w:noProof/>
                <w:webHidden/>
              </w:rPr>
              <w:fldChar w:fldCharType="separate"/>
            </w:r>
            <w:r>
              <w:rPr>
                <w:noProof/>
                <w:webHidden/>
              </w:rPr>
              <w:t>60</w:t>
            </w:r>
            <w:r>
              <w:rPr>
                <w:noProof/>
                <w:webHidden/>
              </w:rPr>
              <w:fldChar w:fldCharType="end"/>
            </w:r>
          </w:hyperlink>
        </w:p>
        <w:p w14:paraId="1587CFB6" w14:textId="20C86F0C" w:rsidR="00522278" w:rsidRDefault="00522278">
          <w:pPr>
            <w:pStyle w:val="TOC1"/>
            <w:rPr>
              <w:rFonts w:asciiTheme="minorHAnsi" w:eastAsiaTheme="minorEastAsia" w:hAnsiTheme="minorHAnsi" w:cstheme="minorBidi"/>
              <w:b w:val="0"/>
              <w:noProof/>
              <w:szCs w:val="22"/>
              <w:lang w:val="en-US" w:eastAsia="en-US"/>
            </w:rPr>
          </w:pPr>
          <w:hyperlink w:anchor="_Toc165901467" w:history="1">
            <w:r w:rsidRPr="004D3121">
              <w:rPr>
                <w:rStyle w:val="Hyperlink"/>
                <w:noProof/>
              </w:rPr>
              <w:t>4. ԵՆԹԱԿԱՌՈՒՑՎԱԾՔԱՅԻՆ ԵՎ ԱՅԼ ՈԼՈՐՏՆԵՐՈՒՄ ԳՈՐԾՈՂ ԿԱԶՄԱԿԵՐՊՈՒԹՅՈՒՆՆԵՐԻ ԳՈՐԾՈՒՆԵՈՒԹՅԱՆՆ ԱՌՆՉՎՈՂ ՀԱՐԿԱԲՅՈՒՋԵՏԱՅԻՆ ՌԻՍԿԵՐԻ ԳՆԱՀԱՏԱԿԱՆԸ</w:t>
            </w:r>
            <w:r>
              <w:rPr>
                <w:noProof/>
                <w:webHidden/>
              </w:rPr>
              <w:tab/>
            </w:r>
            <w:r>
              <w:rPr>
                <w:noProof/>
                <w:webHidden/>
              </w:rPr>
              <w:fldChar w:fldCharType="begin"/>
            </w:r>
            <w:r>
              <w:rPr>
                <w:noProof/>
                <w:webHidden/>
              </w:rPr>
              <w:instrText xml:space="preserve"> PAGEREF _Toc165901467 \h </w:instrText>
            </w:r>
            <w:r>
              <w:rPr>
                <w:noProof/>
                <w:webHidden/>
              </w:rPr>
            </w:r>
            <w:r>
              <w:rPr>
                <w:noProof/>
                <w:webHidden/>
              </w:rPr>
              <w:fldChar w:fldCharType="separate"/>
            </w:r>
            <w:r>
              <w:rPr>
                <w:noProof/>
                <w:webHidden/>
              </w:rPr>
              <w:t>61</w:t>
            </w:r>
            <w:r>
              <w:rPr>
                <w:noProof/>
                <w:webHidden/>
              </w:rPr>
              <w:fldChar w:fldCharType="end"/>
            </w:r>
          </w:hyperlink>
        </w:p>
        <w:p w14:paraId="614958C7" w14:textId="0B4FFADE" w:rsidR="00522278" w:rsidRPr="00522278" w:rsidRDefault="00522278" w:rsidP="00522278">
          <w:pPr>
            <w:spacing w:before="0" w:line="240" w:lineRule="auto"/>
            <w:jc w:val="left"/>
            <w:rPr>
              <w:rFonts w:ascii="Arial Armenian" w:hAnsi="Arial Armenian"/>
              <w:b w:val="0"/>
              <w:sz w:val="24"/>
              <w:lang w:val="en-US" w:eastAsia="en-US"/>
            </w:rPr>
            <w:sectPr w:rsidR="00522278" w:rsidRPr="00522278" w:rsidSect="00E37514">
              <w:footerReference w:type="default" r:id="rId8"/>
              <w:pgSz w:w="11907" w:h="16840" w:code="9"/>
              <w:pgMar w:top="1134" w:right="567" w:bottom="567" w:left="1134" w:header="567" w:footer="340" w:gutter="0"/>
              <w:pgNumType w:start="2"/>
              <w:cols w:space="720"/>
            </w:sectPr>
          </w:pPr>
          <w:r w:rsidRPr="00522278">
            <w:rPr>
              <w:bCs/>
              <w:noProof/>
              <w:sz w:val="24"/>
              <w:lang w:val="en-US" w:eastAsia="en-US"/>
            </w:rPr>
            <w:fldChar w:fldCharType="end"/>
          </w:r>
        </w:p>
      </w:sdtContent>
    </w:sdt>
    <w:bookmarkEnd w:id="9"/>
    <w:bookmarkEnd w:id="10"/>
    <w:p w14:paraId="5F10702E" w14:textId="7AA5A593" w:rsidR="00F04DA1" w:rsidRPr="005B1359" w:rsidRDefault="00522278" w:rsidP="00522278">
      <w:pPr>
        <w:pStyle w:val="Heading1"/>
      </w:pPr>
      <w:r w:rsidRPr="005B1359">
        <w:lastRenderedPageBreak/>
        <w:t xml:space="preserve"> </w:t>
      </w:r>
      <w:bookmarkStart w:id="11" w:name="_Toc165901451"/>
      <w:r w:rsidR="00F04DA1" w:rsidRPr="005B1359">
        <w:t>ՄԱԿՐՈՏՆՏԵՍԱԿԱՆ ԶԱՐԳԱՑՈՒՄՆԵՐ ԵՎ ԿԱՆԽԱՏԵՍՈՒՄՆԵՐ</w:t>
      </w:r>
      <w:bookmarkEnd w:id="0"/>
      <w:bookmarkEnd w:id="1"/>
      <w:bookmarkEnd w:id="2"/>
      <w:bookmarkEnd w:id="3"/>
      <w:bookmarkEnd w:id="4"/>
      <w:bookmarkEnd w:id="5"/>
      <w:bookmarkEnd w:id="6"/>
      <w:bookmarkEnd w:id="7"/>
      <w:bookmarkEnd w:id="11"/>
    </w:p>
    <w:p w14:paraId="14AC85C8" w14:textId="77777777" w:rsidR="00D178DD" w:rsidRPr="005B1359" w:rsidRDefault="00D178DD" w:rsidP="00BD3874">
      <w:pPr>
        <w:keepNext/>
        <w:keepLines/>
        <w:spacing w:before="0"/>
        <w:outlineLvl w:val="2"/>
        <w:rPr>
          <w:b w:val="0"/>
          <w:bCs/>
          <w:sz w:val="24"/>
          <w:lang w:val="hy-AM"/>
        </w:rPr>
      </w:pPr>
      <w:bookmarkStart w:id="12" w:name="_Toc51947412"/>
      <w:bookmarkStart w:id="13" w:name="_Toc52452085"/>
      <w:bookmarkStart w:id="14" w:name="_Toc57559412"/>
      <w:bookmarkStart w:id="15" w:name="_Toc83663894"/>
      <w:bookmarkStart w:id="16" w:name="_Toc83972830"/>
      <w:bookmarkStart w:id="17" w:name="_Toc115686016"/>
      <w:bookmarkStart w:id="18" w:name="_Toc153184461"/>
      <w:bookmarkStart w:id="19" w:name="_Toc83972842"/>
      <w:bookmarkStart w:id="20" w:name="_Toc165901452"/>
      <w:bookmarkEnd w:id="8"/>
      <w:r w:rsidRPr="005B1359">
        <w:rPr>
          <w:rFonts w:eastAsiaTheme="majorEastAsia" w:cstheme="majorBidi"/>
          <w:bCs/>
          <w:color w:val="1F497D" w:themeColor="text2"/>
          <w:sz w:val="24"/>
          <w:lang w:val="hy-AM" w:eastAsia="en-US"/>
        </w:rPr>
        <w:t>1.1 ՄԱԿՐՈՏՆՏԵՍԱԿԱՆ ԱՄՓՈՓԱԳԻՐ ԵՎ ՇՐՋԱՆԱԿ</w:t>
      </w:r>
      <w:bookmarkEnd w:id="12"/>
      <w:bookmarkEnd w:id="13"/>
      <w:bookmarkEnd w:id="14"/>
      <w:bookmarkEnd w:id="15"/>
      <w:bookmarkEnd w:id="16"/>
      <w:bookmarkEnd w:id="17"/>
      <w:bookmarkEnd w:id="18"/>
      <w:bookmarkEnd w:id="20"/>
      <w:r w:rsidRPr="005B1359">
        <w:rPr>
          <w:bCs/>
          <w:sz w:val="24"/>
          <w:lang w:val="hy-AM"/>
        </w:rPr>
        <w:t xml:space="preserve"> </w:t>
      </w:r>
    </w:p>
    <w:p w14:paraId="069E93C3"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bookmarkStart w:id="21" w:name="_Toc51947413"/>
      <w:bookmarkStart w:id="22" w:name="_Toc52452086"/>
      <w:bookmarkStart w:id="23" w:name="_Toc57559413"/>
      <w:bookmarkStart w:id="24" w:name="_Toc83663895"/>
      <w:bookmarkStart w:id="25" w:name="_Toc83972831"/>
      <w:bookmarkStart w:id="26" w:name="_Toc115686017"/>
      <w:bookmarkStart w:id="27" w:name="_Toc57655452"/>
      <w:bookmarkStart w:id="28" w:name="_Toc83199220"/>
      <w:bookmarkStart w:id="29" w:name="_Toc83972836"/>
      <w:bookmarkStart w:id="30" w:name="_Toc115686024"/>
      <w:r w:rsidRPr="005D1807">
        <w:rPr>
          <w:rFonts w:eastAsia="Calibri"/>
          <w:b w:val="0"/>
          <w:bCs/>
          <w:lang w:val="hy-AM"/>
        </w:rPr>
        <w:t xml:space="preserve">Ռուս-ուկրաինական հակամարտության աշխարհաքաղաքական և տնտեսական մարտահրավերների և դրա բացասական ազդեցությունների հետևանքով համաշխարհային </w:t>
      </w:r>
      <w:r w:rsidRPr="00F46689">
        <w:rPr>
          <w:rFonts w:eastAsia="Calibri" w:cs="Arial"/>
          <w:b w:val="0"/>
          <w:bCs/>
          <w:kern w:val="2"/>
          <w:szCs w:val="22"/>
          <w:lang w:val="hy-AM"/>
          <w14:ligatures w14:val="standardContextual"/>
        </w:rPr>
        <w:t>տնտեսության աճի տեմպերը 2022թ. դանդաղել են: ՀՀ հիմնական գործընկեր երկրներից ՌԴ-ում դիտվել է տնտեսական անկում, իսկ մյուս տնտեսություններում տեղի են ունեցել տնտեսական աճի էական դանդաղումներ՝ պայմանավորված համաշխարհային արժեշղթաների խաթարումներով,  պարենային և հումքային ապրանքների միջազգային գների բարձրացմամբ, դրանց հետևանքով առաջացած բարձր գնաճերին հակազդող աննախադեպ զսպող դրամավարկային քաղաքականություններով ու համաշխարհային ֆինանսական պայմանների խստացմամբ: 2023թ. ընթացքում համաշխարհային արժեշղթաների որոշակի վերականգման և խստացող դրամավարկային քաղաքականությունների պայմաններում գնաճային ճնշումները թուլացել են: Այս պայմաններում 2023թ. սպասվում է ԵԳ և ԱՄՆ տնտեսական աճերի դանդաղում, իսկ Չինաստանում սպասվում է ներուժային տնտեսական աճից ավելի ցածր տնտեսական աճ: ՀՀ գործընկեր երկրների տնտեսությունների համար 2024թ. կանխատեսվում է իրենց նախաճգնաժամային ներուժային աճերի շուրջ տնտեսական աճեր, բացառությամբ Չինաստանի, որի համար կանխատեսվում է տնտեսական աճի տեմպի դանդաղում:</w:t>
      </w:r>
    </w:p>
    <w:p w14:paraId="0C9741DC"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Համավարակի և 44-օրյա պատերազմի շոկերից հետո ՀՀ տնտեսության 2021թ. վերականգնման տեմպերը 2022թ</w:t>
      </w:r>
      <w:r w:rsidRPr="00F46689">
        <w:rPr>
          <w:rFonts w:ascii="Cambria Math" w:eastAsia="Calibri" w:hAnsi="Cambria Math" w:cs="Cambria Math"/>
          <w:b w:val="0"/>
          <w:bCs/>
          <w:kern w:val="2"/>
          <w:szCs w:val="22"/>
          <w:lang w:val="hy-AM"/>
          <w14:ligatures w14:val="standardContextual"/>
        </w:rPr>
        <w:t>․</w:t>
      </w:r>
      <w:r w:rsidRPr="00F46689">
        <w:rPr>
          <w:rFonts w:eastAsia="Calibri" w:cs="Arial"/>
          <w:b w:val="0"/>
          <w:bCs/>
          <w:kern w:val="2"/>
          <w:szCs w:val="22"/>
          <w:lang w:val="hy-AM"/>
          <w14:ligatures w14:val="standardContextual"/>
        </w:rPr>
        <w:t xml:space="preserve"> փետրվարի վերջերից սկիզբ առած ռուս-ուկրաինական հակամարտության և Ռուսաստանի դեմ կիրառված պատժամիջոցների հետևանքով դեպի Հայաստան մարդկանց ներհոսքի, զբոսաշրջության զգալի ավելացման և տեղեկատվական տեխնոլոգիաների ոլորտի ընկերությունների ՀՀ տեղափոխման, ինչպես նաև պատժամիջոցների հետևանքով որոշ երկրներից ՌԴ ներմուծման շուկայի սահմանափակումների պայմաններում ՀՀ-ից դեպի Ռուսաստան արտահանման պահանջարկի ավելացման արդյունքում տնտեսական ակտիվության աճի տեմպերը կտրուկ արագացել են, հատկապես՝ ծառայությունների ոլորտում: Արդյունքում 2022թ. գրանցվել է 12.6% տնտեսական աճ: </w:t>
      </w:r>
    </w:p>
    <w:p w14:paraId="21C65A3C"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Դեպի Հայաստան մարդկանց ներհոսքի, զբոսաշրջության զգալի ավելացման, տեղեկատվական տեխնոլոգիաների ոլորտի ընկերությունների ՀՀ տեղափոխման, ինչպես նաև ՀՀ-ից դեպի Ռուսաստան արտահանման պահանջարկի ավելացման արդյունքում ձևավորված տնտեսական աճի բարձր տեմպերը շարունակվել են նաև 2023թ. առաջին կիսամյակում՝ գրանցելով 10</w:t>
      </w:r>
      <w:r w:rsidRPr="00F46689">
        <w:rPr>
          <w:rFonts w:ascii="Cambria Math" w:eastAsia="Calibri" w:hAnsi="Cambria Math" w:cs="Cambria Math"/>
          <w:b w:val="0"/>
          <w:bCs/>
          <w:kern w:val="2"/>
          <w:szCs w:val="22"/>
          <w:lang w:val="hy-AM"/>
          <w14:ligatures w14:val="standardContextual"/>
        </w:rPr>
        <w:t>․</w:t>
      </w:r>
      <w:r w:rsidRPr="00F46689">
        <w:rPr>
          <w:rFonts w:eastAsia="Calibri" w:cs="Arial"/>
          <w:b w:val="0"/>
          <w:bCs/>
          <w:kern w:val="2"/>
          <w:szCs w:val="22"/>
          <w:lang w:val="hy-AM"/>
          <w14:ligatures w14:val="standardContextual"/>
        </w:rPr>
        <w:t xml:space="preserve">5% աճ՝ պայմանավորված հիմնականում ծառայությունների աճով: Չնայած հունիս-հուլիս ամիսներին տնտեսական ակտիվությունը փոքր-ինչ դանդաղել է՝ պայմանավորված հիմնականում ծառայությունների դանդաղմամբ և արդյունաբերության նվազմամբ, սակայն տնտեսական ակտիվության բարձր մակարդակը շարունակվում է պահպանվել: </w:t>
      </w:r>
    </w:p>
    <w:p w14:paraId="518063F2"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Վերոնշյալ դրական զարգացումների որոշակի պահպանման և ՀՀ կառավարության 2021-2026թթ. ծրագրով նախատեսված տնտեսության և տնտեսական աճի ներուժի բարձրացմանն ուղղված քաղաքականությունների և դրանցից բխող միջոցառումների պայմաններում, 2023թ</w:t>
      </w:r>
      <w:r w:rsidRPr="00F46689">
        <w:rPr>
          <w:rFonts w:ascii="Cambria Math" w:eastAsia="Calibri" w:hAnsi="Cambria Math" w:cs="Cambria Math"/>
          <w:b w:val="0"/>
          <w:bCs/>
          <w:kern w:val="2"/>
          <w:szCs w:val="22"/>
          <w:lang w:val="hy-AM"/>
          <w14:ligatures w14:val="standardContextual"/>
        </w:rPr>
        <w:t>․</w:t>
      </w:r>
      <w:r w:rsidRPr="00F46689">
        <w:rPr>
          <w:rFonts w:eastAsia="Calibri" w:cs="Arial"/>
          <w:b w:val="0"/>
          <w:bCs/>
          <w:kern w:val="2"/>
          <w:szCs w:val="22"/>
          <w:lang w:val="hy-AM"/>
          <w14:ligatures w14:val="standardContextual"/>
        </w:rPr>
        <w:t xml:space="preserve"> կանխատեսվում է 7</w:t>
      </w:r>
      <w:r w:rsidRPr="00F46689">
        <w:rPr>
          <w:rFonts w:ascii="Cambria Math" w:eastAsia="Calibri" w:hAnsi="Cambria Math" w:cs="Cambria Math"/>
          <w:b w:val="0"/>
          <w:bCs/>
          <w:kern w:val="2"/>
          <w:szCs w:val="22"/>
          <w:lang w:val="hy-AM"/>
          <w14:ligatures w14:val="standardContextual"/>
        </w:rPr>
        <w:t>․</w:t>
      </w:r>
      <w:r w:rsidRPr="00F46689">
        <w:rPr>
          <w:rFonts w:eastAsia="Calibri" w:cs="Arial"/>
          <w:b w:val="0"/>
          <w:bCs/>
          <w:kern w:val="2"/>
          <w:szCs w:val="22"/>
          <w:lang w:val="hy-AM"/>
          <w14:ligatures w14:val="standardContextual"/>
        </w:rPr>
        <w:t>4%, իսկ 2024թ</w:t>
      </w:r>
      <w:r w:rsidRPr="00F46689">
        <w:rPr>
          <w:rFonts w:ascii="Cambria Math" w:eastAsia="Calibri" w:hAnsi="Cambria Math" w:cs="Cambria Math"/>
          <w:b w:val="0"/>
          <w:bCs/>
          <w:kern w:val="2"/>
          <w:szCs w:val="22"/>
          <w:lang w:val="hy-AM"/>
          <w14:ligatures w14:val="standardContextual"/>
        </w:rPr>
        <w:t>․</w:t>
      </w:r>
      <w:r w:rsidRPr="00F46689">
        <w:rPr>
          <w:rFonts w:eastAsia="Calibri" w:cs="Arial"/>
          <w:b w:val="0"/>
          <w:bCs/>
          <w:kern w:val="2"/>
          <w:szCs w:val="22"/>
          <w:lang w:val="hy-AM"/>
          <w14:ligatures w14:val="standardContextual"/>
        </w:rPr>
        <w:t>՝ թիրախավորվում 7</w:t>
      </w:r>
      <w:r w:rsidRPr="00F46689">
        <w:rPr>
          <w:rFonts w:ascii="Cambria Math" w:eastAsia="Calibri" w:hAnsi="Cambria Math" w:cs="Cambria Math"/>
          <w:b w:val="0"/>
          <w:bCs/>
          <w:kern w:val="2"/>
          <w:szCs w:val="22"/>
          <w:lang w:val="hy-AM"/>
          <w14:ligatures w14:val="standardContextual"/>
        </w:rPr>
        <w:t>․</w:t>
      </w:r>
      <w:r w:rsidRPr="00F46689">
        <w:rPr>
          <w:rFonts w:eastAsia="Calibri" w:cs="Arial"/>
          <w:b w:val="0"/>
          <w:bCs/>
          <w:kern w:val="2"/>
          <w:szCs w:val="22"/>
          <w:lang w:val="hy-AM"/>
          <w14:ligatures w14:val="standardContextual"/>
        </w:rPr>
        <w:t>0% տնտեսական աճ։ Այնուամենայնիվ նշված աճերը պարունակում են նաև հարկաբյուջետային, կառուցվածքային բարեփոխումների հնարավոր ազդեցությունները, որոնք պետք է ապահովեն բազային կանխատեսումերից (2024թ</w:t>
      </w:r>
      <w:r w:rsidRPr="00F46689">
        <w:rPr>
          <w:rFonts w:ascii="Cambria Math" w:eastAsia="Calibri" w:hAnsi="Cambria Math" w:cs="Cambria Math"/>
          <w:b w:val="0"/>
          <w:bCs/>
          <w:kern w:val="2"/>
          <w:szCs w:val="22"/>
          <w:lang w:val="hy-AM"/>
          <w14:ligatures w14:val="standardContextual"/>
        </w:rPr>
        <w:t>․</w:t>
      </w:r>
      <w:r w:rsidRPr="00F46689">
        <w:rPr>
          <w:rFonts w:eastAsia="Calibri" w:cs="Arial"/>
          <w:b w:val="0"/>
          <w:bCs/>
          <w:kern w:val="2"/>
          <w:szCs w:val="22"/>
          <w:lang w:val="hy-AM"/>
          <w14:ligatures w14:val="standardContextual"/>
        </w:rPr>
        <w:t xml:space="preserve"> համար 5.6%) ավելի բարձր տնտեսական աճի թիրախը։  </w:t>
      </w:r>
    </w:p>
    <w:p w14:paraId="458724F0"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lastRenderedPageBreak/>
        <w:t>Բարձր տնտեսական ակտիվության և առանձին շուկաներում (մասնավորապես ՌԴ շուկայում) արտաքին բարձր պահանջարկի պայմաններում 2023թ</w:t>
      </w:r>
      <w:r w:rsidRPr="00F46689">
        <w:rPr>
          <w:rFonts w:ascii="Cambria Math" w:eastAsia="Calibri" w:hAnsi="Cambria Math" w:cs="Cambria Math"/>
          <w:b w:val="0"/>
          <w:bCs/>
          <w:kern w:val="2"/>
          <w:szCs w:val="22"/>
          <w:lang w:val="hy-AM"/>
          <w14:ligatures w14:val="standardContextual"/>
        </w:rPr>
        <w:t>․</w:t>
      </w:r>
      <w:r w:rsidRPr="00F46689">
        <w:rPr>
          <w:rFonts w:eastAsia="Calibri" w:cs="Arial"/>
          <w:b w:val="0"/>
          <w:bCs/>
          <w:kern w:val="2"/>
          <w:szCs w:val="22"/>
          <w:lang w:val="hy-AM"/>
          <w14:ligatures w14:val="standardContextual"/>
        </w:rPr>
        <w:t xml:space="preserve"> տեղի կունենա և՛ արտահանման, և՛ ներմուծման ծավալների աճ: Հիմնականում պայմանավորված առևտրային հաշվեկշռի վատթարացմամբ, ինչպես նաև դրամական փոխանցումների ՀՆԱ-ում դերի նվազմամբ՝ 2023թ. ընթացիկ հաշվի պակասուրդը կվատթարանա՝ մոտենալով ՀՆԱ-ի 4%-ին: 2024թ. ընթացիկ հաշվի պակասուրդը ներդրումների խթանման արդյունքում ներդրումային բնույթի ապրանքների ներմուծման աճով պայմանավորված կխորանա՝ մոտենալով իր երկարաժամկետ հավասարակշիռ մակարդակին:</w:t>
      </w:r>
    </w:p>
    <w:p w14:paraId="6CA0E5D9"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2023թ</w:t>
      </w:r>
      <w:r w:rsidRPr="00F46689">
        <w:rPr>
          <w:rFonts w:ascii="Cambria Math" w:eastAsia="Calibri" w:hAnsi="Cambria Math" w:cs="Cambria Math"/>
          <w:b w:val="0"/>
          <w:bCs/>
          <w:kern w:val="2"/>
          <w:szCs w:val="22"/>
          <w:lang w:val="hy-AM"/>
          <w14:ligatures w14:val="standardContextual"/>
        </w:rPr>
        <w:t>․</w:t>
      </w:r>
      <w:r w:rsidRPr="00F46689">
        <w:rPr>
          <w:rFonts w:eastAsia="Calibri" w:cs="Arial"/>
          <w:b w:val="0"/>
          <w:bCs/>
          <w:kern w:val="2"/>
          <w:szCs w:val="22"/>
          <w:lang w:val="hy-AM"/>
          <w14:ligatures w14:val="standardContextual"/>
        </w:rPr>
        <w:t xml:space="preserve"> առաջին կեսին գրանցված 12-ամսյա գնաճի կտրուկ նվազման պայմաններում գնաճը մինչև տարեվերջ կգտնվի թիրախից ցածր մակարդակում: 2024թ</w:t>
      </w:r>
      <w:r w:rsidRPr="00F46689">
        <w:rPr>
          <w:rFonts w:ascii="Cambria Math" w:eastAsia="Calibri" w:hAnsi="Cambria Math" w:cs="Cambria Math"/>
          <w:b w:val="0"/>
          <w:bCs/>
          <w:kern w:val="2"/>
          <w:szCs w:val="22"/>
          <w:lang w:val="hy-AM"/>
          <w14:ligatures w14:val="standardContextual"/>
        </w:rPr>
        <w:t>․</w:t>
      </w:r>
      <w:r w:rsidRPr="00F46689">
        <w:rPr>
          <w:rFonts w:eastAsia="Calibri" w:cs="Arial"/>
          <w:b w:val="0"/>
          <w:bCs/>
          <w:kern w:val="2"/>
          <w:szCs w:val="22"/>
          <w:lang w:val="hy-AM"/>
          <w14:ligatures w14:val="standardContextual"/>
        </w:rPr>
        <w:t xml:space="preserve"> այն աստիճանաբար կարագանա և տարեվերջին կմոտենա թիրախային 4% մակարդակին։ Նախանշված ուղեգծից ռիսկերի որևէ ուղղությամբ դրսևորման պարագայում ԿԲ-ը համարժեքորեն կարձագանքի և կապահովի գների կայունության նպատակը:</w:t>
      </w:r>
    </w:p>
    <w:p w14:paraId="739EADCA"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2024 թվականին հարկաբյուջետային քաղաքականությունը ՀՀ կառավարության 2021-2026թթ. ծրագրին համահունչ ուղղված կլինի թիրախավորված 7% տնտեսական աճի ապահովմանը՝ շեշտադրելով պետական ներդրումների մասնաբաժնի էական մեծացումը (կապիտալ ծախսերի կշիռը ՀՆԱ-ում հասցնելով 6.6%-ի) և ծախսերի իրականացման արդյունավետության բարձրացումը, ինչպես նաև՝ պարտքի կայունության պահպանմանը: Ընդ որում հարկաբյուջետային քաղաքականությունը ամբողջական պահանջարկի վրա 2024թ. կունենա չեզոք ազդեցություն և միաժամանակ կխթանի ներուժային տնտեսական աճը:</w:t>
      </w:r>
    </w:p>
    <w:p w14:paraId="297E173E" w14:textId="77777777" w:rsidR="005D1807" w:rsidRPr="0073392C" w:rsidRDefault="005D1807" w:rsidP="00F46689">
      <w:pPr>
        <w:pStyle w:val="ListParagraph"/>
        <w:numPr>
          <w:ilvl w:val="0"/>
          <w:numId w:val="55"/>
        </w:numPr>
        <w:tabs>
          <w:tab w:val="left" w:pos="284"/>
        </w:tabs>
        <w:suppressAutoHyphens/>
        <w:spacing w:before="0" w:after="160"/>
        <w:ind w:left="0" w:firstLine="0"/>
        <w:rPr>
          <w:b w:val="0"/>
          <w:bCs/>
          <w:lang w:val="hy-AM"/>
        </w:rPr>
      </w:pPr>
      <w:r w:rsidRPr="00F46689">
        <w:rPr>
          <w:rFonts w:eastAsia="Calibri" w:cs="Arial"/>
          <w:b w:val="0"/>
          <w:bCs/>
          <w:kern w:val="2"/>
          <w:szCs w:val="22"/>
          <w:lang w:val="hy-AM"/>
          <w14:ligatures w14:val="standardContextual"/>
        </w:rPr>
        <w:t>Ռուս-ուկրաինական հակամարտությունը և Ռուսաստանի դեմ կիրառված աննախադեպ պատժամիջոցները աշխարհում ստեղծել են նոր իրականություն, որի  պայմաններում ինչպես աշխարհի և ՀՀ գործընկեր երկրների, այնպես էլ ՀՀ տնտեսական աճի կանխատեսումները իրենց մեջ կրում են մեծ անորոշություն: Այս պայմաններում, ինչպես աշխարհի և ՀՀ գործընկերների, այնպես էլ պետական բյուջեի շրջանակում ՀՀ տնտեսական աճի կանխատեսումների համար առկա են երկկողմանի ռիսկեր, սակայն դեպի ներքև ռիսկերը</w:t>
      </w:r>
      <w:r w:rsidRPr="0073392C">
        <w:rPr>
          <w:b w:val="0"/>
          <w:bCs/>
          <w:lang w:val="hy-AM"/>
        </w:rPr>
        <w:t xml:space="preserve"> համեմատաբար մեծ են։</w:t>
      </w:r>
    </w:p>
    <w:p w14:paraId="654E7EE9" w14:textId="19232FF8" w:rsidR="005D1807" w:rsidRPr="0073392C" w:rsidRDefault="005D1807" w:rsidP="005D1807">
      <w:pPr>
        <w:rPr>
          <w:rFonts w:eastAsia="Calibri"/>
          <w:b w:val="0"/>
          <w:bCs/>
          <w:lang w:val="hy-AM"/>
        </w:rPr>
      </w:pPr>
    </w:p>
    <w:p w14:paraId="0F67A53C" w14:textId="77777777" w:rsidR="005D1807" w:rsidRPr="0073392C" w:rsidRDefault="005D1807" w:rsidP="005D1807">
      <w:pPr>
        <w:rPr>
          <w:b w:val="0"/>
          <w:bCs/>
          <w:lang w:val="hy-AM"/>
        </w:rPr>
      </w:pPr>
      <w:r w:rsidRPr="0073392C">
        <w:rPr>
          <w:lang w:val="hy-AM"/>
        </w:rPr>
        <w:t>Աղյուսակ 1.1.</w:t>
      </w:r>
      <w:r w:rsidRPr="0073392C">
        <w:rPr>
          <w:b w:val="0"/>
          <w:bCs/>
          <w:lang w:val="hy-AM"/>
        </w:rPr>
        <w:t xml:space="preserve"> 2024թ. պետական բյուջեի մակրոտնտեսական շրջանակ</w:t>
      </w:r>
    </w:p>
    <w:tbl>
      <w:tblPr>
        <w:tblStyle w:val="GridTable1Light-Accent51112"/>
        <w:tblpPr w:leftFromText="180" w:rightFromText="180" w:vertAnchor="text" w:horzAnchor="margin" w:tblpXSpec="center" w:tblpY="107"/>
        <w:tblW w:w="9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720"/>
        <w:gridCol w:w="1286"/>
        <w:gridCol w:w="1143"/>
        <w:gridCol w:w="1163"/>
        <w:gridCol w:w="1143"/>
        <w:gridCol w:w="1345"/>
      </w:tblGrid>
      <w:tr w:rsidR="005D1807" w:rsidRPr="002D6400" w14:paraId="5806F320" w14:textId="77777777" w:rsidTr="002D6400">
        <w:trPr>
          <w:trHeight w:val="233"/>
          <w:tblHeader/>
        </w:trPr>
        <w:tc>
          <w:tcPr>
            <w:tcW w:w="3720" w:type="dxa"/>
            <w:vMerge w:val="restart"/>
            <w:shd w:val="clear" w:color="auto" w:fill="auto"/>
            <w:noWrap/>
          </w:tcPr>
          <w:p w14:paraId="163ABA8D" w14:textId="77777777" w:rsidR="005D1807" w:rsidRPr="002D6400" w:rsidRDefault="005D1807" w:rsidP="005D1807">
            <w:pPr>
              <w:spacing w:line="240" w:lineRule="auto"/>
              <w:rPr>
                <w:b w:val="0"/>
                <w:bCs/>
                <w:sz w:val="20"/>
                <w:szCs w:val="20"/>
              </w:rPr>
            </w:pPr>
            <w:r w:rsidRPr="002D6400">
              <w:rPr>
                <w:b w:val="0"/>
                <w:bCs/>
                <w:sz w:val="20"/>
                <w:szCs w:val="20"/>
              </w:rPr>
              <w:t>Հիմնական մակրոտնտեսական ցուցանիշներ</w:t>
            </w:r>
          </w:p>
        </w:tc>
        <w:tc>
          <w:tcPr>
            <w:tcW w:w="1286" w:type="dxa"/>
            <w:shd w:val="clear" w:color="auto" w:fill="auto"/>
          </w:tcPr>
          <w:p w14:paraId="66137F33" w14:textId="77777777" w:rsidR="005D1807" w:rsidRPr="002D6400" w:rsidRDefault="005D1807" w:rsidP="005D1807">
            <w:pPr>
              <w:spacing w:line="240" w:lineRule="auto"/>
              <w:rPr>
                <w:b w:val="0"/>
                <w:bCs/>
                <w:sz w:val="20"/>
                <w:szCs w:val="20"/>
              </w:rPr>
            </w:pPr>
          </w:p>
        </w:tc>
        <w:tc>
          <w:tcPr>
            <w:tcW w:w="1143" w:type="dxa"/>
            <w:shd w:val="clear" w:color="auto" w:fill="auto"/>
          </w:tcPr>
          <w:p w14:paraId="1503A86A" w14:textId="77777777" w:rsidR="005D1807" w:rsidRPr="002D6400" w:rsidRDefault="005D1807" w:rsidP="005D1807">
            <w:pPr>
              <w:spacing w:line="240" w:lineRule="auto"/>
              <w:rPr>
                <w:b w:val="0"/>
                <w:bCs/>
                <w:sz w:val="20"/>
                <w:szCs w:val="20"/>
              </w:rPr>
            </w:pPr>
          </w:p>
        </w:tc>
        <w:tc>
          <w:tcPr>
            <w:tcW w:w="1162" w:type="dxa"/>
            <w:shd w:val="clear" w:color="auto" w:fill="auto"/>
          </w:tcPr>
          <w:p w14:paraId="486098AA" w14:textId="77777777" w:rsidR="005D1807" w:rsidRPr="002D6400" w:rsidRDefault="005D1807" w:rsidP="005D1807">
            <w:pPr>
              <w:spacing w:line="240" w:lineRule="auto"/>
              <w:rPr>
                <w:b w:val="0"/>
                <w:bCs/>
                <w:sz w:val="20"/>
                <w:szCs w:val="20"/>
              </w:rPr>
            </w:pPr>
          </w:p>
        </w:tc>
        <w:tc>
          <w:tcPr>
            <w:tcW w:w="1143" w:type="dxa"/>
            <w:shd w:val="clear" w:color="auto" w:fill="auto"/>
          </w:tcPr>
          <w:p w14:paraId="3CCD8767" w14:textId="77777777" w:rsidR="005D1807" w:rsidRPr="002D6400" w:rsidRDefault="005D1807" w:rsidP="005D1807">
            <w:pPr>
              <w:spacing w:line="240" w:lineRule="auto"/>
              <w:rPr>
                <w:b w:val="0"/>
                <w:bCs/>
                <w:sz w:val="20"/>
                <w:szCs w:val="20"/>
              </w:rPr>
            </w:pPr>
          </w:p>
        </w:tc>
        <w:tc>
          <w:tcPr>
            <w:tcW w:w="1343" w:type="dxa"/>
            <w:shd w:val="clear" w:color="auto" w:fill="auto"/>
          </w:tcPr>
          <w:p w14:paraId="33D0457F" w14:textId="77777777" w:rsidR="005D1807" w:rsidRPr="002D6400" w:rsidRDefault="005D1807" w:rsidP="005D1807">
            <w:pPr>
              <w:spacing w:line="240" w:lineRule="auto"/>
              <w:rPr>
                <w:b w:val="0"/>
                <w:bCs/>
                <w:sz w:val="20"/>
                <w:szCs w:val="20"/>
              </w:rPr>
            </w:pPr>
          </w:p>
        </w:tc>
      </w:tr>
      <w:tr w:rsidR="005D1807" w:rsidRPr="002D6400" w14:paraId="26F30457" w14:textId="77777777" w:rsidTr="002D6400">
        <w:trPr>
          <w:trHeight w:val="245"/>
          <w:tblHeader/>
        </w:trPr>
        <w:tc>
          <w:tcPr>
            <w:tcW w:w="3720" w:type="dxa"/>
            <w:vMerge/>
            <w:shd w:val="clear" w:color="auto" w:fill="auto"/>
            <w:noWrap/>
          </w:tcPr>
          <w:p w14:paraId="1DA9F23C" w14:textId="77777777" w:rsidR="005D1807" w:rsidRPr="002D6400" w:rsidRDefault="005D1807" w:rsidP="005D1807">
            <w:pPr>
              <w:spacing w:line="240" w:lineRule="auto"/>
              <w:rPr>
                <w:b w:val="0"/>
                <w:bCs/>
                <w:sz w:val="20"/>
                <w:szCs w:val="20"/>
              </w:rPr>
            </w:pPr>
          </w:p>
        </w:tc>
        <w:tc>
          <w:tcPr>
            <w:tcW w:w="3592" w:type="dxa"/>
            <w:gridSpan w:val="3"/>
            <w:tcBorders>
              <w:bottom w:val="single" w:sz="4" w:space="0" w:color="auto"/>
            </w:tcBorders>
            <w:shd w:val="clear" w:color="auto" w:fill="auto"/>
          </w:tcPr>
          <w:p w14:paraId="1BBEB8F2" w14:textId="77777777" w:rsidR="005D1807" w:rsidRPr="002D6400" w:rsidRDefault="005D1807" w:rsidP="005D1807">
            <w:pPr>
              <w:spacing w:line="240" w:lineRule="auto"/>
              <w:rPr>
                <w:b w:val="0"/>
                <w:bCs/>
                <w:sz w:val="20"/>
                <w:szCs w:val="20"/>
              </w:rPr>
            </w:pPr>
            <w:r w:rsidRPr="002D6400">
              <w:rPr>
                <w:b w:val="0"/>
                <w:bCs/>
                <w:sz w:val="20"/>
                <w:szCs w:val="20"/>
              </w:rPr>
              <w:t>Փաստ</w:t>
            </w:r>
          </w:p>
        </w:tc>
        <w:tc>
          <w:tcPr>
            <w:tcW w:w="1143" w:type="dxa"/>
            <w:shd w:val="clear" w:color="auto" w:fill="auto"/>
          </w:tcPr>
          <w:p w14:paraId="7EC9EAE3" w14:textId="77777777" w:rsidR="005D1807" w:rsidRPr="002D6400" w:rsidRDefault="005D1807" w:rsidP="005D1807">
            <w:pPr>
              <w:spacing w:line="240" w:lineRule="auto"/>
              <w:rPr>
                <w:b w:val="0"/>
                <w:bCs/>
                <w:sz w:val="20"/>
                <w:szCs w:val="20"/>
              </w:rPr>
            </w:pPr>
            <w:r w:rsidRPr="002D6400">
              <w:rPr>
                <w:b w:val="0"/>
                <w:bCs/>
                <w:sz w:val="20"/>
                <w:szCs w:val="20"/>
              </w:rPr>
              <w:t>սպասում</w:t>
            </w:r>
          </w:p>
        </w:tc>
        <w:tc>
          <w:tcPr>
            <w:tcW w:w="1343" w:type="dxa"/>
            <w:tcBorders>
              <w:bottom w:val="single" w:sz="4" w:space="0" w:color="auto"/>
            </w:tcBorders>
            <w:shd w:val="clear" w:color="auto" w:fill="auto"/>
          </w:tcPr>
          <w:p w14:paraId="2344F18A" w14:textId="77777777" w:rsidR="005D1807" w:rsidRPr="002D6400" w:rsidRDefault="005D1807" w:rsidP="005D1807">
            <w:pPr>
              <w:spacing w:line="240" w:lineRule="auto"/>
              <w:rPr>
                <w:b w:val="0"/>
                <w:bCs/>
                <w:sz w:val="20"/>
                <w:szCs w:val="20"/>
              </w:rPr>
            </w:pPr>
            <w:r w:rsidRPr="002D6400">
              <w:rPr>
                <w:b w:val="0"/>
                <w:bCs/>
                <w:sz w:val="20"/>
                <w:szCs w:val="20"/>
              </w:rPr>
              <w:t>ծրագիր</w:t>
            </w:r>
          </w:p>
        </w:tc>
      </w:tr>
      <w:tr w:rsidR="002D6400" w:rsidRPr="002D6400" w14:paraId="5541C7E7" w14:textId="77777777" w:rsidTr="002D6400">
        <w:trPr>
          <w:trHeight w:val="233"/>
        </w:trPr>
        <w:tc>
          <w:tcPr>
            <w:tcW w:w="3720" w:type="dxa"/>
            <w:tcBorders>
              <w:top w:val="single" w:sz="4" w:space="0" w:color="auto"/>
              <w:bottom w:val="single" w:sz="4" w:space="0" w:color="auto"/>
            </w:tcBorders>
            <w:shd w:val="clear" w:color="auto" w:fill="auto"/>
            <w:noWrap/>
          </w:tcPr>
          <w:p w14:paraId="53FA42D7" w14:textId="77777777" w:rsidR="005D1807" w:rsidRPr="002D6400" w:rsidRDefault="005D1807" w:rsidP="005D1807">
            <w:pPr>
              <w:spacing w:line="240" w:lineRule="auto"/>
              <w:rPr>
                <w:b w:val="0"/>
                <w:bCs/>
                <w:sz w:val="20"/>
                <w:szCs w:val="20"/>
              </w:rPr>
            </w:pPr>
          </w:p>
        </w:tc>
        <w:tc>
          <w:tcPr>
            <w:tcW w:w="1286" w:type="dxa"/>
            <w:tcBorders>
              <w:top w:val="single" w:sz="4" w:space="0" w:color="auto"/>
              <w:bottom w:val="single" w:sz="4" w:space="0" w:color="auto"/>
            </w:tcBorders>
            <w:shd w:val="clear" w:color="auto" w:fill="auto"/>
          </w:tcPr>
          <w:p w14:paraId="42E305A7" w14:textId="77777777" w:rsidR="005D1807" w:rsidRPr="002D6400" w:rsidRDefault="005D1807" w:rsidP="005D1807">
            <w:pPr>
              <w:spacing w:line="240" w:lineRule="auto"/>
              <w:rPr>
                <w:b w:val="0"/>
                <w:bCs/>
                <w:sz w:val="20"/>
                <w:szCs w:val="20"/>
              </w:rPr>
            </w:pPr>
            <w:r w:rsidRPr="002D6400">
              <w:rPr>
                <w:b w:val="0"/>
                <w:bCs/>
                <w:sz w:val="20"/>
                <w:szCs w:val="20"/>
              </w:rPr>
              <w:t>2020</w:t>
            </w:r>
          </w:p>
        </w:tc>
        <w:tc>
          <w:tcPr>
            <w:tcW w:w="1143" w:type="dxa"/>
            <w:tcBorders>
              <w:top w:val="single" w:sz="4" w:space="0" w:color="auto"/>
              <w:bottom w:val="single" w:sz="4" w:space="0" w:color="auto"/>
            </w:tcBorders>
            <w:shd w:val="clear" w:color="auto" w:fill="auto"/>
          </w:tcPr>
          <w:p w14:paraId="1A5C9F74" w14:textId="77777777" w:rsidR="005D1807" w:rsidRPr="002D6400" w:rsidRDefault="005D1807" w:rsidP="005D1807">
            <w:pPr>
              <w:spacing w:line="240" w:lineRule="auto"/>
              <w:rPr>
                <w:b w:val="0"/>
                <w:bCs/>
                <w:sz w:val="20"/>
                <w:szCs w:val="20"/>
              </w:rPr>
            </w:pPr>
            <w:r w:rsidRPr="002D6400">
              <w:rPr>
                <w:b w:val="0"/>
                <w:bCs/>
                <w:sz w:val="20"/>
                <w:szCs w:val="20"/>
              </w:rPr>
              <w:t>2021</w:t>
            </w:r>
          </w:p>
        </w:tc>
        <w:tc>
          <w:tcPr>
            <w:tcW w:w="1162" w:type="dxa"/>
            <w:tcBorders>
              <w:top w:val="single" w:sz="4" w:space="0" w:color="auto"/>
              <w:bottom w:val="single" w:sz="4" w:space="0" w:color="auto"/>
            </w:tcBorders>
            <w:shd w:val="clear" w:color="auto" w:fill="auto"/>
          </w:tcPr>
          <w:p w14:paraId="6E5DD910" w14:textId="77777777" w:rsidR="005D1807" w:rsidRPr="002D6400" w:rsidRDefault="005D1807" w:rsidP="005D1807">
            <w:pPr>
              <w:spacing w:line="240" w:lineRule="auto"/>
              <w:rPr>
                <w:b w:val="0"/>
                <w:bCs/>
                <w:sz w:val="20"/>
                <w:szCs w:val="20"/>
              </w:rPr>
            </w:pPr>
            <w:r w:rsidRPr="002D6400">
              <w:rPr>
                <w:b w:val="0"/>
                <w:bCs/>
                <w:sz w:val="20"/>
                <w:szCs w:val="20"/>
              </w:rPr>
              <w:t>2022</w:t>
            </w:r>
          </w:p>
        </w:tc>
        <w:tc>
          <w:tcPr>
            <w:tcW w:w="1143" w:type="dxa"/>
            <w:tcBorders>
              <w:top w:val="single" w:sz="4" w:space="0" w:color="auto"/>
              <w:bottom w:val="single" w:sz="4" w:space="0" w:color="auto"/>
            </w:tcBorders>
            <w:shd w:val="clear" w:color="auto" w:fill="auto"/>
          </w:tcPr>
          <w:p w14:paraId="215D364C" w14:textId="77777777" w:rsidR="005D1807" w:rsidRPr="002D6400" w:rsidRDefault="005D1807" w:rsidP="005D1807">
            <w:pPr>
              <w:spacing w:line="240" w:lineRule="auto"/>
              <w:rPr>
                <w:b w:val="0"/>
                <w:bCs/>
                <w:sz w:val="20"/>
                <w:szCs w:val="20"/>
              </w:rPr>
            </w:pPr>
            <w:r w:rsidRPr="002D6400">
              <w:rPr>
                <w:b w:val="0"/>
                <w:bCs/>
                <w:sz w:val="20"/>
                <w:szCs w:val="20"/>
              </w:rPr>
              <w:t>2023</w:t>
            </w:r>
          </w:p>
        </w:tc>
        <w:tc>
          <w:tcPr>
            <w:tcW w:w="1343" w:type="dxa"/>
            <w:tcBorders>
              <w:top w:val="single" w:sz="4" w:space="0" w:color="auto"/>
              <w:bottom w:val="single" w:sz="4" w:space="0" w:color="auto"/>
            </w:tcBorders>
            <w:shd w:val="clear" w:color="auto" w:fill="auto"/>
          </w:tcPr>
          <w:p w14:paraId="0FF8C247" w14:textId="77777777" w:rsidR="005D1807" w:rsidRPr="002D6400" w:rsidRDefault="005D1807" w:rsidP="005D1807">
            <w:pPr>
              <w:spacing w:line="240" w:lineRule="auto"/>
              <w:rPr>
                <w:b w:val="0"/>
                <w:bCs/>
                <w:sz w:val="20"/>
                <w:szCs w:val="20"/>
              </w:rPr>
            </w:pPr>
            <w:r w:rsidRPr="002D6400">
              <w:rPr>
                <w:b w:val="0"/>
                <w:bCs/>
                <w:sz w:val="20"/>
                <w:szCs w:val="20"/>
              </w:rPr>
              <w:t>2024</w:t>
            </w:r>
          </w:p>
        </w:tc>
      </w:tr>
      <w:tr w:rsidR="002D6400" w:rsidRPr="002D6400" w14:paraId="4FFD21D4" w14:textId="77777777" w:rsidTr="002D6400">
        <w:trPr>
          <w:trHeight w:val="233"/>
        </w:trPr>
        <w:tc>
          <w:tcPr>
            <w:tcW w:w="3720" w:type="dxa"/>
            <w:tcBorders>
              <w:top w:val="single" w:sz="4" w:space="0" w:color="auto"/>
            </w:tcBorders>
            <w:shd w:val="clear" w:color="auto" w:fill="auto"/>
            <w:noWrap/>
          </w:tcPr>
          <w:p w14:paraId="579EC5E7" w14:textId="77777777" w:rsidR="005D1807" w:rsidRPr="002D6400" w:rsidRDefault="005D1807" w:rsidP="005D1807">
            <w:pPr>
              <w:spacing w:line="240" w:lineRule="auto"/>
              <w:rPr>
                <w:b w:val="0"/>
                <w:bCs/>
                <w:sz w:val="20"/>
                <w:szCs w:val="20"/>
              </w:rPr>
            </w:pPr>
            <w:r w:rsidRPr="002D6400">
              <w:rPr>
                <w:b w:val="0"/>
                <w:bCs/>
                <w:sz w:val="20"/>
                <w:szCs w:val="20"/>
              </w:rPr>
              <w:t>Անվանական ՀՆԱ, մլրդ դրամ</w:t>
            </w:r>
          </w:p>
        </w:tc>
        <w:tc>
          <w:tcPr>
            <w:tcW w:w="1286" w:type="dxa"/>
            <w:tcBorders>
              <w:top w:val="single" w:sz="4" w:space="0" w:color="auto"/>
            </w:tcBorders>
            <w:shd w:val="clear" w:color="auto" w:fill="auto"/>
          </w:tcPr>
          <w:p w14:paraId="011B18B9" w14:textId="77777777" w:rsidR="005D1807" w:rsidRPr="002D6400" w:rsidRDefault="005D1807" w:rsidP="005D1807">
            <w:pPr>
              <w:spacing w:line="240" w:lineRule="auto"/>
              <w:rPr>
                <w:b w:val="0"/>
                <w:bCs/>
                <w:sz w:val="20"/>
                <w:szCs w:val="20"/>
              </w:rPr>
            </w:pPr>
            <w:r w:rsidRPr="002D6400">
              <w:rPr>
                <w:b w:val="0"/>
                <w:bCs/>
                <w:sz w:val="20"/>
                <w:szCs w:val="20"/>
              </w:rPr>
              <w:t>6,181.9</w:t>
            </w:r>
          </w:p>
        </w:tc>
        <w:tc>
          <w:tcPr>
            <w:tcW w:w="1143" w:type="dxa"/>
            <w:tcBorders>
              <w:top w:val="single" w:sz="4" w:space="0" w:color="auto"/>
            </w:tcBorders>
            <w:shd w:val="clear" w:color="auto" w:fill="auto"/>
          </w:tcPr>
          <w:p w14:paraId="0790109B" w14:textId="77777777" w:rsidR="005D1807" w:rsidRPr="002D6400" w:rsidRDefault="005D1807" w:rsidP="005D1807">
            <w:pPr>
              <w:spacing w:line="240" w:lineRule="auto"/>
              <w:rPr>
                <w:b w:val="0"/>
                <w:bCs/>
                <w:sz w:val="20"/>
                <w:szCs w:val="20"/>
              </w:rPr>
            </w:pPr>
            <w:r w:rsidRPr="002D6400">
              <w:rPr>
                <w:b w:val="0"/>
                <w:bCs/>
                <w:sz w:val="20"/>
                <w:szCs w:val="20"/>
              </w:rPr>
              <w:t>6,991.8</w:t>
            </w:r>
          </w:p>
        </w:tc>
        <w:tc>
          <w:tcPr>
            <w:tcW w:w="1162" w:type="dxa"/>
            <w:tcBorders>
              <w:top w:val="single" w:sz="4" w:space="0" w:color="auto"/>
            </w:tcBorders>
            <w:shd w:val="clear" w:color="auto" w:fill="auto"/>
          </w:tcPr>
          <w:p w14:paraId="3CD9C1E8" w14:textId="77777777" w:rsidR="005D1807" w:rsidRPr="002D6400" w:rsidRDefault="005D1807" w:rsidP="005D1807">
            <w:pPr>
              <w:spacing w:line="240" w:lineRule="auto"/>
              <w:rPr>
                <w:b w:val="0"/>
                <w:bCs/>
                <w:sz w:val="20"/>
                <w:szCs w:val="20"/>
              </w:rPr>
            </w:pPr>
            <w:r w:rsidRPr="002D6400">
              <w:rPr>
                <w:b w:val="0"/>
                <w:bCs/>
                <w:sz w:val="20"/>
                <w:szCs w:val="20"/>
              </w:rPr>
              <w:t>8,501.4</w:t>
            </w:r>
          </w:p>
        </w:tc>
        <w:tc>
          <w:tcPr>
            <w:tcW w:w="1143" w:type="dxa"/>
            <w:tcBorders>
              <w:top w:val="single" w:sz="4" w:space="0" w:color="auto"/>
            </w:tcBorders>
            <w:shd w:val="clear" w:color="auto" w:fill="auto"/>
          </w:tcPr>
          <w:p w14:paraId="08F0BE15" w14:textId="77777777" w:rsidR="005D1807" w:rsidRPr="002D6400" w:rsidRDefault="005D1807" w:rsidP="005D1807">
            <w:pPr>
              <w:spacing w:line="240" w:lineRule="auto"/>
              <w:rPr>
                <w:b w:val="0"/>
                <w:bCs/>
                <w:sz w:val="20"/>
                <w:szCs w:val="20"/>
              </w:rPr>
            </w:pPr>
            <w:r w:rsidRPr="002D6400">
              <w:rPr>
                <w:b w:val="0"/>
                <w:bCs/>
                <w:sz w:val="20"/>
                <w:szCs w:val="20"/>
              </w:rPr>
              <w:t xml:space="preserve"> 9,450.1 </w:t>
            </w:r>
          </w:p>
        </w:tc>
        <w:tc>
          <w:tcPr>
            <w:tcW w:w="1343" w:type="dxa"/>
            <w:tcBorders>
              <w:top w:val="single" w:sz="4" w:space="0" w:color="auto"/>
            </w:tcBorders>
            <w:shd w:val="clear" w:color="auto" w:fill="auto"/>
          </w:tcPr>
          <w:p w14:paraId="16B8F0DE" w14:textId="77777777" w:rsidR="005D1807" w:rsidRPr="002D6400" w:rsidRDefault="005D1807" w:rsidP="005D1807">
            <w:pPr>
              <w:spacing w:line="240" w:lineRule="auto"/>
              <w:rPr>
                <w:b w:val="0"/>
                <w:bCs/>
                <w:sz w:val="20"/>
                <w:szCs w:val="20"/>
              </w:rPr>
            </w:pPr>
            <w:r w:rsidRPr="002D6400">
              <w:rPr>
                <w:b w:val="0"/>
                <w:bCs/>
                <w:sz w:val="20"/>
                <w:szCs w:val="20"/>
              </w:rPr>
              <w:t xml:space="preserve"> 10,516.1 </w:t>
            </w:r>
          </w:p>
        </w:tc>
      </w:tr>
      <w:tr w:rsidR="005D1807" w:rsidRPr="002D6400" w14:paraId="17F19A91" w14:textId="77777777" w:rsidTr="002D6400">
        <w:trPr>
          <w:trHeight w:val="233"/>
        </w:trPr>
        <w:tc>
          <w:tcPr>
            <w:tcW w:w="3720" w:type="dxa"/>
            <w:shd w:val="clear" w:color="auto" w:fill="auto"/>
            <w:noWrap/>
          </w:tcPr>
          <w:p w14:paraId="3D07B029" w14:textId="77777777" w:rsidR="005D1807" w:rsidRPr="002D6400" w:rsidRDefault="005D1807" w:rsidP="005D1807">
            <w:pPr>
              <w:spacing w:line="240" w:lineRule="auto"/>
              <w:rPr>
                <w:b w:val="0"/>
                <w:bCs/>
                <w:sz w:val="20"/>
                <w:szCs w:val="20"/>
              </w:rPr>
            </w:pPr>
            <w:r w:rsidRPr="002D6400">
              <w:rPr>
                <w:b w:val="0"/>
                <w:bCs/>
                <w:sz w:val="20"/>
                <w:szCs w:val="20"/>
              </w:rPr>
              <w:t>Տնտեսական աճ, %</w:t>
            </w:r>
          </w:p>
        </w:tc>
        <w:tc>
          <w:tcPr>
            <w:tcW w:w="1286" w:type="dxa"/>
            <w:shd w:val="clear" w:color="auto" w:fill="auto"/>
          </w:tcPr>
          <w:p w14:paraId="6AFDEF2E" w14:textId="77777777" w:rsidR="005D1807" w:rsidRPr="002D6400" w:rsidRDefault="005D1807" w:rsidP="005D1807">
            <w:pPr>
              <w:spacing w:line="240" w:lineRule="auto"/>
              <w:rPr>
                <w:b w:val="0"/>
                <w:bCs/>
                <w:sz w:val="20"/>
                <w:szCs w:val="20"/>
              </w:rPr>
            </w:pPr>
            <w:r w:rsidRPr="002D6400">
              <w:rPr>
                <w:b w:val="0"/>
                <w:bCs/>
                <w:sz w:val="20"/>
                <w:szCs w:val="20"/>
              </w:rPr>
              <w:t>-7.2</w:t>
            </w:r>
          </w:p>
        </w:tc>
        <w:tc>
          <w:tcPr>
            <w:tcW w:w="1143" w:type="dxa"/>
            <w:shd w:val="clear" w:color="auto" w:fill="auto"/>
          </w:tcPr>
          <w:p w14:paraId="2ACDB332" w14:textId="77777777" w:rsidR="005D1807" w:rsidRPr="002D6400" w:rsidRDefault="005D1807" w:rsidP="005D1807">
            <w:pPr>
              <w:spacing w:line="240" w:lineRule="auto"/>
              <w:rPr>
                <w:b w:val="0"/>
                <w:bCs/>
                <w:sz w:val="20"/>
                <w:szCs w:val="20"/>
              </w:rPr>
            </w:pPr>
            <w:r w:rsidRPr="002D6400">
              <w:rPr>
                <w:b w:val="0"/>
                <w:bCs/>
                <w:sz w:val="20"/>
                <w:szCs w:val="20"/>
              </w:rPr>
              <w:t>5.8</w:t>
            </w:r>
          </w:p>
        </w:tc>
        <w:tc>
          <w:tcPr>
            <w:tcW w:w="1162" w:type="dxa"/>
            <w:shd w:val="clear" w:color="auto" w:fill="auto"/>
          </w:tcPr>
          <w:p w14:paraId="306045D4" w14:textId="77777777" w:rsidR="005D1807" w:rsidRPr="002D6400" w:rsidRDefault="005D1807" w:rsidP="005D1807">
            <w:pPr>
              <w:spacing w:line="240" w:lineRule="auto"/>
              <w:rPr>
                <w:b w:val="0"/>
                <w:bCs/>
                <w:sz w:val="20"/>
                <w:szCs w:val="20"/>
              </w:rPr>
            </w:pPr>
            <w:r w:rsidRPr="002D6400">
              <w:rPr>
                <w:b w:val="0"/>
                <w:bCs/>
                <w:sz w:val="20"/>
                <w:szCs w:val="20"/>
              </w:rPr>
              <w:t>12.6</w:t>
            </w:r>
          </w:p>
        </w:tc>
        <w:tc>
          <w:tcPr>
            <w:tcW w:w="1143" w:type="dxa"/>
            <w:shd w:val="clear" w:color="auto" w:fill="auto"/>
          </w:tcPr>
          <w:p w14:paraId="7863A67C" w14:textId="77777777" w:rsidR="005D1807" w:rsidRPr="002D6400" w:rsidRDefault="005D1807" w:rsidP="005D1807">
            <w:pPr>
              <w:spacing w:line="240" w:lineRule="auto"/>
              <w:rPr>
                <w:b w:val="0"/>
                <w:bCs/>
                <w:sz w:val="20"/>
                <w:szCs w:val="20"/>
              </w:rPr>
            </w:pPr>
            <w:r w:rsidRPr="002D6400">
              <w:rPr>
                <w:b w:val="0"/>
                <w:bCs/>
                <w:sz w:val="20"/>
                <w:szCs w:val="20"/>
              </w:rPr>
              <w:t>7.4</w:t>
            </w:r>
          </w:p>
        </w:tc>
        <w:tc>
          <w:tcPr>
            <w:tcW w:w="1343" w:type="dxa"/>
            <w:shd w:val="clear" w:color="auto" w:fill="auto"/>
          </w:tcPr>
          <w:p w14:paraId="21F6E666" w14:textId="77777777" w:rsidR="005D1807" w:rsidRPr="002D6400" w:rsidRDefault="005D1807" w:rsidP="005D1807">
            <w:pPr>
              <w:spacing w:line="240" w:lineRule="auto"/>
              <w:rPr>
                <w:b w:val="0"/>
                <w:bCs/>
                <w:sz w:val="20"/>
                <w:szCs w:val="20"/>
              </w:rPr>
            </w:pPr>
            <w:r w:rsidRPr="002D6400">
              <w:rPr>
                <w:b w:val="0"/>
                <w:bCs/>
                <w:sz w:val="20"/>
                <w:szCs w:val="20"/>
              </w:rPr>
              <w:t>7.0</w:t>
            </w:r>
          </w:p>
        </w:tc>
      </w:tr>
      <w:tr w:rsidR="005D1807" w:rsidRPr="002D6400" w14:paraId="259B101C" w14:textId="77777777" w:rsidTr="002D6400">
        <w:trPr>
          <w:trHeight w:val="242"/>
        </w:trPr>
        <w:tc>
          <w:tcPr>
            <w:tcW w:w="3720" w:type="dxa"/>
            <w:shd w:val="clear" w:color="auto" w:fill="auto"/>
            <w:noWrap/>
          </w:tcPr>
          <w:p w14:paraId="2AC37967" w14:textId="77777777" w:rsidR="005D1807" w:rsidRPr="002D6400" w:rsidRDefault="005D1807" w:rsidP="005D1807">
            <w:pPr>
              <w:spacing w:line="240" w:lineRule="auto"/>
              <w:rPr>
                <w:b w:val="0"/>
                <w:bCs/>
                <w:sz w:val="20"/>
                <w:szCs w:val="20"/>
              </w:rPr>
            </w:pPr>
            <w:r w:rsidRPr="002D6400">
              <w:rPr>
                <w:b w:val="0"/>
                <w:bCs/>
                <w:sz w:val="20"/>
                <w:szCs w:val="20"/>
              </w:rPr>
              <w:t>ՀՆԱ դեֆլյատորի աճ, %</w:t>
            </w:r>
          </w:p>
        </w:tc>
        <w:tc>
          <w:tcPr>
            <w:tcW w:w="1286" w:type="dxa"/>
            <w:shd w:val="clear" w:color="auto" w:fill="auto"/>
          </w:tcPr>
          <w:p w14:paraId="28153E42" w14:textId="77777777" w:rsidR="005D1807" w:rsidRPr="002D6400" w:rsidRDefault="005D1807" w:rsidP="005D1807">
            <w:pPr>
              <w:spacing w:line="240" w:lineRule="auto"/>
              <w:rPr>
                <w:b w:val="0"/>
                <w:bCs/>
                <w:sz w:val="20"/>
                <w:szCs w:val="20"/>
              </w:rPr>
            </w:pPr>
            <w:r w:rsidRPr="002D6400">
              <w:rPr>
                <w:b w:val="0"/>
                <w:bCs/>
                <w:sz w:val="20"/>
                <w:szCs w:val="20"/>
              </w:rPr>
              <w:t>1.8</w:t>
            </w:r>
          </w:p>
        </w:tc>
        <w:tc>
          <w:tcPr>
            <w:tcW w:w="1143" w:type="dxa"/>
            <w:shd w:val="clear" w:color="auto" w:fill="auto"/>
          </w:tcPr>
          <w:p w14:paraId="52023BA6" w14:textId="77777777" w:rsidR="005D1807" w:rsidRPr="002D6400" w:rsidRDefault="005D1807" w:rsidP="005D1807">
            <w:pPr>
              <w:spacing w:line="240" w:lineRule="auto"/>
              <w:rPr>
                <w:b w:val="0"/>
                <w:bCs/>
                <w:sz w:val="20"/>
                <w:szCs w:val="20"/>
              </w:rPr>
            </w:pPr>
            <w:r w:rsidRPr="002D6400">
              <w:rPr>
                <w:b w:val="0"/>
                <w:bCs/>
                <w:sz w:val="20"/>
                <w:szCs w:val="20"/>
              </w:rPr>
              <w:t>6.9</w:t>
            </w:r>
          </w:p>
        </w:tc>
        <w:tc>
          <w:tcPr>
            <w:tcW w:w="1162" w:type="dxa"/>
            <w:shd w:val="clear" w:color="auto" w:fill="auto"/>
          </w:tcPr>
          <w:p w14:paraId="3AB728B2" w14:textId="77777777" w:rsidR="005D1807" w:rsidRPr="002D6400" w:rsidRDefault="005D1807" w:rsidP="005D1807">
            <w:pPr>
              <w:spacing w:line="240" w:lineRule="auto"/>
              <w:rPr>
                <w:b w:val="0"/>
                <w:bCs/>
                <w:sz w:val="20"/>
                <w:szCs w:val="20"/>
              </w:rPr>
            </w:pPr>
            <w:r w:rsidRPr="002D6400">
              <w:rPr>
                <w:b w:val="0"/>
                <w:bCs/>
                <w:sz w:val="20"/>
                <w:szCs w:val="20"/>
              </w:rPr>
              <w:t>8.0</w:t>
            </w:r>
          </w:p>
        </w:tc>
        <w:tc>
          <w:tcPr>
            <w:tcW w:w="1143" w:type="dxa"/>
            <w:shd w:val="clear" w:color="auto" w:fill="auto"/>
          </w:tcPr>
          <w:p w14:paraId="1FA102E4" w14:textId="77777777" w:rsidR="005D1807" w:rsidRPr="002D6400" w:rsidRDefault="005D1807" w:rsidP="005D1807">
            <w:pPr>
              <w:spacing w:line="240" w:lineRule="auto"/>
              <w:rPr>
                <w:b w:val="0"/>
                <w:bCs/>
                <w:sz w:val="20"/>
                <w:szCs w:val="20"/>
              </w:rPr>
            </w:pPr>
            <w:r w:rsidRPr="002D6400">
              <w:rPr>
                <w:b w:val="0"/>
                <w:bCs/>
                <w:sz w:val="20"/>
                <w:szCs w:val="20"/>
              </w:rPr>
              <w:t>3.5</w:t>
            </w:r>
          </w:p>
        </w:tc>
        <w:tc>
          <w:tcPr>
            <w:tcW w:w="1343" w:type="dxa"/>
            <w:shd w:val="clear" w:color="auto" w:fill="auto"/>
          </w:tcPr>
          <w:p w14:paraId="7EF8B094" w14:textId="77777777" w:rsidR="005D1807" w:rsidRPr="002D6400" w:rsidRDefault="005D1807" w:rsidP="005D1807">
            <w:pPr>
              <w:spacing w:line="240" w:lineRule="auto"/>
              <w:rPr>
                <w:b w:val="0"/>
                <w:bCs/>
                <w:sz w:val="20"/>
                <w:szCs w:val="20"/>
              </w:rPr>
            </w:pPr>
            <w:r w:rsidRPr="002D6400">
              <w:rPr>
                <w:b w:val="0"/>
                <w:bCs/>
                <w:sz w:val="20"/>
                <w:szCs w:val="20"/>
              </w:rPr>
              <w:t>4.0</w:t>
            </w:r>
          </w:p>
        </w:tc>
      </w:tr>
      <w:tr w:rsidR="005D1807" w:rsidRPr="002D6400" w14:paraId="39C19428" w14:textId="77777777" w:rsidTr="002D6400">
        <w:trPr>
          <w:trHeight w:val="233"/>
        </w:trPr>
        <w:tc>
          <w:tcPr>
            <w:tcW w:w="3720" w:type="dxa"/>
            <w:shd w:val="clear" w:color="auto" w:fill="auto"/>
            <w:noWrap/>
          </w:tcPr>
          <w:p w14:paraId="48C5BCD7" w14:textId="77777777" w:rsidR="005D1807" w:rsidRPr="002D6400" w:rsidRDefault="005D1807" w:rsidP="005D1807">
            <w:pPr>
              <w:spacing w:line="240" w:lineRule="auto"/>
              <w:rPr>
                <w:b w:val="0"/>
                <w:bCs/>
                <w:sz w:val="20"/>
                <w:szCs w:val="20"/>
              </w:rPr>
            </w:pPr>
            <w:r w:rsidRPr="002D6400">
              <w:rPr>
                <w:b w:val="0"/>
                <w:bCs/>
                <w:sz w:val="20"/>
                <w:szCs w:val="20"/>
              </w:rPr>
              <w:t>Գնաճ (ժամանակաշրջանի վերջ), %</w:t>
            </w:r>
          </w:p>
        </w:tc>
        <w:tc>
          <w:tcPr>
            <w:tcW w:w="1286" w:type="dxa"/>
            <w:shd w:val="clear" w:color="auto" w:fill="auto"/>
            <w:vAlign w:val="center"/>
          </w:tcPr>
          <w:p w14:paraId="64EA668F" w14:textId="77777777" w:rsidR="005D1807" w:rsidRPr="002D6400" w:rsidRDefault="005D1807" w:rsidP="005D1807">
            <w:pPr>
              <w:spacing w:line="240" w:lineRule="auto"/>
              <w:rPr>
                <w:b w:val="0"/>
                <w:bCs/>
                <w:sz w:val="20"/>
                <w:szCs w:val="20"/>
              </w:rPr>
            </w:pPr>
            <w:r w:rsidRPr="002D6400">
              <w:rPr>
                <w:b w:val="0"/>
                <w:bCs/>
                <w:sz w:val="20"/>
                <w:szCs w:val="20"/>
              </w:rPr>
              <w:t>3.7</w:t>
            </w:r>
          </w:p>
        </w:tc>
        <w:tc>
          <w:tcPr>
            <w:tcW w:w="1143" w:type="dxa"/>
            <w:shd w:val="clear" w:color="auto" w:fill="auto"/>
            <w:vAlign w:val="center"/>
          </w:tcPr>
          <w:p w14:paraId="0F6D6FB7" w14:textId="77777777" w:rsidR="005D1807" w:rsidRPr="002D6400" w:rsidRDefault="005D1807" w:rsidP="005D1807">
            <w:pPr>
              <w:spacing w:line="240" w:lineRule="auto"/>
              <w:rPr>
                <w:b w:val="0"/>
                <w:bCs/>
                <w:sz w:val="20"/>
                <w:szCs w:val="20"/>
              </w:rPr>
            </w:pPr>
            <w:r w:rsidRPr="002D6400">
              <w:rPr>
                <w:b w:val="0"/>
                <w:bCs/>
                <w:sz w:val="20"/>
                <w:szCs w:val="20"/>
              </w:rPr>
              <w:t>7.7</w:t>
            </w:r>
          </w:p>
        </w:tc>
        <w:tc>
          <w:tcPr>
            <w:tcW w:w="1162" w:type="dxa"/>
            <w:shd w:val="clear" w:color="auto" w:fill="auto"/>
            <w:vAlign w:val="center"/>
          </w:tcPr>
          <w:p w14:paraId="74638B4E" w14:textId="77777777" w:rsidR="005D1807" w:rsidRPr="002D6400" w:rsidRDefault="005D1807" w:rsidP="005D1807">
            <w:pPr>
              <w:spacing w:line="240" w:lineRule="auto"/>
              <w:rPr>
                <w:b w:val="0"/>
                <w:bCs/>
                <w:sz w:val="20"/>
                <w:szCs w:val="20"/>
              </w:rPr>
            </w:pPr>
            <w:r w:rsidRPr="002D6400">
              <w:rPr>
                <w:b w:val="0"/>
                <w:bCs/>
                <w:sz w:val="20"/>
                <w:szCs w:val="20"/>
              </w:rPr>
              <w:t>8.3</w:t>
            </w:r>
          </w:p>
        </w:tc>
        <w:tc>
          <w:tcPr>
            <w:tcW w:w="1143" w:type="dxa"/>
            <w:shd w:val="clear" w:color="auto" w:fill="auto"/>
          </w:tcPr>
          <w:p w14:paraId="29E428A6" w14:textId="77777777" w:rsidR="005D1807" w:rsidRPr="002D6400" w:rsidRDefault="005D1807" w:rsidP="005D1807">
            <w:pPr>
              <w:spacing w:line="240" w:lineRule="auto"/>
              <w:rPr>
                <w:b w:val="0"/>
                <w:bCs/>
                <w:sz w:val="20"/>
                <w:szCs w:val="20"/>
              </w:rPr>
            </w:pPr>
            <w:r w:rsidRPr="002D6400">
              <w:rPr>
                <w:b w:val="0"/>
                <w:bCs/>
                <w:sz w:val="20"/>
                <w:szCs w:val="20"/>
              </w:rPr>
              <w:t>0.4</w:t>
            </w:r>
          </w:p>
        </w:tc>
        <w:tc>
          <w:tcPr>
            <w:tcW w:w="1343" w:type="dxa"/>
            <w:shd w:val="clear" w:color="auto" w:fill="auto"/>
          </w:tcPr>
          <w:p w14:paraId="30F81EC7" w14:textId="77777777" w:rsidR="005D1807" w:rsidRPr="002D6400" w:rsidRDefault="005D1807" w:rsidP="005D1807">
            <w:pPr>
              <w:spacing w:line="240" w:lineRule="auto"/>
              <w:rPr>
                <w:b w:val="0"/>
                <w:bCs/>
                <w:sz w:val="20"/>
                <w:szCs w:val="20"/>
              </w:rPr>
            </w:pPr>
            <w:r w:rsidRPr="002D6400">
              <w:rPr>
                <w:b w:val="0"/>
                <w:bCs/>
                <w:sz w:val="20"/>
                <w:szCs w:val="20"/>
              </w:rPr>
              <w:t>4.0</w:t>
            </w:r>
          </w:p>
        </w:tc>
      </w:tr>
      <w:tr w:rsidR="002D6400" w:rsidRPr="002D6400" w14:paraId="4090E51E" w14:textId="77777777" w:rsidTr="002D6400">
        <w:trPr>
          <w:trHeight w:val="239"/>
        </w:trPr>
        <w:tc>
          <w:tcPr>
            <w:tcW w:w="3720" w:type="dxa"/>
            <w:tcBorders>
              <w:bottom w:val="single" w:sz="4" w:space="0" w:color="auto"/>
            </w:tcBorders>
            <w:shd w:val="clear" w:color="auto" w:fill="auto"/>
          </w:tcPr>
          <w:p w14:paraId="525D9088" w14:textId="77777777" w:rsidR="005D1807" w:rsidRPr="002D6400" w:rsidRDefault="005D1807" w:rsidP="005D1807">
            <w:pPr>
              <w:spacing w:line="240" w:lineRule="auto"/>
              <w:rPr>
                <w:b w:val="0"/>
                <w:bCs/>
                <w:sz w:val="20"/>
                <w:szCs w:val="20"/>
              </w:rPr>
            </w:pPr>
            <w:r w:rsidRPr="002D6400">
              <w:rPr>
                <w:b w:val="0"/>
                <w:bCs/>
                <w:sz w:val="20"/>
                <w:szCs w:val="20"/>
              </w:rPr>
              <w:t>Գնաճ (միջին), %</w:t>
            </w:r>
          </w:p>
        </w:tc>
        <w:tc>
          <w:tcPr>
            <w:tcW w:w="1286" w:type="dxa"/>
            <w:tcBorders>
              <w:bottom w:val="single" w:sz="4" w:space="0" w:color="auto"/>
            </w:tcBorders>
            <w:shd w:val="clear" w:color="auto" w:fill="auto"/>
            <w:vAlign w:val="center"/>
          </w:tcPr>
          <w:p w14:paraId="6A7E8E9D" w14:textId="77777777" w:rsidR="005D1807" w:rsidRPr="002D6400" w:rsidRDefault="005D1807" w:rsidP="005D1807">
            <w:pPr>
              <w:spacing w:line="240" w:lineRule="auto"/>
              <w:rPr>
                <w:b w:val="0"/>
                <w:bCs/>
                <w:sz w:val="20"/>
                <w:szCs w:val="20"/>
              </w:rPr>
            </w:pPr>
            <w:r w:rsidRPr="002D6400">
              <w:rPr>
                <w:b w:val="0"/>
                <w:bCs/>
                <w:sz w:val="20"/>
                <w:szCs w:val="20"/>
              </w:rPr>
              <w:t>1.2</w:t>
            </w:r>
          </w:p>
        </w:tc>
        <w:tc>
          <w:tcPr>
            <w:tcW w:w="1143" w:type="dxa"/>
            <w:tcBorders>
              <w:bottom w:val="single" w:sz="4" w:space="0" w:color="auto"/>
            </w:tcBorders>
            <w:shd w:val="clear" w:color="auto" w:fill="auto"/>
            <w:vAlign w:val="center"/>
          </w:tcPr>
          <w:p w14:paraId="14321BBE" w14:textId="77777777" w:rsidR="005D1807" w:rsidRPr="002D6400" w:rsidRDefault="005D1807" w:rsidP="005D1807">
            <w:pPr>
              <w:spacing w:line="240" w:lineRule="auto"/>
              <w:rPr>
                <w:b w:val="0"/>
                <w:bCs/>
                <w:sz w:val="20"/>
                <w:szCs w:val="20"/>
              </w:rPr>
            </w:pPr>
            <w:r w:rsidRPr="002D6400">
              <w:rPr>
                <w:b w:val="0"/>
                <w:bCs/>
                <w:sz w:val="20"/>
                <w:szCs w:val="20"/>
              </w:rPr>
              <w:t>7.2</w:t>
            </w:r>
          </w:p>
        </w:tc>
        <w:tc>
          <w:tcPr>
            <w:tcW w:w="1162" w:type="dxa"/>
            <w:tcBorders>
              <w:bottom w:val="single" w:sz="4" w:space="0" w:color="auto"/>
            </w:tcBorders>
            <w:shd w:val="clear" w:color="auto" w:fill="auto"/>
            <w:vAlign w:val="center"/>
          </w:tcPr>
          <w:p w14:paraId="615F016B" w14:textId="77777777" w:rsidR="005D1807" w:rsidRPr="002D6400" w:rsidRDefault="005D1807" w:rsidP="005D1807">
            <w:pPr>
              <w:spacing w:line="240" w:lineRule="auto"/>
              <w:rPr>
                <w:b w:val="0"/>
                <w:bCs/>
                <w:sz w:val="20"/>
                <w:szCs w:val="20"/>
              </w:rPr>
            </w:pPr>
            <w:r w:rsidRPr="002D6400">
              <w:rPr>
                <w:b w:val="0"/>
                <w:bCs/>
                <w:sz w:val="20"/>
                <w:szCs w:val="20"/>
              </w:rPr>
              <w:t>8.6</w:t>
            </w:r>
          </w:p>
        </w:tc>
        <w:tc>
          <w:tcPr>
            <w:tcW w:w="1143" w:type="dxa"/>
            <w:tcBorders>
              <w:bottom w:val="single" w:sz="4" w:space="0" w:color="auto"/>
            </w:tcBorders>
            <w:shd w:val="clear" w:color="auto" w:fill="auto"/>
          </w:tcPr>
          <w:p w14:paraId="14C644F5" w14:textId="77777777" w:rsidR="005D1807" w:rsidRPr="002D6400" w:rsidRDefault="005D1807" w:rsidP="005D1807">
            <w:pPr>
              <w:spacing w:line="240" w:lineRule="auto"/>
              <w:rPr>
                <w:b w:val="0"/>
                <w:bCs/>
                <w:sz w:val="20"/>
                <w:szCs w:val="20"/>
              </w:rPr>
            </w:pPr>
            <w:r w:rsidRPr="002D6400">
              <w:rPr>
                <w:b w:val="0"/>
                <w:bCs/>
                <w:sz w:val="20"/>
                <w:szCs w:val="20"/>
              </w:rPr>
              <w:t>2.2</w:t>
            </w:r>
          </w:p>
        </w:tc>
        <w:tc>
          <w:tcPr>
            <w:tcW w:w="1343" w:type="dxa"/>
            <w:tcBorders>
              <w:bottom w:val="single" w:sz="4" w:space="0" w:color="auto"/>
            </w:tcBorders>
            <w:shd w:val="clear" w:color="auto" w:fill="auto"/>
          </w:tcPr>
          <w:p w14:paraId="155031BD" w14:textId="77777777" w:rsidR="005D1807" w:rsidRPr="002D6400" w:rsidRDefault="005D1807" w:rsidP="005D1807">
            <w:pPr>
              <w:spacing w:line="240" w:lineRule="auto"/>
              <w:rPr>
                <w:b w:val="0"/>
                <w:bCs/>
                <w:sz w:val="20"/>
                <w:szCs w:val="20"/>
              </w:rPr>
            </w:pPr>
            <w:r w:rsidRPr="002D6400">
              <w:rPr>
                <w:b w:val="0"/>
                <w:bCs/>
                <w:sz w:val="20"/>
                <w:szCs w:val="20"/>
              </w:rPr>
              <w:t>3.2</w:t>
            </w:r>
          </w:p>
        </w:tc>
      </w:tr>
      <w:tr w:rsidR="005D1807" w:rsidRPr="002D6400" w14:paraId="0B8B701E" w14:textId="77777777" w:rsidTr="002D6400">
        <w:trPr>
          <w:trHeight w:val="233"/>
        </w:trPr>
        <w:tc>
          <w:tcPr>
            <w:tcW w:w="9800" w:type="dxa"/>
            <w:gridSpan w:val="6"/>
            <w:tcBorders>
              <w:top w:val="single" w:sz="4" w:space="0" w:color="auto"/>
            </w:tcBorders>
            <w:shd w:val="clear" w:color="auto" w:fill="auto"/>
            <w:noWrap/>
            <w:vAlign w:val="center"/>
          </w:tcPr>
          <w:p w14:paraId="11B2985A" w14:textId="77777777" w:rsidR="005D1807" w:rsidRPr="002D6400" w:rsidRDefault="005D1807" w:rsidP="005D1807">
            <w:pPr>
              <w:spacing w:line="240" w:lineRule="auto"/>
              <w:rPr>
                <w:b w:val="0"/>
                <w:bCs/>
                <w:sz w:val="20"/>
                <w:szCs w:val="20"/>
              </w:rPr>
            </w:pPr>
            <w:r w:rsidRPr="002D6400">
              <w:rPr>
                <w:b w:val="0"/>
                <w:bCs/>
                <w:sz w:val="20"/>
                <w:szCs w:val="20"/>
              </w:rPr>
              <w:t>ՀՆԱ իրական աճն ըստ ճյուղերի ավելացված արժեքների, %</w:t>
            </w:r>
          </w:p>
        </w:tc>
      </w:tr>
      <w:tr w:rsidR="005D1807" w:rsidRPr="002D6400" w14:paraId="0EA3BE3D" w14:textId="77777777" w:rsidTr="002D6400">
        <w:trPr>
          <w:trHeight w:val="233"/>
        </w:trPr>
        <w:tc>
          <w:tcPr>
            <w:tcW w:w="3720" w:type="dxa"/>
            <w:shd w:val="clear" w:color="auto" w:fill="auto"/>
            <w:noWrap/>
          </w:tcPr>
          <w:p w14:paraId="7F58E3F2" w14:textId="77777777" w:rsidR="005D1807" w:rsidRPr="002D6400" w:rsidRDefault="005D1807" w:rsidP="005D1807">
            <w:pPr>
              <w:spacing w:line="240" w:lineRule="auto"/>
              <w:rPr>
                <w:b w:val="0"/>
                <w:bCs/>
                <w:sz w:val="20"/>
                <w:szCs w:val="20"/>
              </w:rPr>
            </w:pPr>
            <w:r w:rsidRPr="002D6400">
              <w:rPr>
                <w:b w:val="0"/>
                <w:bCs/>
                <w:sz w:val="20"/>
                <w:szCs w:val="20"/>
              </w:rPr>
              <w:t>Արդյունաբերություն</w:t>
            </w:r>
          </w:p>
        </w:tc>
        <w:tc>
          <w:tcPr>
            <w:tcW w:w="1286" w:type="dxa"/>
            <w:shd w:val="clear" w:color="auto" w:fill="auto"/>
          </w:tcPr>
          <w:p w14:paraId="102DABD6" w14:textId="77777777" w:rsidR="005D1807" w:rsidRPr="002D6400" w:rsidRDefault="005D1807" w:rsidP="005D1807">
            <w:pPr>
              <w:spacing w:line="240" w:lineRule="auto"/>
              <w:rPr>
                <w:b w:val="0"/>
                <w:bCs/>
                <w:sz w:val="20"/>
                <w:szCs w:val="20"/>
              </w:rPr>
            </w:pPr>
            <w:r w:rsidRPr="002D6400">
              <w:rPr>
                <w:b w:val="0"/>
                <w:bCs/>
                <w:sz w:val="20"/>
                <w:szCs w:val="20"/>
              </w:rPr>
              <w:t>-1.4</w:t>
            </w:r>
          </w:p>
        </w:tc>
        <w:tc>
          <w:tcPr>
            <w:tcW w:w="1143" w:type="dxa"/>
            <w:shd w:val="clear" w:color="auto" w:fill="auto"/>
          </w:tcPr>
          <w:p w14:paraId="4325DA07" w14:textId="77777777" w:rsidR="005D1807" w:rsidRPr="002D6400" w:rsidRDefault="005D1807" w:rsidP="005D1807">
            <w:pPr>
              <w:spacing w:line="240" w:lineRule="auto"/>
              <w:rPr>
                <w:b w:val="0"/>
                <w:bCs/>
                <w:sz w:val="20"/>
                <w:szCs w:val="20"/>
              </w:rPr>
            </w:pPr>
            <w:r w:rsidRPr="002D6400">
              <w:rPr>
                <w:b w:val="0"/>
                <w:bCs/>
                <w:sz w:val="20"/>
                <w:szCs w:val="20"/>
              </w:rPr>
              <w:t>2.4</w:t>
            </w:r>
          </w:p>
        </w:tc>
        <w:tc>
          <w:tcPr>
            <w:tcW w:w="1162" w:type="dxa"/>
            <w:shd w:val="clear" w:color="auto" w:fill="auto"/>
          </w:tcPr>
          <w:p w14:paraId="1E2A1B9B" w14:textId="77777777" w:rsidR="005D1807" w:rsidRPr="002D6400" w:rsidRDefault="005D1807" w:rsidP="005D1807">
            <w:pPr>
              <w:spacing w:line="240" w:lineRule="auto"/>
              <w:rPr>
                <w:b w:val="0"/>
                <w:bCs/>
                <w:sz w:val="20"/>
                <w:szCs w:val="20"/>
              </w:rPr>
            </w:pPr>
            <w:r w:rsidRPr="002D6400">
              <w:rPr>
                <w:b w:val="0"/>
                <w:bCs/>
                <w:sz w:val="20"/>
                <w:szCs w:val="20"/>
              </w:rPr>
              <w:t>6.0</w:t>
            </w:r>
          </w:p>
        </w:tc>
        <w:tc>
          <w:tcPr>
            <w:tcW w:w="1143" w:type="dxa"/>
            <w:shd w:val="clear" w:color="auto" w:fill="auto"/>
          </w:tcPr>
          <w:p w14:paraId="5071D3B6" w14:textId="77777777" w:rsidR="005D1807" w:rsidRPr="002D6400" w:rsidRDefault="005D1807" w:rsidP="005D1807">
            <w:pPr>
              <w:spacing w:line="240" w:lineRule="auto"/>
              <w:rPr>
                <w:b w:val="0"/>
                <w:bCs/>
                <w:sz w:val="20"/>
                <w:szCs w:val="20"/>
              </w:rPr>
            </w:pPr>
            <w:r w:rsidRPr="002D6400">
              <w:rPr>
                <w:b w:val="0"/>
                <w:bCs/>
                <w:sz w:val="20"/>
                <w:szCs w:val="20"/>
              </w:rPr>
              <w:t>0.8</w:t>
            </w:r>
          </w:p>
        </w:tc>
        <w:tc>
          <w:tcPr>
            <w:tcW w:w="1343" w:type="dxa"/>
            <w:shd w:val="clear" w:color="auto" w:fill="auto"/>
          </w:tcPr>
          <w:p w14:paraId="39D3D51E" w14:textId="77777777" w:rsidR="005D1807" w:rsidRPr="002D6400" w:rsidRDefault="005D1807" w:rsidP="005D1807">
            <w:pPr>
              <w:spacing w:line="240" w:lineRule="auto"/>
              <w:rPr>
                <w:b w:val="0"/>
                <w:bCs/>
                <w:sz w:val="20"/>
                <w:szCs w:val="20"/>
              </w:rPr>
            </w:pPr>
            <w:r w:rsidRPr="002D6400">
              <w:rPr>
                <w:b w:val="0"/>
                <w:bCs/>
                <w:sz w:val="20"/>
                <w:szCs w:val="20"/>
              </w:rPr>
              <w:t>4.7</w:t>
            </w:r>
          </w:p>
        </w:tc>
      </w:tr>
      <w:tr w:rsidR="005D1807" w:rsidRPr="002D6400" w14:paraId="4EDC444C" w14:textId="77777777" w:rsidTr="002D6400">
        <w:trPr>
          <w:trHeight w:val="58"/>
        </w:trPr>
        <w:tc>
          <w:tcPr>
            <w:tcW w:w="3720" w:type="dxa"/>
            <w:shd w:val="clear" w:color="auto" w:fill="auto"/>
          </w:tcPr>
          <w:p w14:paraId="3AC5D193" w14:textId="77777777" w:rsidR="005D1807" w:rsidRPr="002D6400" w:rsidRDefault="005D1807" w:rsidP="005D1807">
            <w:pPr>
              <w:spacing w:line="240" w:lineRule="auto"/>
              <w:rPr>
                <w:b w:val="0"/>
                <w:bCs/>
                <w:sz w:val="20"/>
                <w:szCs w:val="20"/>
              </w:rPr>
            </w:pPr>
            <w:r w:rsidRPr="002D6400">
              <w:rPr>
                <w:b w:val="0"/>
                <w:bCs/>
                <w:sz w:val="20"/>
                <w:szCs w:val="20"/>
              </w:rPr>
              <w:lastRenderedPageBreak/>
              <w:t xml:space="preserve">Գյուղատնտեսություն </w:t>
            </w:r>
          </w:p>
        </w:tc>
        <w:tc>
          <w:tcPr>
            <w:tcW w:w="1286" w:type="dxa"/>
            <w:shd w:val="clear" w:color="auto" w:fill="auto"/>
          </w:tcPr>
          <w:p w14:paraId="5205BCB5" w14:textId="77777777" w:rsidR="005D1807" w:rsidRPr="002D6400" w:rsidRDefault="005D1807" w:rsidP="005D1807">
            <w:pPr>
              <w:spacing w:line="240" w:lineRule="auto"/>
              <w:rPr>
                <w:b w:val="0"/>
                <w:bCs/>
                <w:sz w:val="20"/>
                <w:szCs w:val="20"/>
              </w:rPr>
            </w:pPr>
            <w:r w:rsidRPr="002D6400">
              <w:rPr>
                <w:b w:val="0"/>
                <w:bCs/>
                <w:sz w:val="20"/>
                <w:szCs w:val="20"/>
              </w:rPr>
              <w:t>-3.7</w:t>
            </w:r>
          </w:p>
        </w:tc>
        <w:tc>
          <w:tcPr>
            <w:tcW w:w="1143" w:type="dxa"/>
            <w:shd w:val="clear" w:color="auto" w:fill="auto"/>
          </w:tcPr>
          <w:p w14:paraId="41255075" w14:textId="77777777" w:rsidR="005D1807" w:rsidRPr="002D6400" w:rsidRDefault="005D1807" w:rsidP="005D1807">
            <w:pPr>
              <w:spacing w:line="240" w:lineRule="auto"/>
              <w:rPr>
                <w:b w:val="0"/>
                <w:bCs/>
                <w:sz w:val="20"/>
                <w:szCs w:val="20"/>
              </w:rPr>
            </w:pPr>
            <w:r w:rsidRPr="002D6400">
              <w:rPr>
                <w:b w:val="0"/>
                <w:bCs/>
                <w:sz w:val="20"/>
                <w:szCs w:val="20"/>
              </w:rPr>
              <w:t>-0.8</w:t>
            </w:r>
          </w:p>
        </w:tc>
        <w:tc>
          <w:tcPr>
            <w:tcW w:w="1162" w:type="dxa"/>
            <w:shd w:val="clear" w:color="auto" w:fill="auto"/>
          </w:tcPr>
          <w:p w14:paraId="4F8C7723" w14:textId="77777777" w:rsidR="005D1807" w:rsidRPr="002D6400" w:rsidRDefault="005D1807" w:rsidP="005D1807">
            <w:pPr>
              <w:spacing w:line="240" w:lineRule="auto"/>
              <w:rPr>
                <w:b w:val="0"/>
                <w:bCs/>
                <w:sz w:val="20"/>
                <w:szCs w:val="20"/>
              </w:rPr>
            </w:pPr>
            <w:r w:rsidRPr="002D6400">
              <w:rPr>
                <w:b w:val="0"/>
                <w:bCs/>
                <w:sz w:val="20"/>
                <w:szCs w:val="20"/>
              </w:rPr>
              <w:t>-0.7</w:t>
            </w:r>
          </w:p>
        </w:tc>
        <w:tc>
          <w:tcPr>
            <w:tcW w:w="1143" w:type="dxa"/>
            <w:shd w:val="clear" w:color="auto" w:fill="auto"/>
          </w:tcPr>
          <w:p w14:paraId="5AC3635D" w14:textId="77777777" w:rsidR="005D1807" w:rsidRPr="002D6400" w:rsidRDefault="005D1807" w:rsidP="005D1807">
            <w:pPr>
              <w:spacing w:line="240" w:lineRule="auto"/>
              <w:rPr>
                <w:b w:val="0"/>
                <w:bCs/>
                <w:sz w:val="20"/>
                <w:szCs w:val="20"/>
              </w:rPr>
            </w:pPr>
            <w:r w:rsidRPr="002D6400">
              <w:rPr>
                <w:b w:val="0"/>
                <w:bCs/>
                <w:sz w:val="20"/>
                <w:szCs w:val="20"/>
              </w:rPr>
              <w:t>1.2</w:t>
            </w:r>
          </w:p>
        </w:tc>
        <w:tc>
          <w:tcPr>
            <w:tcW w:w="1343" w:type="dxa"/>
            <w:shd w:val="clear" w:color="auto" w:fill="auto"/>
          </w:tcPr>
          <w:p w14:paraId="14C7C4F9" w14:textId="77777777" w:rsidR="005D1807" w:rsidRPr="002D6400" w:rsidRDefault="005D1807" w:rsidP="005D1807">
            <w:pPr>
              <w:spacing w:line="240" w:lineRule="auto"/>
              <w:rPr>
                <w:b w:val="0"/>
                <w:bCs/>
                <w:sz w:val="20"/>
                <w:szCs w:val="20"/>
              </w:rPr>
            </w:pPr>
            <w:r w:rsidRPr="002D6400">
              <w:rPr>
                <w:b w:val="0"/>
                <w:bCs/>
                <w:sz w:val="20"/>
                <w:szCs w:val="20"/>
              </w:rPr>
              <w:t>3.5</w:t>
            </w:r>
          </w:p>
        </w:tc>
      </w:tr>
      <w:tr w:rsidR="005D1807" w:rsidRPr="002D6400" w14:paraId="741FA80F" w14:textId="77777777" w:rsidTr="002D6400">
        <w:trPr>
          <w:trHeight w:val="233"/>
        </w:trPr>
        <w:tc>
          <w:tcPr>
            <w:tcW w:w="3720" w:type="dxa"/>
            <w:shd w:val="clear" w:color="auto" w:fill="auto"/>
            <w:noWrap/>
          </w:tcPr>
          <w:p w14:paraId="7334E828" w14:textId="77777777" w:rsidR="005D1807" w:rsidRPr="002D6400" w:rsidRDefault="005D1807" w:rsidP="005D1807">
            <w:pPr>
              <w:spacing w:line="240" w:lineRule="auto"/>
              <w:rPr>
                <w:b w:val="0"/>
                <w:bCs/>
                <w:sz w:val="20"/>
                <w:szCs w:val="20"/>
              </w:rPr>
            </w:pPr>
            <w:r w:rsidRPr="002D6400">
              <w:rPr>
                <w:b w:val="0"/>
                <w:bCs/>
                <w:sz w:val="20"/>
                <w:szCs w:val="20"/>
              </w:rPr>
              <w:t xml:space="preserve">Շինարարություն </w:t>
            </w:r>
          </w:p>
        </w:tc>
        <w:tc>
          <w:tcPr>
            <w:tcW w:w="1286" w:type="dxa"/>
            <w:shd w:val="clear" w:color="auto" w:fill="auto"/>
          </w:tcPr>
          <w:p w14:paraId="4FBB2A7C" w14:textId="77777777" w:rsidR="005D1807" w:rsidRPr="002D6400" w:rsidRDefault="005D1807" w:rsidP="005D1807">
            <w:pPr>
              <w:spacing w:line="240" w:lineRule="auto"/>
              <w:rPr>
                <w:b w:val="0"/>
                <w:bCs/>
                <w:sz w:val="20"/>
                <w:szCs w:val="20"/>
              </w:rPr>
            </w:pPr>
            <w:r w:rsidRPr="002D6400">
              <w:rPr>
                <w:b w:val="0"/>
                <w:bCs/>
                <w:sz w:val="20"/>
                <w:szCs w:val="20"/>
              </w:rPr>
              <w:t>-5.9</w:t>
            </w:r>
          </w:p>
        </w:tc>
        <w:tc>
          <w:tcPr>
            <w:tcW w:w="1143" w:type="dxa"/>
            <w:shd w:val="clear" w:color="auto" w:fill="auto"/>
          </w:tcPr>
          <w:p w14:paraId="5A59BCE0" w14:textId="77777777" w:rsidR="005D1807" w:rsidRPr="002D6400" w:rsidRDefault="005D1807" w:rsidP="005D1807">
            <w:pPr>
              <w:spacing w:line="240" w:lineRule="auto"/>
              <w:rPr>
                <w:b w:val="0"/>
                <w:bCs/>
                <w:sz w:val="20"/>
                <w:szCs w:val="20"/>
              </w:rPr>
            </w:pPr>
            <w:r w:rsidRPr="002D6400">
              <w:rPr>
                <w:b w:val="0"/>
                <w:bCs/>
                <w:sz w:val="20"/>
                <w:szCs w:val="20"/>
              </w:rPr>
              <w:t>3.1</w:t>
            </w:r>
          </w:p>
        </w:tc>
        <w:tc>
          <w:tcPr>
            <w:tcW w:w="1162" w:type="dxa"/>
            <w:shd w:val="clear" w:color="auto" w:fill="auto"/>
          </w:tcPr>
          <w:p w14:paraId="3FAFB172" w14:textId="77777777" w:rsidR="005D1807" w:rsidRPr="002D6400" w:rsidRDefault="005D1807" w:rsidP="005D1807">
            <w:pPr>
              <w:spacing w:line="240" w:lineRule="auto"/>
              <w:rPr>
                <w:b w:val="0"/>
                <w:bCs/>
                <w:sz w:val="20"/>
                <w:szCs w:val="20"/>
              </w:rPr>
            </w:pPr>
            <w:r w:rsidRPr="002D6400">
              <w:rPr>
                <w:b w:val="0"/>
                <w:bCs/>
                <w:sz w:val="20"/>
                <w:szCs w:val="20"/>
              </w:rPr>
              <w:t>18.8</w:t>
            </w:r>
          </w:p>
        </w:tc>
        <w:tc>
          <w:tcPr>
            <w:tcW w:w="1143" w:type="dxa"/>
            <w:shd w:val="clear" w:color="auto" w:fill="auto"/>
          </w:tcPr>
          <w:p w14:paraId="5237349C" w14:textId="77777777" w:rsidR="005D1807" w:rsidRPr="002D6400" w:rsidRDefault="005D1807" w:rsidP="005D1807">
            <w:pPr>
              <w:spacing w:line="240" w:lineRule="auto"/>
              <w:rPr>
                <w:b w:val="0"/>
                <w:bCs/>
                <w:sz w:val="20"/>
                <w:szCs w:val="20"/>
              </w:rPr>
            </w:pPr>
            <w:r w:rsidRPr="002D6400">
              <w:rPr>
                <w:b w:val="0"/>
                <w:bCs/>
                <w:sz w:val="20"/>
                <w:szCs w:val="20"/>
              </w:rPr>
              <w:t>17.6</w:t>
            </w:r>
          </w:p>
        </w:tc>
        <w:tc>
          <w:tcPr>
            <w:tcW w:w="1343" w:type="dxa"/>
            <w:shd w:val="clear" w:color="auto" w:fill="auto"/>
          </w:tcPr>
          <w:p w14:paraId="2AEA287A" w14:textId="77777777" w:rsidR="005D1807" w:rsidRPr="002D6400" w:rsidRDefault="005D1807" w:rsidP="005D1807">
            <w:pPr>
              <w:spacing w:line="240" w:lineRule="auto"/>
              <w:rPr>
                <w:b w:val="0"/>
                <w:bCs/>
                <w:sz w:val="20"/>
                <w:szCs w:val="20"/>
              </w:rPr>
            </w:pPr>
            <w:r w:rsidRPr="002D6400">
              <w:rPr>
                <w:b w:val="0"/>
                <w:bCs/>
                <w:sz w:val="20"/>
                <w:szCs w:val="20"/>
              </w:rPr>
              <w:t>8.9</w:t>
            </w:r>
          </w:p>
        </w:tc>
      </w:tr>
      <w:tr w:rsidR="005D1807" w:rsidRPr="002D6400" w14:paraId="2D424B7E" w14:textId="77777777" w:rsidTr="002D6400">
        <w:trPr>
          <w:trHeight w:val="233"/>
        </w:trPr>
        <w:tc>
          <w:tcPr>
            <w:tcW w:w="3720" w:type="dxa"/>
            <w:shd w:val="clear" w:color="auto" w:fill="auto"/>
            <w:noWrap/>
          </w:tcPr>
          <w:p w14:paraId="7D7F3C2F" w14:textId="77777777" w:rsidR="005D1807" w:rsidRPr="002D6400" w:rsidRDefault="005D1807" w:rsidP="005D1807">
            <w:pPr>
              <w:spacing w:line="240" w:lineRule="auto"/>
              <w:rPr>
                <w:b w:val="0"/>
                <w:bCs/>
                <w:sz w:val="20"/>
                <w:szCs w:val="20"/>
              </w:rPr>
            </w:pPr>
            <w:r w:rsidRPr="002D6400">
              <w:rPr>
                <w:b w:val="0"/>
                <w:bCs/>
                <w:sz w:val="20"/>
                <w:szCs w:val="20"/>
              </w:rPr>
              <w:t>Ծառայություններ</w:t>
            </w:r>
          </w:p>
        </w:tc>
        <w:tc>
          <w:tcPr>
            <w:tcW w:w="1286" w:type="dxa"/>
            <w:shd w:val="clear" w:color="auto" w:fill="auto"/>
          </w:tcPr>
          <w:p w14:paraId="1534D748" w14:textId="77777777" w:rsidR="005D1807" w:rsidRPr="002D6400" w:rsidRDefault="005D1807" w:rsidP="005D1807">
            <w:pPr>
              <w:spacing w:line="240" w:lineRule="auto"/>
              <w:rPr>
                <w:b w:val="0"/>
                <w:bCs/>
                <w:sz w:val="20"/>
                <w:szCs w:val="20"/>
              </w:rPr>
            </w:pPr>
            <w:r w:rsidRPr="002D6400">
              <w:rPr>
                <w:b w:val="0"/>
                <w:bCs/>
                <w:sz w:val="20"/>
                <w:szCs w:val="20"/>
              </w:rPr>
              <w:t>-9.6</w:t>
            </w:r>
          </w:p>
        </w:tc>
        <w:tc>
          <w:tcPr>
            <w:tcW w:w="1143" w:type="dxa"/>
            <w:shd w:val="clear" w:color="auto" w:fill="auto"/>
          </w:tcPr>
          <w:p w14:paraId="2733908B" w14:textId="77777777" w:rsidR="005D1807" w:rsidRPr="002D6400" w:rsidRDefault="005D1807" w:rsidP="005D1807">
            <w:pPr>
              <w:spacing w:line="240" w:lineRule="auto"/>
              <w:rPr>
                <w:b w:val="0"/>
                <w:bCs/>
                <w:sz w:val="20"/>
                <w:szCs w:val="20"/>
              </w:rPr>
            </w:pPr>
            <w:r w:rsidRPr="002D6400">
              <w:rPr>
                <w:b w:val="0"/>
                <w:bCs/>
                <w:sz w:val="20"/>
                <w:szCs w:val="20"/>
              </w:rPr>
              <w:t>8.6</w:t>
            </w:r>
          </w:p>
        </w:tc>
        <w:tc>
          <w:tcPr>
            <w:tcW w:w="1162" w:type="dxa"/>
            <w:shd w:val="clear" w:color="auto" w:fill="auto"/>
          </w:tcPr>
          <w:p w14:paraId="003CDE7F" w14:textId="77777777" w:rsidR="005D1807" w:rsidRPr="002D6400" w:rsidRDefault="005D1807" w:rsidP="005D1807">
            <w:pPr>
              <w:spacing w:line="240" w:lineRule="auto"/>
              <w:rPr>
                <w:b w:val="0"/>
                <w:bCs/>
                <w:sz w:val="20"/>
                <w:szCs w:val="20"/>
              </w:rPr>
            </w:pPr>
            <w:r w:rsidRPr="002D6400">
              <w:rPr>
                <w:b w:val="0"/>
                <w:bCs/>
                <w:sz w:val="20"/>
                <w:szCs w:val="20"/>
              </w:rPr>
              <w:t>18.3</w:t>
            </w:r>
          </w:p>
        </w:tc>
        <w:tc>
          <w:tcPr>
            <w:tcW w:w="1143" w:type="dxa"/>
            <w:shd w:val="clear" w:color="auto" w:fill="auto"/>
          </w:tcPr>
          <w:p w14:paraId="3A3051E1" w14:textId="77777777" w:rsidR="005D1807" w:rsidRPr="002D6400" w:rsidRDefault="005D1807" w:rsidP="005D1807">
            <w:pPr>
              <w:spacing w:line="240" w:lineRule="auto"/>
              <w:rPr>
                <w:b w:val="0"/>
                <w:bCs/>
                <w:sz w:val="20"/>
                <w:szCs w:val="20"/>
              </w:rPr>
            </w:pPr>
            <w:r w:rsidRPr="002D6400">
              <w:rPr>
                <w:b w:val="0"/>
                <w:bCs/>
                <w:sz w:val="20"/>
                <w:szCs w:val="20"/>
              </w:rPr>
              <w:t>8.6</w:t>
            </w:r>
          </w:p>
        </w:tc>
        <w:tc>
          <w:tcPr>
            <w:tcW w:w="1343" w:type="dxa"/>
            <w:shd w:val="clear" w:color="auto" w:fill="auto"/>
          </w:tcPr>
          <w:p w14:paraId="6AC1F0DD" w14:textId="77777777" w:rsidR="005D1807" w:rsidRPr="002D6400" w:rsidRDefault="005D1807" w:rsidP="005D1807">
            <w:pPr>
              <w:spacing w:line="240" w:lineRule="auto"/>
              <w:rPr>
                <w:b w:val="0"/>
                <w:bCs/>
                <w:sz w:val="20"/>
                <w:szCs w:val="20"/>
              </w:rPr>
            </w:pPr>
            <w:r w:rsidRPr="002D6400">
              <w:rPr>
                <w:b w:val="0"/>
                <w:bCs/>
                <w:sz w:val="20"/>
                <w:szCs w:val="20"/>
              </w:rPr>
              <w:t>7.9</w:t>
            </w:r>
          </w:p>
        </w:tc>
      </w:tr>
      <w:tr w:rsidR="002D6400" w:rsidRPr="002D6400" w14:paraId="0FABEB7B" w14:textId="77777777" w:rsidTr="002D6400">
        <w:trPr>
          <w:trHeight w:val="233"/>
        </w:trPr>
        <w:tc>
          <w:tcPr>
            <w:tcW w:w="3720" w:type="dxa"/>
            <w:tcBorders>
              <w:bottom w:val="single" w:sz="4" w:space="0" w:color="auto"/>
            </w:tcBorders>
            <w:shd w:val="clear" w:color="auto" w:fill="auto"/>
            <w:noWrap/>
          </w:tcPr>
          <w:p w14:paraId="6356E841" w14:textId="77777777" w:rsidR="005D1807" w:rsidRPr="002D6400" w:rsidRDefault="005D1807" w:rsidP="005D1807">
            <w:pPr>
              <w:spacing w:line="240" w:lineRule="auto"/>
              <w:rPr>
                <w:b w:val="0"/>
                <w:bCs/>
                <w:sz w:val="20"/>
                <w:szCs w:val="20"/>
              </w:rPr>
            </w:pPr>
            <w:r w:rsidRPr="002D6400">
              <w:rPr>
                <w:b w:val="0"/>
                <w:bCs/>
                <w:sz w:val="20"/>
                <w:szCs w:val="20"/>
              </w:rPr>
              <w:t>Զուտ հարկեր</w:t>
            </w:r>
          </w:p>
        </w:tc>
        <w:tc>
          <w:tcPr>
            <w:tcW w:w="1286" w:type="dxa"/>
            <w:tcBorders>
              <w:bottom w:val="single" w:sz="4" w:space="0" w:color="auto"/>
            </w:tcBorders>
            <w:shd w:val="clear" w:color="auto" w:fill="auto"/>
          </w:tcPr>
          <w:p w14:paraId="1818EA65" w14:textId="77777777" w:rsidR="005D1807" w:rsidRPr="002D6400" w:rsidRDefault="005D1807" w:rsidP="005D1807">
            <w:pPr>
              <w:spacing w:line="240" w:lineRule="auto"/>
              <w:rPr>
                <w:b w:val="0"/>
                <w:bCs/>
                <w:sz w:val="20"/>
                <w:szCs w:val="20"/>
              </w:rPr>
            </w:pPr>
            <w:r w:rsidRPr="002D6400">
              <w:rPr>
                <w:b w:val="0"/>
                <w:bCs/>
                <w:sz w:val="20"/>
                <w:szCs w:val="20"/>
              </w:rPr>
              <w:t>-9.9</w:t>
            </w:r>
          </w:p>
        </w:tc>
        <w:tc>
          <w:tcPr>
            <w:tcW w:w="1143" w:type="dxa"/>
            <w:tcBorders>
              <w:bottom w:val="single" w:sz="4" w:space="0" w:color="auto"/>
            </w:tcBorders>
            <w:shd w:val="clear" w:color="auto" w:fill="auto"/>
          </w:tcPr>
          <w:p w14:paraId="0EE4E3EF" w14:textId="77777777" w:rsidR="005D1807" w:rsidRPr="002D6400" w:rsidRDefault="005D1807" w:rsidP="005D1807">
            <w:pPr>
              <w:spacing w:line="240" w:lineRule="auto"/>
              <w:rPr>
                <w:b w:val="0"/>
                <w:bCs/>
                <w:sz w:val="20"/>
                <w:szCs w:val="20"/>
              </w:rPr>
            </w:pPr>
            <w:r w:rsidRPr="002D6400">
              <w:rPr>
                <w:b w:val="0"/>
                <w:bCs/>
                <w:sz w:val="20"/>
                <w:szCs w:val="20"/>
              </w:rPr>
              <w:t>7.4</w:t>
            </w:r>
          </w:p>
        </w:tc>
        <w:tc>
          <w:tcPr>
            <w:tcW w:w="1162" w:type="dxa"/>
            <w:tcBorders>
              <w:bottom w:val="single" w:sz="4" w:space="0" w:color="auto"/>
            </w:tcBorders>
            <w:shd w:val="clear" w:color="auto" w:fill="auto"/>
          </w:tcPr>
          <w:p w14:paraId="7E0906FC" w14:textId="77777777" w:rsidR="005D1807" w:rsidRPr="002D6400" w:rsidRDefault="005D1807" w:rsidP="005D1807">
            <w:pPr>
              <w:spacing w:line="240" w:lineRule="auto"/>
              <w:rPr>
                <w:b w:val="0"/>
                <w:bCs/>
                <w:sz w:val="20"/>
                <w:szCs w:val="20"/>
              </w:rPr>
            </w:pPr>
            <w:r w:rsidRPr="002D6400">
              <w:rPr>
                <w:b w:val="0"/>
                <w:bCs/>
                <w:sz w:val="20"/>
                <w:szCs w:val="20"/>
              </w:rPr>
              <w:t>8.1</w:t>
            </w:r>
          </w:p>
        </w:tc>
        <w:tc>
          <w:tcPr>
            <w:tcW w:w="1143" w:type="dxa"/>
            <w:tcBorders>
              <w:bottom w:val="single" w:sz="4" w:space="0" w:color="auto"/>
            </w:tcBorders>
            <w:shd w:val="clear" w:color="auto" w:fill="auto"/>
          </w:tcPr>
          <w:p w14:paraId="3B5DF678" w14:textId="77777777" w:rsidR="005D1807" w:rsidRPr="002D6400" w:rsidRDefault="005D1807" w:rsidP="005D1807">
            <w:pPr>
              <w:spacing w:line="240" w:lineRule="auto"/>
              <w:rPr>
                <w:b w:val="0"/>
                <w:bCs/>
                <w:sz w:val="20"/>
                <w:szCs w:val="20"/>
              </w:rPr>
            </w:pPr>
            <w:r w:rsidRPr="002D6400">
              <w:rPr>
                <w:b w:val="0"/>
                <w:bCs/>
                <w:sz w:val="20"/>
                <w:szCs w:val="20"/>
              </w:rPr>
              <w:t>12.2</w:t>
            </w:r>
          </w:p>
        </w:tc>
        <w:tc>
          <w:tcPr>
            <w:tcW w:w="1343" w:type="dxa"/>
            <w:tcBorders>
              <w:bottom w:val="single" w:sz="4" w:space="0" w:color="auto"/>
            </w:tcBorders>
            <w:shd w:val="clear" w:color="auto" w:fill="auto"/>
          </w:tcPr>
          <w:p w14:paraId="1EC53C6D" w14:textId="77777777" w:rsidR="005D1807" w:rsidRPr="002D6400" w:rsidRDefault="005D1807" w:rsidP="005D1807">
            <w:pPr>
              <w:spacing w:line="240" w:lineRule="auto"/>
              <w:rPr>
                <w:b w:val="0"/>
                <w:bCs/>
                <w:sz w:val="20"/>
                <w:szCs w:val="20"/>
              </w:rPr>
            </w:pPr>
            <w:r w:rsidRPr="002D6400">
              <w:rPr>
                <w:b w:val="0"/>
                <w:bCs/>
                <w:sz w:val="20"/>
                <w:szCs w:val="20"/>
              </w:rPr>
              <w:t>7.3</w:t>
            </w:r>
          </w:p>
        </w:tc>
      </w:tr>
      <w:tr w:rsidR="005D1807" w:rsidRPr="002D6400" w14:paraId="24788D1A" w14:textId="77777777" w:rsidTr="002D6400">
        <w:trPr>
          <w:trHeight w:val="233"/>
        </w:trPr>
        <w:tc>
          <w:tcPr>
            <w:tcW w:w="9800" w:type="dxa"/>
            <w:gridSpan w:val="6"/>
            <w:tcBorders>
              <w:top w:val="single" w:sz="4" w:space="0" w:color="auto"/>
            </w:tcBorders>
            <w:shd w:val="clear" w:color="auto" w:fill="auto"/>
            <w:noWrap/>
            <w:vAlign w:val="center"/>
          </w:tcPr>
          <w:p w14:paraId="517584E8" w14:textId="77777777" w:rsidR="005D1807" w:rsidRPr="002D6400" w:rsidRDefault="005D1807" w:rsidP="005D1807">
            <w:pPr>
              <w:spacing w:line="240" w:lineRule="auto"/>
              <w:rPr>
                <w:b w:val="0"/>
                <w:bCs/>
                <w:sz w:val="20"/>
                <w:szCs w:val="20"/>
              </w:rPr>
            </w:pPr>
            <w:r w:rsidRPr="002D6400">
              <w:rPr>
                <w:b w:val="0"/>
                <w:bCs/>
                <w:sz w:val="20"/>
                <w:szCs w:val="20"/>
              </w:rPr>
              <w:t>ՀՆԱ ծախսային բաղադրիչների իրական աճերը, %</w:t>
            </w:r>
          </w:p>
        </w:tc>
      </w:tr>
      <w:tr w:rsidR="005D1807" w:rsidRPr="002D6400" w14:paraId="6E517919" w14:textId="77777777" w:rsidTr="002D6400">
        <w:trPr>
          <w:trHeight w:val="233"/>
        </w:trPr>
        <w:tc>
          <w:tcPr>
            <w:tcW w:w="3720" w:type="dxa"/>
            <w:shd w:val="clear" w:color="auto" w:fill="auto"/>
          </w:tcPr>
          <w:p w14:paraId="3FC9E999" w14:textId="77777777" w:rsidR="005D1807" w:rsidRPr="002D6400" w:rsidRDefault="005D1807" w:rsidP="005D1807">
            <w:pPr>
              <w:spacing w:line="240" w:lineRule="auto"/>
              <w:rPr>
                <w:b w:val="0"/>
                <w:bCs/>
                <w:sz w:val="20"/>
                <w:szCs w:val="20"/>
              </w:rPr>
            </w:pPr>
            <w:r w:rsidRPr="002D6400">
              <w:rPr>
                <w:b w:val="0"/>
                <w:bCs/>
                <w:sz w:val="20"/>
                <w:szCs w:val="20"/>
              </w:rPr>
              <w:t>Վերջնական սպառում</w:t>
            </w:r>
          </w:p>
        </w:tc>
        <w:tc>
          <w:tcPr>
            <w:tcW w:w="1286" w:type="dxa"/>
            <w:shd w:val="clear" w:color="auto" w:fill="auto"/>
          </w:tcPr>
          <w:p w14:paraId="4013738A" w14:textId="77777777" w:rsidR="005D1807" w:rsidRPr="002D6400" w:rsidRDefault="005D1807" w:rsidP="005D1807">
            <w:pPr>
              <w:spacing w:line="240" w:lineRule="auto"/>
              <w:rPr>
                <w:b w:val="0"/>
                <w:bCs/>
                <w:sz w:val="20"/>
                <w:szCs w:val="20"/>
              </w:rPr>
            </w:pPr>
            <w:r w:rsidRPr="002D6400">
              <w:rPr>
                <w:b w:val="0"/>
                <w:bCs/>
                <w:sz w:val="20"/>
                <w:szCs w:val="20"/>
              </w:rPr>
              <w:t>-10.9</w:t>
            </w:r>
          </w:p>
        </w:tc>
        <w:tc>
          <w:tcPr>
            <w:tcW w:w="1143" w:type="dxa"/>
            <w:shd w:val="clear" w:color="auto" w:fill="auto"/>
          </w:tcPr>
          <w:p w14:paraId="4544509F" w14:textId="77777777" w:rsidR="005D1807" w:rsidRPr="002D6400" w:rsidRDefault="005D1807" w:rsidP="005D1807">
            <w:pPr>
              <w:spacing w:line="240" w:lineRule="auto"/>
              <w:rPr>
                <w:b w:val="0"/>
                <w:bCs/>
                <w:sz w:val="20"/>
                <w:szCs w:val="20"/>
              </w:rPr>
            </w:pPr>
            <w:r w:rsidRPr="002D6400">
              <w:rPr>
                <w:b w:val="0"/>
                <w:bCs/>
                <w:sz w:val="20"/>
                <w:szCs w:val="20"/>
              </w:rPr>
              <w:t>1.3</w:t>
            </w:r>
          </w:p>
        </w:tc>
        <w:tc>
          <w:tcPr>
            <w:tcW w:w="1162" w:type="dxa"/>
            <w:shd w:val="clear" w:color="auto" w:fill="auto"/>
          </w:tcPr>
          <w:p w14:paraId="68D5B548" w14:textId="77777777" w:rsidR="005D1807" w:rsidRPr="002D6400" w:rsidRDefault="005D1807" w:rsidP="005D1807">
            <w:pPr>
              <w:spacing w:line="240" w:lineRule="auto"/>
              <w:rPr>
                <w:b w:val="0"/>
                <w:bCs/>
                <w:sz w:val="20"/>
                <w:szCs w:val="20"/>
              </w:rPr>
            </w:pPr>
            <w:r w:rsidRPr="002D6400">
              <w:rPr>
                <w:b w:val="0"/>
                <w:bCs/>
                <w:sz w:val="20"/>
                <w:szCs w:val="20"/>
              </w:rPr>
              <w:t>5.6</w:t>
            </w:r>
          </w:p>
        </w:tc>
        <w:tc>
          <w:tcPr>
            <w:tcW w:w="1143" w:type="dxa"/>
            <w:shd w:val="clear" w:color="auto" w:fill="auto"/>
          </w:tcPr>
          <w:p w14:paraId="69987CF8" w14:textId="77777777" w:rsidR="005D1807" w:rsidRPr="002D6400" w:rsidRDefault="005D1807" w:rsidP="005D1807">
            <w:pPr>
              <w:spacing w:line="240" w:lineRule="auto"/>
              <w:rPr>
                <w:b w:val="0"/>
                <w:bCs/>
                <w:sz w:val="20"/>
                <w:szCs w:val="20"/>
              </w:rPr>
            </w:pPr>
            <w:r w:rsidRPr="002D6400">
              <w:rPr>
                <w:b w:val="0"/>
                <w:bCs/>
                <w:sz w:val="20"/>
                <w:szCs w:val="20"/>
              </w:rPr>
              <w:t>8.7</w:t>
            </w:r>
          </w:p>
        </w:tc>
        <w:tc>
          <w:tcPr>
            <w:tcW w:w="1343" w:type="dxa"/>
            <w:shd w:val="clear" w:color="auto" w:fill="auto"/>
          </w:tcPr>
          <w:p w14:paraId="19FF32ED" w14:textId="77777777" w:rsidR="005D1807" w:rsidRPr="002D6400" w:rsidRDefault="005D1807" w:rsidP="005D1807">
            <w:pPr>
              <w:spacing w:line="240" w:lineRule="auto"/>
              <w:rPr>
                <w:b w:val="0"/>
                <w:bCs/>
                <w:sz w:val="20"/>
                <w:szCs w:val="20"/>
              </w:rPr>
            </w:pPr>
            <w:r w:rsidRPr="002D6400">
              <w:rPr>
                <w:b w:val="0"/>
                <w:bCs/>
                <w:sz w:val="20"/>
                <w:szCs w:val="20"/>
              </w:rPr>
              <w:t>7.7</w:t>
            </w:r>
          </w:p>
        </w:tc>
      </w:tr>
      <w:tr w:rsidR="005D1807" w:rsidRPr="002D6400" w14:paraId="5E52AF9D" w14:textId="77777777" w:rsidTr="002D6400">
        <w:trPr>
          <w:trHeight w:val="233"/>
        </w:trPr>
        <w:tc>
          <w:tcPr>
            <w:tcW w:w="3720" w:type="dxa"/>
            <w:shd w:val="clear" w:color="auto" w:fill="auto"/>
          </w:tcPr>
          <w:p w14:paraId="469FAD77" w14:textId="77777777" w:rsidR="005D1807" w:rsidRPr="002D6400" w:rsidRDefault="005D1807" w:rsidP="005D1807">
            <w:pPr>
              <w:spacing w:line="240" w:lineRule="auto"/>
              <w:rPr>
                <w:b w:val="0"/>
                <w:bCs/>
                <w:sz w:val="20"/>
                <w:szCs w:val="20"/>
              </w:rPr>
            </w:pPr>
            <w:r w:rsidRPr="002D6400">
              <w:rPr>
                <w:b w:val="0"/>
                <w:bCs/>
                <w:sz w:val="20"/>
                <w:szCs w:val="20"/>
              </w:rPr>
              <w:t>Պետական</w:t>
            </w:r>
          </w:p>
        </w:tc>
        <w:tc>
          <w:tcPr>
            <w:tcW w:w="1286" w:type="dxa"/>
            <w:shd w:val="clear" w:color="auto" w:fill="auto"/>
          </w:tcPr>
          <w:p w14:paraId="76CE91F5" w14:textId="77777777" w:rsidR="005D1807" w:rsidRPr="002D6400" w:rsidRDefault="005D1807" w:rsidP="005D1807">
            <w:pPr>
              <w:spacing w:line="240" w:lineRule="auto"/>
              <w:rPr>
                <w:b w:val="0"/>
                <w:bCs/>
                <w:sz w:val="20"/>
                <w:szCs w:val="20"/>
              </w:rPr>
            </w:pPr>
            <w:r w:rsidRPr="002D6400">
              <w:rPr>
                <w:b w:val="0"/>
                <w:bCs/>
                <w:sz w:val="20"/>
                <w:szCs w:val="20"/>
              </w:rPr>
              <w:t>9.2</w:t>
            </w:r>
          </w:p>
        </w:tc>
        <w:tc>
          <w:tcPr>
            <w:tcW w:w="1143" w:type="dxa"/>
            <w:shd w:val="clear" w:color="auto" w:fill="auto"/>
          </w:tcPr>
          <w:p w14:paraId="6DC25B23" w14:textId="77777777" w:rsidR="005D1807" w:rsidRPr="002D6400" w:rsidRDefault="005D1807" w:rsidP="005D1807">
            <w:pPr>
              <w:spacing w:line="240" w:lineRule="auto"/>
              <w:rPr>
                <w:b w:val="0"/>
                <w:bCs/>
                <w:sz w:val="20"/>
                <w:szCs w:val="20"/>
              </w:rPr>
            </w:pPr>
            <w:r w:rsidRPr="002D6400">
              <w:rPr>
                <w:b w:val="0"/>
                <w:bCs/>
                <w:sz w:val="20"/>
                <w:szCs w:val="20"/>
              </w:rPr>
              <w:t>-6.2</w:t>
            </w:r>
          </w:p>
        </w:tc>
        <w:tc>
          <w:tcPr>
            <w:tcW w:w="1162" w:type="dxa"/>
            <w:shd w:val="clear" w:color="auto" w:fill="auto"/>
          </w:tcPr>
          <w:p w14:paraId="542F46B9" w14:textId="77777777" w:rsidR="005D1807" w:rsidRPr="002D6400" w:rsidRDefault="005D1807" w:rsidP="005D1807">
            <w:pPr>
              <w:spacing w:line="240" w:lineRule="auto"/>
              <w:rPr>
                <w:b w:val="0"/>
                <w:bCs/>
                <w:sz w:val="20"/>
                <w:szCs w:val="20"/>
              </w:rPr>
            </w:pPr>
            <w:r w:rsidRPr="002D6400">
              <w:rPr>
                <w:b w:val="0"/>
                <w:bCs/>
                <w:sz w:val="20"/>
                <w:szCs w:val="20"/>
              </w:rPr>
              <w:t>6.3</w:t>
            </w:r>
          </w:p>
        </w:tc>
        <w:tc>
          <w:tcPr>
            <w:tcW w:w="1143" w:type="dxa"/>
            <w:shd w:val="clear" w:color="auto" w:fill="auto"/>
          </w:tcPr>
          <w:p w14:paraId="34B90E89" w14:textId="77777777" w:rsidR="005D1807" w:rsidRPr="002D6400" w:rsidRDefault="005D1807" w:rsidP="005D1807">
            <w:pPr>
              <w:spacing w:line="240" w:lineRule="auto"/>
              <w:rPr>
                <w:b w:val="0"/>
                <w:bCs/>
                <w:sz w:val="20"/>
                <w:szCs w:val="20"/>
              </w:rPr>
            </w:pPr>
            <w:r w:rsidRPr="002D6400">
              <w:rPr>
                <w:b w:val="0"/>
                <w:bCs/>
                <w:sz w:val="20"/>
                <w:szCs w:val="20"/>
              </w:rPr>
              <w:t>3.3</w:t>
            </w:r>
          </w:p>
        </w:tc>
        <w:tc>
          <w:tcPr>
            <w:tcW w:w="1343" w:type="dxa"/>
            <w:shd w:val="clear" w:color="auto" w:fill="auto"/>
          </w:tcPr>
          <w:p w14:paraId="3A6F63C1" w14:textId="77777777" w:rsidR="005D1807" w:rsidRPr="002D6400" w:rsidRDefault="005D1807" w:rsidP="005D1807">
            <w:pPr>
              <w:spacing w:line="240" w:lineRule="auto"/>
              <w:rPr>
                <w:b w:val="0"/>
                <w:bCs/>
                <w:sz w:val="20"/>
                <w:szCs w:val="20"/>
              </w:rPr>
            </w:pPr>
            <w:r w:rsidRPr="002D6400">
              <w:rPr>
                <w:b w:val="0"/>
                <w:bCs/>
                <w:sz w:val="20"/>
                <w:szCs w:val="20"/>
              </w:rPr>
              <w:t>9.0</w:t>
            </w:r>
          </w:p>
        </w:tc>
      </w:tr>
      <w:tr w:rsidR="005D1807" w:rsidRPr="002D6400" w14:paraId="7C22BD2E" w14:textId="77777777" w:rsidTr="002D6400">
        <w:trPr>
          <w:trHeight w:val="233"/>
        </w:trPr>
        <w:tc>
          <w:tcPr>
            <w:tcW w:w="3720" w:type="dxa"/>
            <w:shd w:val="clear" w:color="auto" w:fill="auto"/>
          </w:tcPr>
          <w:p w14:paraId="25280556" w14:textId="77777777" w:rsidR="005D1807" w:rsidRPr="002D6400" w:rsidRDefault="005D1807" w:rsidP="005D1807">
            <w:pPr>
              <w:spacing w:line="240" w:lineRule="auto"/>
              <w:rPr>
                <w:b w:val="0"/>
                <w:bCs/>
                <w:sz w:val="20"/>
                <w:szCs w:val="20"/>
              </w:rPr>
            </w:pPr>
            <w:r w:rsidRPr="002D6400">
              <w:rPr>
                <w:b w:val="0"/>
                <w:bCs/>
                <w:sz w:val="20"/>
                <w:szCs w:val="20"/>
              </w:rPr>
              <w:t>Մասնավոր</w:t>
            </w:r>
          </w:p>
        </w:tc>
        <w:tc>
          <w:tcPr>
            <w:tcW w:w="1286" w:type="dxa"/>
            <w:shd w:val="clear" w:color="auto" w:fill="auto"/>
          </w:tcPr>
          <w:p w14:paraId="0B616BEB" w14:textId="77777777" w:rsidR="005D1807" w:rsidRPr="002D6400" w:rsidRDefault="005D1807" w:rsidP="005D1807">
            <w:pPr>
              <w:spacing w:line="240" w:lineRule="auto"/>
              <w:rPr>
                <w:b w:val="0"/>
                <w:bCs/>
                <w:sz w:val="20"/>
                <w:szCs w:val="20"/>
              </w:rPr>
            </w:pPr>
            <w:r w:rsidRPr="002D6400">
              <w:rPr>
                <w:b w:val="0"/>
                <w:bCs/>
                <w:sz w:val="20"/>
                <w:szCs w:val="20"/>
              </w:rPr>
              <w:t>-14.0</w:t>
            </w:r>
          </w:p>
        </w:tc>
        <w:tc>
          <w:tcPr>
            <w:tcW w:w="1143" w:type="dxa"/>
            <w:shd w:val="clear" w:color="auto" w:fill="auto"/>
          </w:tcPr>
          <w:p w14:paraId="3375C846" w14:textId="77777777" w:rsidR="005D1807" w:rsidRPr="002D6400" w:rsidRDefault="005D1807" w:rsidP="005D1807">
            <w:pPr>
              <w:spacing w:line="240" w:lineRule="auto"/>
              <w:rPr>
                <w:b w:val="0"/>
                <w:bCs/>
                <w:sz w:val="20"/>
                <w:szCs w:val="20"/>
              </w:rPr>
            </w:pPr>
            <w:r w:rsidRPr="002D6400">
              <w:rPr>
                <w:b w:val="0"/>
                <w:bCs/>
                <w:sz w:val="20"/>
                <w:szCs w:val="20"/>
              </w:rPr>
              <w:t>2.8</w:t>
            </w:r>
          </w:p>
        </w:tc>
        <w:tc>
          <w:tcPr>
            <w:tcW w:w="1162" w:type="dxa"/>
            <w:shd w:val="clear" w:color="auto" w:fill="auto"/>
          </w:tcPr>
          <w:p w14:paraId="4890FE38" w14:textId="77777777" w:rsidR="005D1807" w:rsidRPr="002D6400" w:rsidRDefault="005D1807" w:rsidP="005D1807">
            <w:pPr>
              <w:spacing w:line="240" w:lineRule="auto"/>
              <w:rPr>
                <w:b w:val="0"/>
                <w:bCs/>
                <w:sz w:val="20"/>
                <w:szCs w:val="20"/>
              </w:rPr>
            </w:pPr>
            <w:r w:rsidRPr="002D6400">
              <w:rPr>
                <w:b w:val="0"/>
                <w:bCs/>
                <w:sz w:val="20"/>
                <w:szCs w:val="20"/>
              </w:rPr>
              <w:t>5.4</w:t>
            </w:r>
          </w:p>
        </w:tc>
        <w:tc>
          <w:tcPr>
            <w:tcW w:w="1143" w:type="dxa"/>
            <w:shd w:val="clear" w:color="auto" w:fill="auto"/>
          </w:tcPr>
          <w:p w14:paraId="7D758D8C" w14:textId="77777777" w:rsidR="005D1807" w:rsidRPr="002D6400" w:rsidRDefault="005D1807" w:rsidP="005D1807">
            <w:pPr>
              <w:spacing w:line="240" w:lineRule="auto"/>
              <w:rPr>
                <w:b w:val="0"/>
                <w:bCs/>
                <w:sz w:val="20"/>
                <w:szCs w:val="20"/>
              </w:rPr>
            </w:pPr>
            <w:r w:rsidRPr="002D6400">
              <w:rPr>
                <w:b w:val="0"/>
                <w:bCs/>
                <w:sz w:val="20"/>
                <w:szCs w:val="20"/>
              </w:rPr>
              <w:t>9.7</w:t>
            </w:r>
          </w:p>
        </w:tc>
        <w:tc>
          <w:tcPr>
            <w:tcW w:w="1343" w:type="dxa"/>
            <w:shd w:val="clear" w:color="auto" w:fill="auto"/>
          </w:tcPr>
          <w:p w14:paraId="21C42095" w14:textId="77777777" w:rsidR="005D1807" w:rsidRPr="002D6400" w:rsidRDefault="005D1807" w:rsidP="005D1807">
            <w:pPr>
              <w:spacing w:line="240" w:lineRule="auto"/>
              <w:rPr>
                <w:b w:val="0"/>
                <w:bCs/>
                <w:sz w:val="20"/>
                <w:szCs w:val="20"/>
              </w:rPr>
            </w:pPr>
            <w:r w:rsidRPr="002D6400">
              <w:rPr>
                <w:b w:val="0"/>
                <w:bCs/>
                <w:sz w:val="20"/>
                <w:szCs w:val="20"/>
              </w:rPr>
              <w:t>7.5</w:t>
            </w:r>
          </w:p>
        </w:tc>
      </w:tr>
      <w:tr w:rsidR="005D1807" w:rsidRPr="002D6400" w14:paraId="4BB63BAD" w14:textId="77777777" w:rsidTr="002D6400">
        <w:trPr>
          <w:trHeight w:val="233"/>
        </w:trPr>
        <w:tc>
          <w:tcPr>
            <w:tcW w:w="3720" w:type="dxa"/>
            <w:shd w:val="clear" w:color="auto" w:fill="auto"/>
          </w:tcPr>
          <w:p w14:paraId="5BC091BC" w14:textId="77777777" w:rsidR="005D1807" w:rsidRPr="002D6400" w:rsidRDefault="005D1807" w:rsidP="005D1807">
            <w:pPr>
              <w:spacing w:line="240" w:lineRule="auto"/>
              <w:rPr>
                <w:b w:val="0"/>
                <w:bCs/>
                <w:sz w:val="20"/>
                <w:szCs w:val="20"/>
              </w:rPr>
            </w:pPr>
            <w:r w:rsidRPr="002D6400">
              <w:rPr>
                <w:b w:val="0"/>
                <w:bCs/>
                <w:sz w:val="20"/>
                <w:szCs w:val="20"/>
              </w:rPr>
              <w:t>Հիմնական միջոցներում ներդրումներ</w:t>
            </w:r>
            <w:r w:rsidRPr="002D6400">
              <w:rPr>
                <w:b w:val="0"/>
                <w:bCs/>
                <w:sz w:val="20"/>
                <w:szCs w:val="20"/>
              </w:rPr>
              <w:footnoteReference w:id="1"/>
            </w:r>
          </w:p>
        </w:tc>
        <w:tc>
          <w:tcPr>
            <w:tcW w:w="1286" w:type="dxa"/>
            <w:shd w:val="clear" w:color="auto" w:fill="auto"/>
            <w:vAlign w:val="center"/>
          </w:tcPr>
          <w:p w14:paraId="05A3B53D" w14:textId="77777777" w:rsidR="005D1807" w:rsidRPr="002D6400" w:rsidRDefault="005D1807" w:rsidP="005D1807">
            <w:pPr>
              <w:spacing w:line="240" w:lineRule="auto"/>
              <w:rPr>
                <w:b w:val="0"/>
                <w:bCs/>
                <w:sz w:val="20"/>
                <w:szCs w:val="20"/>
              </w:rPr>
            </w:pPr>
            <w:r w:rsidRPr="002D6400">
              <w:rPr>
                <w:b w:val="0"/>
                <w:bCs/>
                <w:sz w:val="20"/>
                <w:szCs w:val="20"/>
              </w:rPr>
              <w:t>-1.5</w:t>
            </w:r>
          </w:p>
        </w:tc>
        <w:tc>
          <w:tcPr>
            <w:tcW w:w="1143" w:type="dxa"/>
            <w:shd w:val="clear" w:color="auto" w:fill="auto"/>
            <w:vAlign w:val="center"/>
          </w:tcPr>
          <w:p w14:paraId="746C93C3" w14:textId="77777777" w:rsidR="005D1807" w:rsidRPr="002D6400" w:rsidRDefault="005D1807" w:rsidP="005D1807">
            <w:pPr>
              <w:spacing w:line="240" w:lineRule="auto"/>
              <w:rPr>
                <w:b w:val="0"/>
                <w:bCs/>
                <w:sz w:val="20"/>
                <w:szCs w:val="20"/>
              </w:rPr>
            </w:pPr>
            <w:r w:rsidRPr="002D6400">
              <w:rPr>
                <w:b w:val="0"/>
                <w:bCs/>
                <w:sz w:val="20"/>
                <w:szCs w:val="20"/>
              </w:rPr>
              <w:t>23.6</w:t>
            </w:r>
          </w:p>
        </w:tc>
        <w:tc>
          <w:tcPr>
            <w:tcW w:w="1162" w:type="dxa"/>
            <w:shd w:val="clear" w:color="auto" w:fill="auto"/>
            <w:vAlign w:val="center"/>
          </w:tcPr>
          <w:p w14:paraId="046D9F4C" w14:textId="77777777" w:rsidR="005D1807" w:rsidRPr="002D6400" w:rsidRDefault="005D1807" w:rsidP="005D1807">
            <w:pPr>
              <w:spacing w:line="240" w:lineRule="auto"/>
              <w:rPr>
                <w:b w:val="0"/>
                <w:bCs/>
                <w:sz w:val="20"/>
                <w:szCs w:val="20"/>
              </w:rPr>
            </w:pPr>
            <w:r w:rsidRPr="002D6400">
              <w:rPr>
                <w:b w:val="0"/>
                <w:bCs/>
                <w:sz w:val="20"/>
                <w:szCs w:val="20"/>
              </w:rPr>
              <w:t>9.0</w:t>
            </w:r>
          </w:p>
        </w:tc>
        <w:tc>
          <w:tcPr>
            <w:tcW w:w="1143" w:type="dxa"/>
            <w:shd w:val="clear" w:color="auto" w:fill="auto"/>
            <w:vAlign w:val="center"/>
          </w:tcPr>
          <w:p w14:paraId="7C84D908" w14:textId="77777777" w:rsidR="005D1807" w:rsidRPr="002D6400" w:rsidRDefault="005D1807" w:rsidP="005D1807">
            <w:pPr>
              <w:spacing w:line="240" w:lineRule="auto"/>
              <w:rPr>
                <w:b w:val="0"/>
                <w:bCs/>
                <w:sz w:val="20"/>
                <w:szCs w:val="20"/>
              </w:rPr>
            </w:pPr>
            <w:r w:rsidRPr="002D6400">
              <w:rPr>
                <w:b w:val="0"/>
                <w:bCs/>
                <w:sz w:val="20"/>
                <w:szCs w:val="20"/>
              </w:rPr>
              <w:t>23.2</w:t>
            </w:r>
          </w:p>
        </w:tc>
        <w:tc>
          <w:tcPr>
            <w:tcW w:w="1343" w:type="dxa"/>
            <w:shd w:val="clear" w:color="auto" w:fill="auto"/>
            <w:vAlign w:val="center"/>
          </w:tcPr>
          <w:p w14:paraId="0F87117A" w14:textId="77777777" w:rsidR="005D1807" w:rsidRPr="002D6400" w:rsidRDefault="005D1807" w:rsidP="005D1807">
            <w:pPr>
              <w:spacing w:line="240" w:lineRule="auto"/>
              <w:rPr>
                <w:b w:val="0"/>
                <w:bCs/>
                <w:sz w:val="20"/>
                <w:szCs w:val="20"/>
              </w:rPr>
            </w:pPr>
            <w:r w:rsidRPr="002D6400">
              <w:rPr>
                <w:b w:val="0"/>
                <w:bCs/>
                <w:sz w:val="20"/>
                <w:szCs w:val="20"/>
              </w:rPr>
              <w:t>11.8</w:t>
            </w:r>
          </w:p>
        </w:tc>
      </w:tr>
      <w:tr w:rsidR="005D1807" w:rsidRPr="002D6400" w14:paraId="3BE6B2C3" w14:textId="77777777" w:rsidTr="002D6400">
        <w:trPr>
          <w:trHeight w:val="233"/>
        </w:trPr>
        <w:tc>
          <w:tcPr>
            <w:tcW w:w="3720" w:type="dxa"/>
            <w:shd w:val="clear" w:color="auto" w:fill="auto"/>
          </w:tcPr>
          <w:p w14:paraId="291C4B31" w14:textId="77777777" w:rsidR="005D1807" w:rsidRPr="002D6400" w:rsidRDefault="005D1807" w:rsidP="005D1807">
            <w:pPr>
              <w:spacing w:line="240" w:lineRule="auto"/>
              <w:rPr>
                <w:b w:val="0"/>
                <w:bCs/>
                <w:sz w:val="20"/>
                <w:szCs w:val="20"/>
              </w:rPr>
            </w:pPr>
            <w:r w:rsidRPr="002D6400">
              <w:rPr>
                <w:b w:val="0"/>
                <w:bCs/>
                <w:sz w:val="20"/>
                <w:szCs w:val="20"/>
              </w:rPr>
              <w:t>Պետական</w:t>
            </w:r>
          </w:p>
        </w:tc>
        <w:tc>
          <w:tcPr>
            <w:tcW w:w="1286" w:type="dxa"/>
            <w:shd w:val="clear" w:color="auto" w:fill="auto"/>
          </w:tcPr>
          <w:p w14:paraId="3D7D6D7E" w14:textId="77777777" w:rsidR="005D1807" w:rsidRPr="002D6400" w:rsidRDefault="005D1807" w:rsidP="005D1807">
            <w:pPr>
              <w:spacing w:line="240" w:lineRule="auto"/>
              <w:rPr>
                <w:b w:val="0"/>
                <w:bCs/>
                <w:sz w:val="20"/>
                <w:szCs w:val="20"/>
              </w:rPr>
            </w:pPr>
            <w:r w:rsidRPr="002D6400">
              <w:rPr>
                <w:b w:val="0"/>
                <w:bCs/>
                <w:sz w:val="20"/>
                <w:szCs w:val="20"/>
              </w:rPr>
              <w:t>6.1</w:t>
            </w:r>
          </w:p>
        </w:tc>
        <w:tc>
          <w:tcPr>
            <w:tcW w:w="1143" w:type="dxa"/>
            <w:shd w:val="clear" w:color="auto" w:fill="auto"/>
          </w:tcPr>
          <w:p w14:paraId="0FDE5AAF" w14:textId="77777777" w:rsidR="005D1807" w:rsidRPr="002D6400" w:rsidRDefault="005D1807" w:rsidP="005D1807">
            <w:pPr>
              <w:spacing w:line="240" w:lineRule="auto"/>
              <w:rPr>
                <w:b w:val="0"/>
                <w:bCs/>
                <w:sz w:val="20"/>
                <w:szCs w:val="20"/>
              </w:rPr>
            </w:pPr>
            <w:r w:rsidRPr="002D6400">
              <w:rPr>
                <w:b w:val="0"/>
                <w:bCs/>
                <w:sz w:val="20"/>
                <w:szCs w:val="20"/>
              </w:rPr>
              <w:t>26.0</w:t>
            </w:r>
          </w:p>
        </w:tc>
        <w:tc>
          <w:tcPr>
            <w:tcW w:w="1162" w:type="dxa"/>
            <w:shd w:val="clear" w:color="auto" w:fill="auto"/>
          </w:tcPr>
          <w:p w14:paraId="6049B23B" w14:textId="77777777" w:rsidR="005D1807" w:rsidRPr="002D6400" w:rsidRDefault="005D1807" w:rsidP="005D1807">
            <w:pPr>
              <w:spacing w:line="240" w:lineRule="auto"/>
              <w:rPr>
                <w:b w:val="0"/>
                <w:bCs/>
                <w:sz w:val="20"/>
                <w:szCs w:val="20"/>
              </w:rPr>
            </w:pPr>
            <w:r w:rsidRPr="002D6400">
              <w:rPr>
                <w:b w:val="0"/>
                <w:bCs/>
                <w:sz w:val="20"/>
                <w:szCs w:val="20"/>
              </w:rPr>
              <w:t>12.3</w:t>
            </w:r>
          </w:p>
        </w:tc>
        <w:tc>
          <w:tcPr>
            <w:tcW w:w="1143" w:type="dxa"/>
            <w:shd w:val="clear" w:color="auto" w:fill="auto"/>
          </w:tcPr>
          <w:p w14:paraId="0647664A" w14:textId="77777777" w:rsidR="005D1807" w:rsidRPr="002D6400" w:rsidRDefault="005D1807" w:rsidP="005D1807">
            <w:pPr>
              <w:spacing w:line="240" w:lineRule="auto"/>
              <w:rPr>
                <w:b w:val="0"/>
                <w:bCs/>
                <w:sz w:val="20"/>
                <w:szCs w:val="20"/>
              </w:rPr>
            </w:pPr>
            <w:r w:rsidRPr="002D6400">
              <w:rPr>
                <w:b w:val="0"/>
                <w:bCs/>
                <w:sz w:val="20"/>
                <w:szCs w:val="20"/>
              </w:rPr>
              <w:t>49.1</w:t>
            </w:r>
          </w:p>
        </w:tc>
        <w:tc>
          <w:tcPr>
            <w:tcW w:w="1343" w:type="dxa"/>
            <w:shd w:val="clear" w:color="auto" w:fill="auto"/>
          </w:tcPr>
          <w:p w14:paraId="7C2BEB16" w14:textId="77777777" w:rsidR="005D1807" w:rsidRPr="002D6400" w:rsidRDefault="005D1807" w:rsidP="005D1807">
            <w:pPr>
              <w:spacing w:line="240" w:lineRule="auto"/>
              <w:rPr>
                <w:b w:val="0"/>
                <w:bCs/>
                <w:sz w:val="20"/>
                <w:szCs w:val="20"/>
              </w:rPr>
            </w:pPr>
            <w:r w:rsidRPr="002D6400">
              <w:rPr>
                <w:b w:val="0"/>
                <w:bCs/>
                <w:sz w:val="20"/>
                <w:szCs w:val="20"/>
              </w:rPr>
              <w:t>15.5</w:t>
            </w:r>
          </w:p>
        </w:tc>
      </w:tr>
      <w:tr w:rsidR="005D1807" w:rsidRPr="002D6400" w14:paraId="2ADFDFBE" w14:textId="77777777" w:rsidTr="002D6400">
        <w:trPr>
          <w:trHeight w:val="233"/>
        </w:trPr>
        <w:tc>
          <w:tcPr>
            <w:tcW w:w="3720" w:type="dxa"/>
            <w:shd w:val="clear" w:color="auto" w:fill="auto"/>
          </w:tcPr>
          <w:p w14:paraId="1C64C1C7" w14:textId="77777777" w:rsidR="005D1807" w:rsidRPr="002D6400" w:rsidRDefault="005D1807" w:rsidP="005D1807">
            <w:pPr>
              <w:spacing w:line="240" w:lineRule="auto"/>
              <w:rPr>
                <w:b w:val="0"/>
                <w:bCs/>
                <w:sz w:val="20"/>
                <w:szCs w:val="20"/>
              </w:rPr>
            </w:pPr>
            <w:r w:rsidRPr="002D6400">
              <w:rPr>
                <w:b w:val="0"/>
                <w:bCs/>
                <w:sz w:val="20"/>
                <w:szCs w:val="20"/>
              </w:rPr>
              <w:t>Մասնավոր</w:t>
            </w:r>
          </w:p>
        </w:tc>
        <w:tc>
          <w:tcPr>
            <w:tcW w:w="1286" w:type="dxa"/>
            <w:shd w:val="clear" w:color="auto" w:fill="auto"/>
          </w:tcPr>
          <w:p w14:paraId="606AA816" w14:textId="77777777" w:rsidR="005D1807" w:rsidRPr="002D6400" w:rsidRDefault="005D1807" w:rsidP="005D1807">
            <w:pPr>
              <w:spacing w:line="240" w:lineRule="auto"/>
              <w:rPr>
                <w:b w:val="0"/>
                <w:bCs/>
                <w:sz w:val="20"/>
                <w:szCs w:val="20"/>
              </w:rPr>
            </w:pPr>
            <w:r w:rsidRPr="002D6400">
              <w:rPr>
                <w:b w:val="0"/>
                <w:bCs/>
                <w:sz w:val="20"/>
                <w:szCs w:val="20"/>
              </w:rPr>
              <w:t>-3.1</w:t>
            </w:r>
          </w:p>
        </w:tc>
        <w:tc>
          <w:tcPr>
            <w:tcW w:w="1143" w:type="dxa"/>
            <w:shd w:val="clear" w:color="auto" w:fill="auto"/>
          </w:tcPr>
          <w:p w14:paraId="76BF480E" w14:textId="77777777" w:rsidR="005D1807" w:rsidRPr="002D6400" w:rsidRDefault="005D1807" w:rsidP="005D1807">
            <w:pPr>
              <w:spacing w:line="240" w:lineRule="auto"/>
              <w:rPr>
                <w:b w:val="0"/>
                <w:bCs/>
                <w:sz w:val="20"/>
                <w:szCs w:val="20"/>
              </w:rPr>
            </w:pPr>
            <w:r w:rsidRPr="002D6400">
              <w:rPr>
                <w:b w:val="0"/>
                <w:bCs/>
                <w:sz w:val="20"/>
                <w:szCs w:val="20"/>
              </w:rPr>
              <w:t>23.0</w:t>
            </w:r>
          </w:p>
        </w:tc>
        <w:tc>
          <w:tcPr>
            <w:tcW w:w="1162" w:type="dxa"/>
            <w:shd w:val="clear" w:color="auto" w:fill="auto"/>
          </w:tcPr>
          <w:p w14:paraId="233C28CA" w14:textId="77777777" w:rsidR="005D1807" w:rsidRPr="002D6400" w:rsidRDefault="005D1807" w:rsidP="005D1807">
            <w:pPr>
              <w:spacing w:line="240" w:lineRule="auto"/>
              <w:rPr>
                <w:b w:val="0"/>
                <w:bCs/>
                <w:sz w:val="20"/>
                <w:szCs w:val="20"/>
              </w:rPr>
            </w:pPr>
            <w:r w:rsidRPr="002D6400">
              <w:rPr>
                <w:b w:val="0"/>
                <w:bCs/>
                <w:sz w:val="20"/>
                <w:szCs w:val="20"/>
              </w:rPr>
              <w:t>8.2</w:t>
            </w:r>
          </w:p>
        </w:tc>
        <w:tc>
          <w:tcPr>
            <w:tcW w:w="1143" w:type="dxa"/>
            <w:shd w:val="clear" w:color="auto" w:fill="auto"/>
          </w:tcPr>
          <w:p w14:paraId="55F58FD8" w14:textId="77777777" w:rsidR="005D1807" w:rsidRPr="002D6400" w:rsidRDefault="005D1807" w:rsidP="005D1807">
            <w:pPr>
              <w:spacing w:line="240" w:lineRule="auto"/>
              <w:rPr>
                <w:b w:val="0"/>
                <w:bCs/>
                <w:sz w:val="20"/>
                <w:szCs w:val="20"/>
              </w:rPr>
            </w:pPr>
            <w:r w:rsidRPr="002D6400">
              <w:rPr>
                <w:b w:val="0"/>
                <w:bCs/>
                <w:sz w:val="20"/>
                <w:szCs w:val="20"/>
              </w:rPr>
              <w:t>16.8</w:t>
            </w:r>
          </w:p>
        </w:tc>
        <w:tc>
          <w:tcPr>
            <w:tcW w:w="1343" w:type="dxa"/>
            <w:shd w:val="clear" w:color="auto" w:fill="auto"/>
          </w:tcPr>
          <w:p w14:paraId="489C2FBA" w14:textId="77777777" w:rsidR="005D1807" w:rsidRPr="002D6400" w:rsidRDefault="005D1807" w:rsidP="005D1807">
            <w:pPr>
              <w:spacing w:line="240" w:lineRule="auto"/>
              <w:rPr>
                <w:b w:val="0"/>
                <w:bCs/>
                <w:sz w:val="20"/>
                <w:szCs w:val="20"/>
              </w:rPr>
            </w:pPr>
            <w:r w:rsidRPr="002D6400">
              <w:rPr>
                <w:b w:val="0"/>
                <w:bCs/>
                <w:sz w:val="20"/>
                <w:szCs w:val="20"/>
              </w:rPr>
              <w:t>10.6</w:t>
            </w:r>
          </w:p>
        </w:tc>
      </w:tr>
      <w:tr w:rsidR="005D1807" w:rsidRPr="002D6400" w14:paraId="204AFF67" w14:textId="77777777" w:rsidTr="002D6400">
        <w:trPr>
          <w:trHeight w:val="233"/>
        </w:trPr>
        <w:tc>
          <w:tcPr>
            <w:tcW w:w="3720" w:type="dxa"/>
            <w:shd w:val="clear" w:color="auto" w:fill="auto"/>
          </w:tcPr>
          <w:p w14:paraId="69974873" w14:textId="77777777" w:rsidR="005D1807" w:rsidRPr="002D6400" w:rsidRDefault="005D1807" w:rsidP="005D1807">
            <w:pPr>
              <w:spacing w:line="240" w:lineRule="auto"/>
              <w:rPr>
                <w:b w:val="0"/>
                <w:bCs/>
                <w:sz w:val="20"/>
                <w:szCs w:val="20"/>
              </w:rPr>
            </w:pPr>
            <w:r w:rsidRPr="002D6400">
              <w:rPr>
                <w:b w:val="0"/>
                <w:bCs/>
                <w:sz w:val="20"/>
                <w:szCs w:val="20"/>
              </w:rPr>
              <w:t xml:space="preserve">Արտահանում </w:t>
            </w:r>
          </w:p>
        </w:tc>
        <w:tc>
          <w:tcPr>
            <w:tcW w:w="1286" w:type="dxa"/>
            <w:shd w:val="clear" w:color="auto" w:fill="auto"/>
          </w:tcPr>
          <w:p w14:paraId="6BC3481B" w14:textId="77777777" w:rsidR="005D1807" w:rsidRPr="002D6400" w:rsidRDefault="005D1807" w:rsidP="005D1807">
            <w:pPr>
              <w:spacing w:line="240" w:lineRule="auto"/>
              <w:rPr>
                <w:b w:val="0"/>
                <w:bCs/>
                <w:sz w:val="20"/>
                <w:szCs w:val="20"/>
              </w:rPr>
            </w:pPr>
            <w:r w:rsidRPr="002D6400">
              <w:rPr>
                <w:b w:val="0"/>
                <w:bCs/>
                <w:sz w:val="20"/>
                <w:szCs w:val="20"/>
              </w:rPr>
              <w:t>-33.5</w:t>
            </w:r>
          </w:p>
        </w:tc>
        <w:tc>
          <w:tcPr>
            <w:tcW w:w="1143" w:type="dxa"/>
            <w:shd w:val="clear" w:color="auto" w:fill="auto"/>
          </w:tcPr>
          <w:p w14:paraId="3DB215F7" w14:textId="77777777" w:rsidR="005D1807" w:rsidRPr="002D6400" w:rsidRDefault="005D1807" w:rsidP="005D1807">
            <w:pPr>
              <w:spacing w:line="240" w:lineRule="auto"/>
              <w:rPr>
                <w:b w:val="0"/>
                <w:bCs/>
                <w:sz w:val="20"/>
                <w:szCs w:val="20"/>
              </w:rPr>
            </w:pPr>
            <w:r w:rsidRPr="002D6400">
              <w:rPr>
                <w:b w:val="0"/>
                <w:bCs/>
                <w:sz w:val="20"/>
                <w:szCs w:val="20"/>
              </w:rPr>
              <w:t>18.6</w:t>
            </w:r>
          </w:p>
        </w:tc>
        <w:tc>
          <w:tcPr>
            <w:tcW w:w="1162" w:type="dxa"/>
            <w:shd w:val="clear" w:color="auto" w:fill="auto"/>
          </w:tcPr>
          <w:p w14:paraId="74017CC5" w14:textId="77777777" w:rsidR="005D1807" w:rsidRPr="002D6400" w:rsidRDefault="005D1807" w:rsidP="005D1807">
            <w:pPr>
              <w:spacing w:line="240" w:lineRule="auto"/>
              <w:rPr>
                <w:b w:val="0"/>
                <w:bCs/>
                <w:sz w:val="20"/>
                <w:szCs w:val="20"/>
              </w:rPr>
            </w:pPr>
            <w:r w:rsidRPr="002D6400">
              <w:rPr>
                <w:b w:val="0"/>
                <w:bCs/>
                <w:sz w:val="20"/>
                <w:szCs w:val="20"/>
              </w:rPr>
              <w:t>59.3</w:t>
            </w:r>
          </w:p>
        </w:tc>
        <w:tc>
          <w:tcPr>
            <w:tcW w:w="1143" w:type="dxa"/>
            <w:shd w:val="clear" w:color="auto" w:fill="auto"/>
          </w:tcPr>
          <w:p w14:paraId="781C7BD0" w14:textId="77777777" w:rsidR="005D1807" w:rsidRPr="002D6400" w:rsidRDefault="005D1807" w:rsidP="005D1807">
            <w:pPr>
              <w:spacing w:line="240" w:lineRule="auto"/>
              <w:rPr>
                <w:b w:val="0"/>
                <w:bCs/>
                <w:sz w:val="20"/>
                <w:szCs w:val="20"/>
              </w:rPr>
            </w:pPr>
            <w:r w:rsidRPr="002D6400">
              <w:rPr>
                <w:b w:val="0"/>
                <w:bCs/>
                <w:sz w:val="20"/>
                <w:szCs w:val="20"/>
              </w:rPr>
              <w:t>17.7</w:t>
            </w:r>
          </w:p>
        </w:tc>
        <w:tc>
          <w:tcPr>
            <w:tcW w:w="1343" w:type="dxa"/>
            <w:shd w:val="clear" w:color="auto" w:fill="auto"/>
          </w:tcPr>
          <w:p w14:paraId="77C6CA47" w14:textId="77777777" w:rsidR="005D1807" w:rsidRPr="002D6400" w:rsidRDefault="005D1807" w:rsidP="005D1807">
            <w:pPr>
              <w:spacing w:line="240" w:lineRule="auto"/>
              <w:rPr>
                <w:b w:val="0"/>
                <w:bCs/>
                <w:sz w:val="20"/>
                <w:szCs w:val="20"/>
              </w:rPr>
            </w:pPr>
            <w:r w:rsidRPr="002D6400">
              <w:rPr>
                <w:b w:val="0"/>
                <w:bCs/>
                <w:sz w:val="20"/>
                <w:szCs w:val="20"/>
              </w:rPr>
              <w:t>12.5</w:t>
            </w:r>
          </w:p>
        </w:tc>
      </w:tr>
      <w:tr w:rsidR="005D1807" w:rsidRPr="002D6400" w14:paraId="386459FC" w14:textId="77777777" w:rsidTr="002D6400">
        <w:trPr>
          <w:trHeight w:val="245"/>
        </w:trPr>
        <w:tc>
          <w:tcPr>
            <w:tcW w:w="3720" w:type="dxa"/>
            <w:tcBorders>
              <w:bottom w:val="single" w:sz="4" w:space="0" w:color="auto"/>
            </w:tcBorders>
            <w:shd w:val="clear" w:color="auto" w:fill="auto"/>
          </w:tcPr>
          <w:p w14:paraId="7834E4C3" w14:textId="77777777" w:rsidR="005D1807" w:rsidRPr="002D6400" w:rsidRDefault="005D1807" w:rsidP="005D1807">
            <w:pPr>
              <w:spacing w:line="240" w:lineRule="auto"/>
              <w:rPr>
                <w:b w:val="0"/>
                <w:bCs/>
                <w:sz w:val="20"/>
                <w:szCs w:val="20"/>
              </w:rPr>
            </w:pPr>
            <w:r w:rsidRPr="002D6400">
              <w:rPr>
                <w:b w:val="0"/>
                <w:bCs/>
                <w:sz w:val="20"/>
                <w:szCs w:val="20"/>
              </w:rPr>
              <w:t xml:space="preserve">Ներմուծում </w:t>
            </w:r>
          </w:p>
        </w:tc>
        <w:tc>
          <w:tcPr>
            <w:tcW w:w="1286" w:type="dxa"/>
            <w:tcBorders>
              <w:bottom w:val="single" w:sz="4" w:space="0" w:color="auto"/>
            </w:tcBorders>
            <w:shd w:val="clear" w:color="auto" w:fill="auto"/>
          </w:tcPr>
          <w:p w14:paraId="2038FE95" w14:textId="77777777" w:rsidR="005D1807" w:rsidRPr="002D6400" w:rsidRDefault="005D1807" w:rsidP="005D1807">
            <w:pPr>
              <w:spacing w:line="240" w:lineRule="auto"/>
              <w:rPr>
                <w:b w:val="0"/>
                <w:bCs/>
                <w:sz w:val="20"/>
                <w:szCs w:val="20"/>
              </w:rPr>
            </w:pPr>
            <w:r w:rsidRPr="002D6400">
              <w:rPr>
                <w:b w:val="0"/>
                <w:bCs/>
                <w:sz w:val="20"/>
                <w:szCs w:val="20"/>
              </w:rPr>
              <w:t>-31.5</w:t>
            </w:r>
          </w:p>
        </w:tc>
        <w:tc>
          <w:tcPr>
            <w:tcW w:w="1143" w:type="dxa"/>
            <w:tcBorders>
              <w:bottom w:val="single" w:sz="4" w:space="0" w:color="auto"/>
            </w:tcBorders>
            <w:shd w:val="clear" w:color="auto" w:fill="auto"/>
          </w:tcPr>
          <w:p w14:paraId="458B69C7" w14:textId="77777777" w:rsidR="005D1807" w:rsidRPr="002D6400" w:rsidRDefault="005D1807" w:rsidP="005D1807">
            <w:pPr>
              <w:spacing w:line="240" w:lineRule="auto"/>
              <w:rPr>
                <w:b w:val="0"/>
                <w:bCs/>
                <w:sz w:val="20"/>
                <w:szCs w:val="20"/>
              </w:rPr>
            </w:pPr>
            <w:r w:rsidRPr="002D6400">
              <w:rPr>
                <w:b w:val="0"/>
                <w:bCs/>
                <w:sz w:val="20"/>
                <w:szCs w:val="20"/>
              </w:rPr>
              <w:t>12.9</w:t>
            </w:r>
          </w:p>
        </w:tc>
        <w:tc>
          <w:tcPr>
            <w:tcW w:w="1162" w:type="dxa"/>
            <w:tcBorders>
              <w:bottom w:val="single" w:sz="4" w:space="0" w:color="auto"/>
            </w:tcBorders>
            <w:shd w:val="clear" w:color="auto" w:fill="auto"/>
          </w:tcPr>
          <w:p w14:paraId="1065D45B" w14:textId="77777777" w:rsidR="005D1807" w:rsidRPr="002D6400" w:rsidRDefault="005D1807" w:rsidP="005D1807">
            <w:pPr>
              <w:spacing w:line="240" w:lineRule="auto"/>
              <w:rPr>
                <w:b w:val="0"/>
                <w:bCs/>
                <w:sz w:val="20"/>
                <w:szCs w:val="20"/>
              </w:rPr>
            </w:pPr>
            <w:r w:rsidRPr="002D6400">
              <w:rPr>
                <w:b w:val="0"/>
                <w:bCs/>
                <w:sz w:val="20"/>
                <w:szCs w:val="20"/>
              </w:rPr>
              <w:t>34.5</w:t>
            </w:r>
          </w:p>
        </w:tc>
        <w:tc>
          <w:tcPr>
            <w:tcW w:w="1143" w:type="dxa"/>
            <w:tcBorders>
              <w:bottom w:val="single" w:sz="4" w:space="0" w:color="auto"/>
            </w:tcBorders>
            <w:shd w:val="clear" w:color="auto" w:fill="auto"/>
          </w:tcPr>
          <w:p w14:paraId="2D907177" w14:textId="77777777" w:rsidR="005D1807" w:rsidRPr="002D6400" w:rsidRDefault="005D1807" w:rsidP="005D1807">
            <w:pPr>
              <w:spacing w:line="240" w:lineRule="auto"/>
              <w:rPr>
                <w:b w:val="0"/>
                <w:bCs/>
                <w:sz w:val="20"/>
                <w:szCs w:val="20"/>
              </w:rPr>
            </w:pPr>
            <w:r w:rsidRPr="002D6400">
              <w:rPr>
                <w:b w:val="0"/>
                <w:bCs/>
                <w:sz w:val="20"/>
                <w:szCs w:val="20"/>
              </w:rPr>
              <w:t>25.6</w:t>
            </w:r>
          </w:p>
        </w:tc>
        <w:tc>
          <w:tcPr>
            <w:tcW w:w="1343" w:type="dxa"/>
            <w:tcBorders>
              <w:bottom w:val="single" w:sz="4" w:space="0" w:color="auto"/>
            </w:tcBorders>
            <w:shd w:val="clear" w:color="auto" w:fill="auto"/>
          </w:tcPr>
          <w:p w14:paraId="195DA3DF" w14:textId="77777777" w:rsidR="005D1807" w:rsidRPr="002D6400" w:rsidRDefault="005D1807" w:rsidP="005D1807">
            <w:pPr>
              <w:spacing w:line="240" w:lineRule="auto"/>
              <w:rPr>
                <w:b w:val="0"/>
                <w:bCs/>
                <w:sz w:val="20"/>
                <w:szCs w:val="20"/>
              </w:rPr>
            </w:pPr>
            <w:r w:rsidRPr="002D6400">
              <w:rPr>
                <w:b w:val="0"/>
                <w:bCs/>
                <w:sz w:val="20"/>
                <w:szCs w:val="20"/>
              </w:rPr>
              <w:t>14.9</w:t>
            </w:r>
          </w:p>
        </w:tc>
      </w:tr>
      <w:tr w:rsidR="005D1807" w:rsidRPr="002D6400" w14:paraId="417CC675" w14:textId="77777777" w:rsidTr="002D6400">
        <w:trPr>
          <w:trHeight w:val="233"/>
        </w:trPr>
        <w:tc>
          <w:tcPr>
            <w:tcW w:w="9800" w:type="dxa"/>
            <w:gridSpan w:val="6"/>
            <w:tcBorders>
              <w:top w:val="single" w:sz="4" w:space="0" w:color="auto"/>
            </w:tcBorders>
            <w:shd w:val="clear" w:color="auto" w:fill="auto"/>
            <w:noWrap/>
            <w:vAlign w:val="center"/>
          </w:tcPr>
          <w:p w14:paraId="7CDCE652" w14:textId="77777777" w:rsidR="005D1807" w:rsidRPr="002D6400" w:rsidRDefault="005D1807" w:rsidP="005D1807">
            <w:pPr>
              <w:spacing w:line="240" w:lineRule="auto"/>
              <w:rPr>
                <w:b w:val="0"/>
                <w:bCs/>
                <w:sz w:val="20"/>
                <w:szCs w:val="20"/>
              </w:rPr>
            </w:pPr>
            <w:r w:rsidRPr="002D6400">
              <w:rPr>
                <w:b w:val="0"/>
                <w:bCs/>
                <w:sz w:val="20"/>
                <w:szCs w:val="20"/>
              </w:rPr>
              <w:t>Արտաքին հատված (մլն ԱՄՆ դոլար)</w:t>
            </w:r>
          </w:p>
        </w:tc>
      </w:tr>
      <w:tr w:rsidR="005D1807" w:rsidRPr="002D6400" w14:paraId="2822CB2C" w14:textId="77777777" w:rsidTr="002D6400">
        <w:trPr>
          <w:trHeight w:val="233"/>
        </w:trPr>
        <w:tc>
          <w:tcPr>
            <w:tcW w:w="3720" w:type="dxa"/>
            <w:shd w:val="clear" w:color="auto" w:fill="auto"/>
          </w:tcPr>
          <w:p w14:paraId="6AD65B48" w14:textId="77777777" w:rsidR="005D1807" w:rsidRPr="002D6400" w:rsidRDefault="005D1807" w:rsidP="005D1807">
            <w:pPr>
              <w:spacing w:line="240" w:lineRule="auto"/>
              <w:rPr>
                <w:b w:val="0"/>
                <w:bCs/>
                <w:sz w:val="20"/>
                <w:szCs w:val="20"/>
              </w:rPr>
            </w:pPr>
            <w:r w:rsidRPr="002D6400">
              <w:rPr>
                <w:b w:val="0"/>
                <w:bCs/>
                <w:sz w:val="20"/>
                <w:szCs w:val="20"/>
              </w:rPr>
              <w:t>Ընթացիկ հաշիվ</w:t>
            </w:r>
          </w:p>
        </w:tc>
        <w:tc>
          <w:tcPr>
            <w:tcW w:w="1286" w:type="dxa"/>
            <w:shd w:val="clear" w:color="auto" w:fill="auto"/>
            <w:vAlign w:val="center"/>
          </w:tcPr>
          <w:p w14:paraId="3C78BEC2" w14:textId="77777777" w:rsidR="005D1807" w:rsidRPr="002D6400" w:rsidRDefault="005D1807" w:rsidP="005D1807">
            <w:pPr>
              <w:spacing w:line="240" w:lineRule="auto"/>
              <w:rPr>
                <w:b w:val="0"/>
                <w:bCs/>
                <w:sz w:val="20"/>
                <w:szCs w:val="20"/>
              </w:rPr>
            </w:pPr>
            <w:r w:rsidRPr="002D6400">
              <w:rPr>
                <w:b w:val="0"/>
                <w:bCs/>
                <w:sz w:val="20"/>
                <w:szCs w:val="20"/>
              </w:rPr>
              <w:t>-505.4</w:t>
            </w:r>
          </w:p>
        </w:tc>
        <w:tc>
          <w:tcPr>
            <w:tcW w:w="1143" w:type="dxa"/>
            <w:shd w:val="clear" w:color="auto" w:fill="auto"/>
            <w:vAlign w:val="center"/>
          </w:tcPr>
          <w:p w14:paraId="7F3AFE00" w14:textId="77777777" w:rsidR="005D1807" w:rsidRPr="002D6400" w:rsidRDefault="005D1807" w:rsidP="005D1807">
            <w:pPr>
              <w:spacing w:line="240" w:lineRule="auto"/>
              <w:rPr>
                <w:b w:val="0"/>
                <w:bCs/>
                <w:sz w:val="20"/>
                <w:szCs w:val="20"/>
              </w:rPr>
            </w:pPr>
            <w:r w:rsidRPr="002D6400">
              <w:rPr>
                <w:b w:val="0"/>
                <w:bCs/>
                <w:sz w:val="20"/>
                <w:szCs w:val="20"/>
              </w:rPr>
              <w:t>-483.0</w:t>
            </w:r>
          </w:p>
        </w:tc>
        <w:tc>
          <w:tcPr>
            <w:tcW w:w="1162" w:type="dxa"/>
            <w:shd w:val="clear" w:color="auto" w:fill="auto"/>
            <w:vAlign w:val="center"/>
          </w:tcPr>
          <w:p w14:paraId="152F4AED" w14:textId="77777777" w:rsidR="005D1807" w:rsidRPr="002D6400" w:rsidRDefault="005D1807" w:rsidP="005D1807">
            <w:pPr>
              <w:spacing w:line="240" w:lineRule="auto"/>
              <w:rPr>
                <w:b w:val="0"/>
                <w:bCs/>
                <w:sz w:val="20"/>
                <w:szCs w:val="20"/>
              </w:rPr>
            </w:pPr>
            <w:r w:rsidRPr="002D6400">
              <w:rPr>
                <w:b w:val="0"/>
                <w:bCs/>
                <w:sz w:val="20"/>
                <w:szCs w:val="20"/>
              </w:rPr>
              <w:t>151.0</w:t>
            </w:r>
          </w:p>
        </w:tc>
        <w:tc>
          <w:tcPr>
            <w:tcW w:w="1143" w:type="dxa"/>
            <w:shd w:val="clear" w:color="auto" w:fill="auto"/>
          </w:tcPr>
          <w:p w14:paraId="525A2290" w14:textId="77777777" w:rsidR="005D1807" w:rsidRPr="002D6400" w:rsidRDefault="005D1807" w:rsidP="005D1807">
            <w:pPr>
              <w:spacing w:line="240" w:lineRule="auto"/>
              <w:rPr>
                <w:b w:val="0"/>
                <w:bCs/>
                <w:sz w:val="20"/>
                <w:szCs w:val="20"/>
              </w:rPr>
            </w:pPr>
            <w:r w:rsidRPr="002D6400">
              <w:rPr>
                <w:b w:val="0"/>
                <w:bCs/>
                <w:sz w:val="20"/>
                <w:szCs w:val="20"/>
              </w:rPr>
              <w:t>-965.8</w:t>
            </w:r>
          </w:p>
        </w:tc>
        <w:tc>
          <w:tcPr>
            <w:tcW w:w="1343" w:type="dxa"/>
            <w:shd w:val="clear" w:color="auto" w:fill="auto"/>
          </w:tcPr>
          <w:p w14:paraId="66ECDE8E" w14:textId="77777777" w:rsidR="005D1807" w:rsidRPr="002D6400" w:rsidRDefault="005D1807" w:rsidP="005D1807">
            <w:pPr>
              <w:spacing w:line="240" w:lineRule="auto"/>
              <w:rPr>
                <w:b w:val="0"/>
                <w:bCs/>
                <w:sz w:val="20"/>
                <w:szCs w:val="20"/>
              </w:rPr>
            </w:pPr>
            <w:r w:rsidRPr="002D6400">
              <w:rPr>
                <w:b w:val="0"/>
                <w:bCs/>
                <w:sz w:val="20"/>
                <w:szCs w:val="20"/>
              </w:rPr>
              <w:t>-1,232.1</w:t>
            </w:r>
          </w:p>
        </w:tc>
      </w:tr>
      <w:tr w:rsidR="005D1807" w:rsidRPr="002D6400" w14:paraId="3B7D92FC" w14:textId="77777777" w:rsidTr="002D6400">
        <w:trPr>
          <w:trHeight w:val="233"/>
        </w:trPr>
        <w:tc>
          <w:tcPr>
            <w:tcW w:w="3720" w:type="dxa"/>
            <w:shd w:val="clear" w:color="auto" w:fill="auto"/>
          </w:tcPr>
          <w:p w14:paraId="59D92BCD" w14:textId="77777777" w:rsidR="005D1807" w:rsidRPr="002D6400" w:rsidRDefault="005D1807" w:rsidP="005D1807">
            <w:pPr>
              <w:spacing w:line="240" w:lineRule="auto"/>
              <w:rPr>
                <w:b w:val="0"/>
                <w:bCs/>
                <w:sz w:val="20"/>
                <w:szCs w:val="20"/>
              </w:rPr>
            </w:pPr>
            <w:r w:rsidRPr="002D6400">
              <w:rPr>
                <w:b w:val="0"/>
                <w:bCs/>
                <w:sz w:val="20"/>
                <w:szCs w:val="20"/>
              </w:rPr>
              <w:t>Ապրանքների և ծառայությունների հաշվեկշիռ</w:t>
            </w:r>
          </w:p>
        </w:tc>
        <w:tc>
          <w:tcPr>
            <w:tcW w:w="1286" w:type="dxa"/>
            <w:shd w:val="clear" w:color="auto" w:fill="auto"/>
            <w:vAlign w:val="center"/>
          </w:tcPr>
          <w:p w14:paraId="7B7248FC" w14:textId="77777777" w:rsidR="005D1807" w:rsidRPr="002D6400" w:rsidRDefault="005D1807" w:rsidP="005D1807">
            <w:pPr>
              <w:spacing w:line="240" w:lineRule="auto"/>
              <w:rPr>
                <w:b w:val="0"/>
                <w:bCs/>
                <w:sz w:val="20"/>
                <w:szCs w:val="20"/>
              </w:rPr>
            </w:pPr>
            <w:r w:rsidRPr="002D6400">
              <w:rPr>
                <w:b w:val="0"/>
                <w:bCs/>
                <w:sz w:val="20"/>
                <w:szCs w:val="20"/>
              </w:rPr>
              <w:t>-1,264.1</w:t>
            </w:r>
          </w:p>
        </w:tc>
        <w:tc>
          <w:tcPr>
            <w:tcW w:w="1143" w:type="dxa"/>
            <w:shd w:val="clear" w:color="auto" w:fill="auto"/>
            <w:vAlign w:val="center"/>
          </w:tcPr>
          <w:p w14:paraId="6A66F2DD" w14:textId="77777777" w:rsidR="005D1807" w:rsidRPr="002D6400" w:rsidRDefault="005D1807" w:rsidP="005D1807">
            <w:pPr>
              <w:spacing w:line="240" w:lineRule="auto"/>
              <w:rPr>
                <w:b w:val="0"/>
                <w:bCs/>
                <w:sz w:val="20"/>
                <w:szCs w:val="20"/>
              </w:rPr>
            </w:pPr>
            <w:r w:rsidRPr="002D6400">
              <w:rPr>
                <w:b w:val="0"/>
                <w:bCs/>
                <w:sz w:val="20"/>
                <w:szCs w:val="20"/>
              </w:rPr>
              <w:t>-1,107.9</w:t>
            </w:r>
          </w:p>
        </w:tc>
        <w:tc>
          <w:tcPr>
            <w:tcW w:w="1162" w:type="dxa"/>
            <w:shd w:val="clear" w:color="auto" w:fill="auto"/>
            <w:vAlign w:val="center"/>
          </w:tcPr>
          <w:p w14:paraId="0A800A4A" w14:textId="77777777" w:rsidR="005D1807" w:rsidRPr="002D6400" w:rsidRDefault="005D1807" w:rsidP="005D1807">
            <w:pPr>
              <w:spacing w:line="240" w:lineRule="auto"/>
              <w:rPr>
                <w:b w:val="0"/>
                <w:bCs/>
                <w:sz w:val="20"/>
                <w:szCs w:val="20"/>
              </w:rPr>
            </w:pPr>
            <w:r w:rsidRPr="002D6400">
              <w:rPr>
                <w:b w:val="0"/>
                <w:bCs/>
                <w:sz w:val="20"/>
                <w:szCs w:val="20"/>
              </w:rPr>
              <w:t>-148.2</w:t>
            </w:r>
          </w:p>
        </w:tc>
        <w:tc>
          <w:tcPr>
            <w:tcW w:w="1143" w:type="dxa"/>
            <w:shd w:val="clear" w:color="auto" w:fill="auto"/>
            <w:vAlign w:val="center"/>
          </w:tcPr>
          <w:p w14:paraId="6D1771FA" w14:textId="77777777" w:rsidR="005D1807" w:rsidRPr="002D6400" w:rsidRDefault="005D1807" w:rsidP="005D1807">
            <w:pPr>
              <w:spacing w:line="240" w:lineRule="auto"/>
              <w:rPr>
                <w:b w:val="0"/>
                <w:bCs/>
                <w:sz w:val="20"/>
                <w:szCs w:val="20"/>
              </w:rPr>
            </w:pPr>
            <w:r w:rsidRPr="002D6400">
              <w:rPr>
                <w:b w:val="0"/>
                <w:bCs/>
                <w:sz w:val="20"/>
                <w:szCs w:val="20"/>
              </w:rPr>
              <w:t>-537.0</w:t>
            </w:r>
          </w:p>
        </w:tc>
        <w:tc>
          <w:tcPr>
            <w:tcW w:w="1343" w:type="dxa"/>
            <w:shd w:val="clear" w:color="auto" w:fill="auto"/>
            <w:vAlign w:val="center"/>
          </w:tcPr>
          <w:p w14:paraId="377C6D65" w14:textId="77777777" w:rsidR="005D1807" w:rsidRPr="002D6400" w:rsidRDefault="005D1807" w:rsidP="005D1807">
            <w:pPr>
              <w:spacing w:line="240" w:lineRule="auto"/>
              <w:rPr>
                <w:b w:val="0"/>
                <w:bCs/>
                <w:sz w:val="20"/>
                <w:szCs w:val="20"/>
              </w:rPr>
            </w:pPr>
            <w:r w:rsidRPr="002D6400">
              <w:rPr>
                <w:b w:val="0"/>
                <w:bCs/>
                <w:sz w:val="20"/>
                <w:szCs w:val="20"/>
              </w:rPr>
              <w:t>-632.0</w:t>
            </w:r>
          </w:p>
        </w:tc>
      </w:tr>
      <w:tr w:rsidR="005D1807" w:rsidRPr="002D6400" w14:paraId="104D722E" w14:textId="77777777" w:rsidTr="002D6400">
        <w:trPr>
          <w:trHeight w:val="233"/>
        </w:trPr>
        <w:tc>
          <w:tcPr>
            <w:tcW w:w="3720" w:type="dxa"/>
            <w:shd w:val="clear" w:color="auto" w:fill="auto"/>
          </w:tcPr>
          <w:p w14:paraId="5B7C9879" w14:textId="77777777" w:rsidR="005D1807" w:rsidRPr="002D6400" w:rsidRDefault="005D1807" w:rsidP="005D1807">
            <w:pPr>
              <w:spacing w:line="240" w:lineRule="auto"/>
              <w:rPr>
                <w:b w:val="0"/>
                <w:bCs/>
                <w:sz w:val="20"/>
                <w:szCs w:val="20"/>
              </w:rPr>
            </w:pPr>
            <w:r w:rsidRPr="002D6400">
              <w:rPr>
                <w:b w:val="0"/>
                <w:bCs/>
                <w:sz w:val="20"/>
                <w:szCs w:val="20"/>
              </w:rPr>
              <w:t>Արտահանում</w:t>
            </w:r>
          </w:p>
        </w:tc>
        <w:tc>
          <w:tcPr>
            <w:tcW w:w="1286" w:type="dxa"/>
            <w:shd w:val="clear" w:color="auto" w:fill="auto"/>
            <w:vAlign w:val="center"/>
          </w:tcPr>
          <w:p w14:paraId="55F24C5F" w14:textId="77777777" w:rsidR="005D1807" w:rsidRPr="002D6400" w:rsidRDefault="005D1807" w:rsidP="005D1807">
            <w:pPr>
              <w:spacing w:line="240" w:lineRule="auto"/>
              <w:rPr>
                <w:b w:val="0"/>
                <w:bCs/>
                <w:sz w:val="20"/>
                <w:szCs w:val="20"/>
              </w:rPr>
            </w:pPr>
            <w:r w:rsidRPr="002D6400">
              <w:rPr>
                <w:b w:val="0"/>
                <w:bCs/>
                <w:sz w:val="20"/>
                <w:szCs w:val="20"/>
              </w:rPr>
              <w:t>3,818.2</w:t>
            </w:r>
          </w:p>
        </w:tc>
        <w:tc>
          <w:tcPr>
            <w:tcW w:w="1143" w:type="dxa"/>
            <w:shd w:val="clear" w:color="auto" w:fill="auto"/>
            <w:vAlign w:val="center"/>
          </w:tcPr>
          <w:p w14:paraId="4B68C05D" w14:textId="77777777" w:rsidR="005D1807" w:rsidRPr="002D6400" w:rsidRDefault="005D1807" w:rsidP="005D1807">
            <w:pPr>
              <w:spacing w:line="240" w:lineRule="auto"/>
              <w:rPr>
                <w:b w:val="0"/>
                <w:bCs/>
                <w:sz w:val="20"/>
                <w:szCs w:val="20"/>
              </w:rPr>
            </w:pPr>
            <w:r w:rsidRPr="002D6400">
              <w:rPr>
                <w:b w:val="0"/>
                <w:bCs/>
                <w:sz w:val="20"/>
                <w:szCs w:val="20"/>
              </w:rPr>
              <w:t>5,011.9</w:t>
            </w:r>
          </w:p>
        </w:tc>
        <w:tc>
          <w:tcPr>
            <w:tcW w:w="1162" w:type="dxa"/>
            <w:shd w:val="clear" w:color="auto" w:fill="auto"/>
            <w:vAlign w:val="center"/>
          </w:tcPr>
          <w:p w14:paraId="0CA88030" w14:textId="77777777" w:rsidR="005D1807" w:rsidRPr="002D6400" w:rsidRDefault="005D1807" w:rsidP="005D1807">
            <w:pPr>
              <w:spacing w:line="240" w:lineRule="auto"/>
              <w:rPr>
                <w:b w:val="0"/>
                <w:bCs/>
                <w:sz w:val="20"/>
                <w:szCs w:val="20"/>
              </w:rPr>
            </w:pPr>
            <w:r w:rsidRPr="002D6400">
              <w:rPr>
                <w:b w:val="0"/>
                <w:bCs/>
                <w:sz w:val="20"/>
                <w:szCs w:val="20"/>
              </w:rPr>
              <w:t>10,038.2</w:t>
            </w:r>
          </w:p>
        </w:tc>
        <w:tc>
          <w:tcPr>
            <w:tcW w:w="1143" w:type="dxa"/>
            <w:shd w:val="clear" w:color="auto" w:fill="auto"/>
            <w:vAlign w:val="center"/>
          </w:tcPr>
          <w:p w14:paraId="374A6118" w14:textId="77777777" w:rsidR="005D1807" w:rsidRPr="002D6400" w:rsidRDefault="005D1807" w:rsidP="005D1807">
            <w:pPr>
              <w:spacing w:line="240" w:lineRule="auto"/>
              <w:rPr>
                <w:b w:val="0"/>
                <w:bCs/>
                <w:sz w:val="20"/>
                <w:szCs w:val="20"/>
              </w:rPr>
            </w:pPr>
            <w:r w:rsidRPr="002D6400">
              <w:rPr>
                <w:b w:val="0"/>
                <w:bCs/>
                <w:sz w:val="20"/>
                <w:szCs w:val="20"/>
              </w:rPr>
              <w:t>13,239.0</w:t>
            </w:r>
          </w:p>
        </w:tc>
        <w:tc>
          <w:tcPr>
            <w:tcW w:w="1343" w:type="dxa"/>
            <w:shd w:val="clear" w:color="auto" w:fill="auto"/>
            <w:vAlign w:val="center"/>
          </w:tcPr>
          <w:p w14:paraId="3B7B9D47" w14:textId="77777777" w:rsidR="005D1807" w:rsidRPr="002D6400" w:rsidRDefault="005D1807" w:rsidP="005D1807">
            <w:pPr>
              <w:spacing w:line="240" w:lineRule="auto"/>
              <w:rPr>
                <w:b w:val="0"/>
                <w:bCs/>
                <w:sz w:val="20"/>
                <w:szCs w:val="20"/>
              </w:rPr>
            </w:pPr>
            <w:r w:rsidRPr="002D6400">
              <w:rPr>
                <w:b w:val="0"/>
                <w:bCs/>
                <w:sz w:val="20"/>
                <w:szCs w:val="20"/>
              </w:rPr>
              <w:t>14,359.3</w:t>
            </w:r>
          </w:p>
        </w:tc>
      </w:tr>
      <w:tr w:rsidR="005D1807" w:rsidRPr="002D6400" w14:paraId="5420CEB0" w14:textId="77777777" w:rsidTr="002D6400">
        <w:trPr>
          <w:trHeight w:val="233"/>
        </w:trPr>
        <w:tc>
          <w:tcPr>
            <w:tcW w:w="3720" w:type="dxa"/>
            <w:shd w:val="clear" w:color="auto" w:fill="auto"/>
          </w:tcPr>
          <w:p w14:paraId="062209D5" w14:textId="77777777" w:rsidR="005D1807" w:rsidRPr="002D6400" w:rsidRDefault="005D1807" w:rsidP="005D1807">
            <w:pPr>
              <w:spacing w:line="240" w:lineRule="auto"/>
              <w:rPr>
                <w:b w:val="0"/>
                <w:bCs/>
                <w:sz w:val="20"/>
                <w:szCs w:val="20"/>
              </w:rPr>
            </w:pPr>
            <w:r w:rsidRPr="002D6400">
              <w:rPr>
                <w:b w:val="0"/>
                <w:bCs/>
                <w:sz w:val="20"/>
                <w:szCs w:val="20"/>
              </w:rPr>
              <w:t>Փոփոխություն, %</w:t>
            </w:r>
          </w:p>
        </w:tc>
        <w:tc>
          <w:tcPr>
            <w:tcW w:w="1286" w:type="dxa"/>
            <w:shd w:val="clear" w:color="auto" w:fill="auto"/>
            <w:vAlign w:val="center"/>
          </w:tcPr>
          <w:p w14:paraId="62DFEFEB" w14:textId="77777777" w:rsidR="005D1807" w:rsidRPr="002D6400" w:rsidRDefault="005D1807" w:rsidP="005D1807">
            <w:pPr>
              <w:spacing w:line="240" w:lineRule="auto"/>
              <w:rPr>
                <w:b w:val="0"/>
                <w:bCs/>
                <w:sz w:val="20"/>
                <w:szCs w:val="20"/>
              </w:rPr>
            </w:pPr>
            <w:r w:rsidRPr="002D6400">
              <w:rPr>
                <w:b w:val="0"/>
                <w:bCs/>
                <w:sz w:val="20"/>
                <w:szCs w:val="20"/>
              </w:rPr>
              <w:t>-34.1</w:t>
            </w:r>
          </w:p>
        </w:tc>
        <w:tc>
          <w:tcPr>
            <w:tcW w:w="1143" w:type="dxa"/>
            <w:shd w:val="clear" w:color="auto" w:fill="auto"/>
            <w:vAlign w:val="center"/>
          </w:tcPr>
          <w:p w14:paraId="4403E569" w14:textId="77777777" w:rsidR="005D1807" w:rsidRPr="002D6400" w:rsidRDefault="005D1807" w:rsidP="005D1807">
            <w:pPr>
              <w:spacing w:line="240" w:lineRule="auto"/>
              <w:rPr>
                <w:b w:val="0"/>
                <w:bCs/>
                <w:sz w:val="20"/>
                <w:szCs w:val="20"/>
              </w:rPr>
            </w:pPr>
            <w:r w:rsidRPr="002D6400">
              <w:rPr>
                <w:b w:val="0"/>
                <w:bCs/>
                <w:sz w:val="20"/>
                <w:szCs w:val="20"/>
              </w:rPr>
              <w:t>31.3</w:t>
            </w:r>
          </w:p>
        </w:tc>
        <w:tc>
          <w:tcPr>
            <w:tcW w:w="1162" w:type="dxa"/>
            <w:shd w:val="clear" w:color="auto" w:fill="auto"/>
            <w:vAlign w:val="center"/>
          </w:tcPr>
          <w:p w14:paraId="6484BB38" w14:textId="77777777" w:rsidR="005D1807" w:rsidRPr="002D6400" w:rsidRDefault="005D1807" w:rsidP="005D1807">
            <w:pPr>
              <w:spacing w:line="240" w:lineRule="auto"/>
              <w:rPr>
                <w:b w:val="0"/>
                <w:bCs/>
                <w:sz w:val="20"/>
                <w:szCs w:val="20"/>
              </w:rPr>
            </w:pPr>
            <w:r w:rsidRPr="002D6400">
              <w:rPr>
                <w:b w:val="0"/>
                <w:bCs/>
                <w:sz w:val="20"/>
                <w:szCs w:val="20"/>
              </w:rPr>
              <w:t>100.3</w:t>
            </w:r>
          </w:p>
        </w:tc>
        <w:tc>
          <w:tcPr>
            <w:tcW w:w="1143" w:type="dxa"/>
            <w:shd w:val="clear" w:color="auto" w:fill="auto"/>
            <w:vAlign w:val="center"/>
          </w:tcPr>
          <w:p w14:paraId="530F3786" w14:textId="77777777" w:rsidR="005D1807" w:rsidRPr="002D6400" w:rsidRDefault="005D1807" w:rsidP="005D1807">
            <w:pPr>
              <w:spacing w:line="240" w:lineRule="auto"/>
              <w:rPr>
                <w:b w:val="0"/>
                <w:bCs/>
                <w:sz w:val="20"/>
                <w:szCs w:val="20"/>
              </w:rPr>
            </w:pPr>
            <w:r w:rsidRPr="002D6400">
              <w:rPr>
                <w:b w:val="0"/>
                <w:bCs/>
                <w:sz w:val="20"/>
                <w:szCs w:val="20"/>
              </w:rPr>
              <w:t>31.9</w:t>
            </w:r>
          </w:p>
        </w:tc>
        <w:tc>
          <w:tcPr>
            <w:tcW w:w="1343" w:type="dxa"/>
            <w:shd w:val="clear" w:color="auto" w:fill="auto"/>
            <w:vAlign w:val="center"/>
          </w:tcPr>
          <w:p w14:paraId="09D1E3E7" w14:textId="77777777" w:rsidR="005D1807" w:rsidRPr="002D6400" w:rsidRDefault="005D1807" w:rsidP="005D1807">
            <w:pPr>
              <w:spacing w:line="240" w:lineRule="auto"/>
              <w:rPr>
                <w:b w:val="0"/>
                <w:bCs/>
                <w:sz w:val="20"/>
                <w:szCs w:val="20"/>
              </w:rPr>
            </w:pPr>
            <w:r w:rsidRPr="002D6400">
              <w:rPr>
                <w:b w:val="0"/>
                <w:bCs/>
                <w:sz w:val="20"/>
                <w:szCs w:val="20"/>
              </w:rPr>
              <w:t>8.5</w:t>
            </w:r>
          </w:p>
        </w:tc>
      </w:tr>
      <w:tr w:rsidR="005D1807" w:rsidRPr="002D6400" w14:paraId="5F1C864E" w14:textId="77777777" w:rsidTr="002D6400">
        <w:trPr>
          <w:trHeight w:val="388"/>
        </w:trPr>
        <w:tc>
          <w:tcPr>
            <w:tcW w:w="3720" w:type="dxa"/>
            <w:shd w:val="clear" w:color="auto" w:fill="auto"/>
          </w:tcPr>
          <w:p w14:paraId="09A61181" w14:textId="77777777" w:rsidR="005D1807" w:rsidRPr="002D6400" w:rsidRDefault="005D1807" w:rsidP="005D1807">
            <w:pPr>
              <w:spacing w:line="240" w:lineRule="auto"/>
              <w:rPr>
                <w:b w:val="0"/>
                <w:bCs/>
                <w:sz w:val="20"/>
                <w:szCs w:val="20"/>
              </w:rPr>
            </w:pPr>
            <w:r w:rsidRPr="002D6400">
              <w:rPr>
                <w:b w:val="0"/>
                <w:bCs/>
                <w:sz w:val="20"/>
                <w:szCs w:val="20"/>
              </w:rPr>
              <w:t>Ներմուծում</w:t>
            </w:r>
          </w:p>
        </w:tc>
        <w:tc>
          <w:tcPr>
            <w:tcW w:w="1286" w:type="dxa"/>
            <w:shd w:val="clear" w:color="auto" w:fill="auto"/>
            <w:vAlign w:val="center"/>
          </w:tcPr>
          <w:p w14:paraId="42FA33FE" w14:textId="77777777" w:rsidR="005D1807" w:rsidRPr="002D6400" w:rsidRDefault="005D1807" w:rsidP="005D1807">
            <w:pPr>
              <w:spacing w:line="240" w:lineRule="auto"/>
              <w:rPr>
                <w:b w:val="0"/>
                <w:bCs/>
                <w:sz w:val="20"/>
                <w:szCs w:val="20"/>
              </w:rPr>
            </w:pPr>
            <w:r w:rsidRPr="002D6400">
              <w:rPr>
                <w:b w:val="0"/>
                <w:bCs/>
                <w:sz w:val="20"/>
                <w:szCs w:val="20"/>
              </w:rPr>
              <w:t>5,082.3</w:t>
            </w:r>
          </w:p>
        </w:tc>
        <w:tc>
          <w:tcPr>
            <w:tcW w:w="1143" w:type="dxa"/>
            <w:shd w:val="clear" w:color="auto" w:fill="auto"/>
            <w:vAlign w:val="center"/>
          </w:tcPr>
          <w:p w14:paraId="13A95E9C" w14:textId="77777777" w:rsidR="005D1807" w:rsidRPr="002D6400" w:rsidRDefault="005D1807" w:rsidP="005D1807">
            <w:pPr>
              <w:spacing w:line="240" w:lineRule="auto"/>
              <w:rPr>
                <w:b w:val="0"/>
                <w:bCs/>
                <w:sz w:val="20"/>
                <w:szCs w:val="20"/>
              </w:rPr>
            </w:pPr>
            <w:r w:rsidRPr="002D6400">
              <w:rPr>
                <w:b w:val="0"/>
                <w:bCs/>
                <w:sz w:val="20"/>
                <w:szCs w:val="20"/>
              </w:rPr>
              <w:t>6,119.7</w:t>
            </w:r>
          </w:p>
        </w:tc>
        <w:tc>
          <w:tcPr>
            <w:tcW w:w="1162" w:type="dxa"/>
            <w:shd w:val="clear" w:color="auto" w:fill="auto"/>
            <w:vAlign w:val="center"/>
          </w:tcPr>
          <w:p w14:paraId="639F3726" w14:textId="77777777" w:rsidR="005D1807" w:rsidRPr="002D6400" w:rsidRDefault="005D1807" w:rsidP="005D1807">
            <w:pPr>
              <w:spacing w:line="240" w:lineRule="auto"/>
              <w:rPr>
                <w:b w:val="0"/>
                <w:bCs/>
                <w:sz w:val="20"/>
                <w:szCs w:val="20"/>
              </w:rPr>
            </w:pPr>
            <w:r w:rsidRPr="002D6400">
              <w:rPr>
                <w:b w:val="0"/>
                <w:bCs/>
                <w:sz w:val="20"/>
                <w:szCs w:val="20"/>
              </w:rPr>
              <w:t>10,186.4</w:t>
            </w:r>
          </w:p>
        </w:tc>
        <w:tc>
          <w:tcPr>
            <w:tcW w:w="1143" w:type="dxa"/>
            <w:shd w:val="clear" w:color="auto" w:fill="auto"/>
            <w:vAlign w:val="center"/>
          </w:tcPr>
          <w:p w14:paraId="6E139AA6" w14:textId="77777777" w:rsidR="005D1807" w:rsidRPr="002D6400" w:rsidRDefault="005D1807" w:rsidP="005D1807">
            <w:pPr>
              <w:spacing w:line="240" w:lineRule="auto"/>
              <w:rPr>
                <w:b w:val="0"/>
                <w:bCs/>
                <w:sz w:val="20"/>
                <w:szCs w:val="20"/>
              </w:rPr>
            </w:pPr>
            <w:r w:rsidRPr="002D6400">
              <w:rPr>
                <w:b w:val="0"/>
                <w:bCs/>
                <w:sz w:val="20"/>
                <w:szCs w:val="20"/>
              </w:rPr>
              <w:t>13,775.9</w:t>
            </w:r>
          </w:p>
        </w:tc>
        <w:tc>
          <w:tcPr>
            <w:tcW w:w="1343" w:type="dxa"/>
            <w:shd w:val="clear" w:color="auto" w:fill="auto"/>
            <w:vAlign w:val="center"/>
          </w:tcPr>
          <w:p w14:paraId="0120B716" w14:textId="77777777" w:rsidR="005D1807" w:rsidRPr="002D6400" w:rsidRDefault="005D1807" w:rsidP="005D1807">
            <w:pPr>
              <w:spacing w:line="240" w:lineRule="auto"/>
              <w:rPr>
                <w:b w:val="0"/>
                <w:bCs/>
                <w:sz w:val="20"/>
                <w:szCs w:val="20"/>
              </w:rPr>
            </w:pPr>
            <w:r w:rsidRPr="002D6400">
              <w:rPr>
                <w:b w:val="0"/>
                <w:bCs/>
                <w:sz w:val="20"/>
                <w:szCs w:val="20"/>
              </w:rPr>
              <w:t>14,991.3</w:t>
            </w:r>
          </w:p>
        </w:tc>
      </w:tr>
      <w:tr w:rsidR="005D1807" w:rsidRPr="002D6400" w14:paraId="7DDBF7C8" w14:textId="77777777" w:rsidTr="002D6400">
        <w:trPr>
          <w:trHeight w:val="233"/>
        </w:trPr>
        <w:tc>
          <w:tcPr>
            <w:tcW w:w="3720" w:type="dxa"/>
            <w:shd w:val="clear" w:color="auto" w:fill="auto"/>
            <w:noWrap/>
          </w:tcPr>
          <w:p w14:paraId="64594AD5" w14:textId="77777777" w:rsidR="005D1807" w:rsidRPr="002D6400" w:rsidRDefault="005D1807" w:rsidP="005D1807">
            <w:pPr>
              <w:spacing w:line="240" w:lineRule="auto"/>
              <w:rPr>
                <w:b w:val="0"/>
                <w:bCs/>
                <w:sz w:val="20"/>
                <w:szCs w:val="20"/>
              </w:rPr>
            </w:pPr>
            <w:r w:rsidRPr="002D6400">
              <w:rPr>
                <w:b w:val="0"/>
                <w:bCs/>
                <w:sz w:val="20"/>
                <w:szCs w:val="20"/>
              </w:rPr>
              <w:t>Փոփոխություն, %</w:t>
            </w:r>
          </w:p>
        </w:tc>
        <w:tc>
          <w:tcPr>
            <w:tcW w:w="1286" w:type="dxa"/>
            <w:shd w:val="clear" w:color="auto" w:fill="auto"/>
          </w:tcPr>
          <w:p w14:paraId="5098B348" w14:textId="77777777" w:rsidR="005D1807" w:rsidRPr="002D6400" w:rsidRDefault="005D1807" w:rsidP="005D1807">
            <w:pPr>
              <w:spacing w:line="240" w:lineRule="auto"/>
              <w:rPr>
                <w:b w:val="0"/>
                <w:bCs/>
                <w:sz w:val="20"/>
                <w:szCs w:val="20"/>
              </w:rPr>
            </w:pPr>
            <w:r w:rsidRPr="002D6400">
              <w:rPr>
                <w:b w:val="0"/>
                <w:bCs/>
                <w:sz w:val="20"/>
                <w:szCs w:val="20"/>
              </w:rPr>
              <w:t>-33.2</w:t>
            </w:r>
          </w:p>
        </w:tc>
        <w:tc>
          <w:tcPr>
            <w:tcW w:w="1143" w:type="dxa"/>
            <w:shd w:val="clear" w:color="auto" w:fill="auto"/>
          </w:tcPr>
          <w:p w14:paraId="0D22AC33" w14:textId="77777777" w:rsidR="005D1807" w:rsidRPr="002D6400" w:rsidRDefault="005D1807" w:rsidP="005D1807">
            <w:pPr>
              <w:spacing w:line="240" w:lineRule="auto"/>
              <w:rPr>
                <w:b w:val="0"/>
                <w:bCs/>
                <w:sz w:val="20"/>
                <w:szCs w:val="20"/>
              </w:rPr>
            </w:pPr>
            <w:r w:rsidRPr="002D6400">
              <w:rPr>
                <w:b w:val="0"/>
                <w:bCs/>
                <w:sz w:val="20"/>
                <w:szCs w:val="20"/>
              </w:rPr>
              <w:t>20.4</w:t>
            </w:r>
          </w:p>
        </w:tc>
        <w:tc>
          <w:tcPr>
            <w:tcW w:w="1162" w:type="dxa"/>
            <w:shd w:val="clear" w:color="auto" w:fill="auto"/>
          </w:tcPr>
          <w:p w14:paraId="0634C83E" w14:textId="77777777" w:rsidR="005D1807" w:rsidRPr="002D6400" w:rsidRDefault="005D1807" w:rsidP="005D1807">
            <w:pPr>
              <w:spacing w:line="240" w:lineRule="auto"/>
              <w:rPr>
                <w:b w:val="0"/>
                <w:bCs/>
                <w:sz w:val="20"/>
                <w:szCs w:val="20"/>
              </w:rPr>
            </w:pPr>
            <w:r w:rsidRPr="002D6400">
              <w:rPr>
                <w:b w:val="0"/>
                <w:bCs/>
                <w:sz w:val="20"/>
                <w:szCs w:val="20"/>
              </w:rPr>
              <w:t>66.5</w:t>
            </w:r>
          </w:p>
        </w:tc>
        <w:tc>
          <w:tcPr>
            <w:tcW w:w="1143" w:type="dxa"/>
            <w:shd w:val="clear" w:color="auto" w:fill="auto"/>
          </w:tcPr>
          <w:p w14:paraId="31F2B057" w14:textId="77777777" w:rsidR="005D1807" w:rsidRPr="002D6400" w:rsidRDefault="005D1807" w:rsidP="005D1807">
            <w:pPr>
              <w:spacing w:line="240" w:lineRule="auto"/>
              <w:rPr>
                <w:b w:val="0"/>
                <w:bCs/>
                <w:sz w:val="20"/>
                <w:szCs w:val="20"/>
              </w:rPr>
            </w:pPr>
            <w:r w:rsidRPr="002D6400">
              <w:rPr>
                <w:b w:val="0"/>
                <w:bCs/>
                <w:sz w:val="20"/>
                <w:szCs w:val="20"/>
              </w:rPr>
              <w:t>35.2</w:t>
            </w:r>
          </w:p>
        </w:tc>
        <w:tc>
          <w:tcPr>
            <w:tcW w:w="1343" w:type="dxa"/>
            <w:shd w:val="clear" w:color="auto" w:fill="auto"/>
          </w:tcPr>
          <w:p w14:paraId="4663CDD3" w14:textId="77777777" w:rsidR="005D1807" w:rsidRPr="002D6400" w:rsidRDefault="005D1807" w:rsidP="005D1807">
            <w:pPr>
              <w:spacing w:line="240" w:lineRule="auto"/>
              <w:rPr>
                <w:b w:val="0"/>
                <w:bCs/>
                <w:sz w:val="20"/>
                <w:szCs w:val="20"/>
              </w:rPr>
            </w:pPr>
            <w:r w:rsidRPr="002D6400">
              <w:rPr>
                <w:b w:val="0"/>
                <w:bCs/>
                <w:sz w:val="20"/>
                <w:szCs w:val="20"/>
              </w:rPr>
              <w:t>8.8</w:t>
            </w:r>
          </w:p>
        </w:tc>
      </w:tr>
      <w:tr w:rsidR="002D6400" w:rsidRPr="002D6400" w14:paraId="3212F977" w14:textId="77777777" w:rsidTr="002D6400">
        <w:trPr>
          <w:trHeight w:val="233"/>
        </w:trPr>
        <w:tc>
          <w:tcPr>
            <w:tcW w:w="3720" w:type="dxa"/>
            <w:tcBorders>
              <w:bottom w:val="single" w:sz="4" w:space="0" w:color="auto"/>
            </w:tcBorders>
            <w:shd w:val="clear" w:color="auto" w:fill="auto"/>
            <w:noWrap/>
          </w:tcPr>
          <w:p w14:paraId="7ABDB594" w14:textId="77777777" w:rsidR="005D1807" w:rsidRPr="002D6400" w:rsidRDefault="005D1807" w:rsidP="005D1807">
            <w:pPr>
              <w:spacing w:line="240" w:lineRule="auto"/>
              <w:rPr>
                <w:b w:val="0"/>
                <w:bCs/>
                <w:sz w:val="20"/>
                <w:szCs w:val="20"/>
              </w:rPr>
            </w:pPr>
            <w:r w:rsidRPr="002D6400">
              <w:rPr>
                <w:b w:val="0"/>
                <w:bCs/>
                <w:sz w:val="20"/>
                <w:szCs w:val="20"/>
              </w:rPr>
              <w:t>Դրամական փոխանցումներ</w:t>
            </w:r>
          </w:p>
        </w:tc>
        <w:tc>
          <w:tcPr>
            <w:tcW w:w="1286" w:type="dxa"/>
            <w:tcBorders>
              <w:bottom w:val="single" w:sz="4" w:space="0" w:color="auto"/>
            </w:tcBorders>
            <w:shd w:val="clear" w:color="auto" w:fill="auto"/>
            <w:vAlign w:val="center"/>
          </w:tcPr>
          <w:p w14:paraId="5AEBEDC5" w14:textId="77777777" w:rsidR="005D1807" w:rsidRPr="002D6400" w:rsidRDefault="005D1807" w:rsidP="005D1807">
            <w:pPr>
              <w:spacing w:line="240" w:lineRule="auto"/>
              <w:rPr>
                <w:b w:val="0"/>
                <w:bCs/>
                <w:sz w:val="20"/>
                <w:szCs w:val="20"/>
              </w:rPr>
            </w:pPr>
            <w:r w:rsidRPr="002D6400">
              <w:rPr>
                <w:b w:val="0"/>
                <w:bCs/>
                <w:sz w:val="20"/>
                <w:szCs w:val="20"/>
              </w:rPr>
              <w:t>1,072.1</w:t>
            </w:r>
          </w:p>
        </w:tc>
        <w:tc>
          <w:tcPr>
            <w:tcW w:w="1143" w:type="dxa"/>
            <w:tcBorders>
              <w:bottom w:val="single" w:sz="4" w:space="0" w:color="auto"/>
            </w:tcBorders>
            <w:shd w:val="clear" w:color="auto" w:fill="auto"/>
            <w:vAlign w:val="center"/>
          </w:tcPr>
          <w:p w14:paraId="280D73E9" w14:textId="77777777" w:rsidR="005D1807" w:rsidRPr="002D6400" w:rsidRDefault="005D1807" w:rsidP="005D1807">
            <w:pPr>
              <w:spacing w:line="240" w:lineRule="auto"/>
              <w:rPr>
                <w:b w:val="0"/>
                <w:bCs/>
                <w:sz w:val="20"/>
                <w:szCs w:val="20"/>
              </w:rPr>
            </w:pPr>
            <w:r w:rsidRPr="002D6400">
              <w:rPr>
                <w:b w:val="0"/>
                <w:bCs/>
                <w:sz w:val="20"/>
                <w:szCs w:val="20"/>
              </w:rPr>
              <w:t>1,274.0</w:t>
            </w:r>
          </w:p>
        </w:tc>
        <w:tc>
          <w:tcPr>
            <w:tcW w:w="1162" w:type="dxa"/>
            <w:tcBorders>
              <w:bottom w:val="single" w:sz="4" w:space="0" w:color="auto"/>
            </w:tcBorders>
            <w:shd w:val="clear" w:color="auto" w:fill="auto"/>
            <w:vAlign w:val="center"/>
          </w:tcPr>
          <w:p w14:paraId="27248737" w14:textId="77777777" w:rsidR="005D1807" w:rsidRPr="002D6400" w:rsidRDefault="005D1807" w:rsidP="005D1807">
            <w:pPr>
              <w:spacing w:line="240" w:lineRule="auto"/>
              <w:rPr>
                <w:b w:val="0"/>
                <w:bCs/>
                <w:sz w:val="20"/>
                <w:szCs w:val="20"/>
              </w:rPr>
            </w:pPr>
            <w:r w:rsidRPr="002D6400">
              <w:rPr>
                <w:b w:val="0"/>
                <w:bCs/>
                <w:sz w:val="20"/>
                <w:szCs w:val="20"/>
              </w:rPr>
              <w:t>1,538.3</w:t>
            </w:r>
          </w:p>
        </w:tc>
        <w:tc>
          <w:tcPr>
            <w:tcW w:w="1143" w:type="dxa"/>
            <w:tcBorders>
              <w:bottom w:val="single" w:sz="4" w:space="0" w:color="auto"/>
            </w:tcBorders>
            <w:shd w:val="clear" w:color="auto" w:fill="auto"/>
          </w:tcPr>
          <w:p w14:paraId="3F640D17" w14:textId="77777777" w:rsidR="005D1807" w:rsidRPr="002D6400" w:rsidRDefault="005D1807" w:rsidP="005D1807">
            <w:pPr>
              <w:spacing w:line="240" w:lineRule="auto"/>
              <w:rPr>
                <w:b w:val="0"/>
                <w:bCs/>
                <w:sz w:val="20"/>
                <w:szCs w:val="20"/>
              </w:rPr>
            </w:pPr>
            <w:r w:rsidRPr="002D6400">
              <w:rPr>
                <w:b w:val="0"/>
                <w:bCs/>
                <w:sz w:val="20"/>
                <w:szCs w:val="20"/>
              </w:rPr>
              <w:t>1,223.0</w:t>
            </w:r>
          </w:p>
        </w:tc>
        <w:tc>
          <w:tcPr>
            <w:tcW w:w="1343" w:type="dxa"/>
            <w:tcBorders>
              <w:bottom w:val="single" w:sz="4" w:space="0" w:color="auto"/>
            </w:tcBorders>
            <w:shd w:val="clear" w:color="auto" w:fill="auto"/>
          </w:tcPr>
          <w:p w14:paraId="7C570976" w14:textId="77777777" w:rsidR="005D1807" w:rsidRPr="002D6400" w:rsidRDefault="005D1807" w:rsidP="005D1807">
            <w:pPr>
              <w:spacing w:line="240" w:lineRule="auto"/>
              <w:rPr>
                <w:b w:val="0"/>
                <w:bCs/>
                <w:sz w:val="20"/>
                <w:szCs w:val="20"/>
              </w:rPr>
            </w:pPr>
            <w:r w:rsidRPr="002D6400">
              <w:rPr>
                <w:b w:val="0"/>
                <w:bCs/>
                <w:sz w:val="20"/>
                <w:szCs w:val="20"/>
              </w:rPr>
              <w:t>1,270.6</w:t>
            </w:r>
          </w:p>
        </w:tc>
      </w:tr>
      <w:tr w:rsidR="005D1807" w:rsidRPr="002D6400" w14:paraId="1C262102" w14:textId="77777777" w:rsidTr="002D6400">
        <w:trPr>
          <w:trHeight w:val="159"/>
        </w:trPr>
        <w:tc>
          <w:tcPr>
            <w:tcW w:w="9800" w:type="dxa"/>
            <w:gridSpan w:val="6"/>
            <w:tcBorders>
              <w:top w:val="single" w:sz="4" w:space="0" w:color="auto"/>
            </w:tcBorders>
            <w:shd w:val="clear" w:color="auto" w:fill="auto"/>
            <w:noWrap/>
            <w:vAlign w:val="center"/>
          </w:tcPr>
          <w:p w14:paraId="1CF91EFA" w14:textId="77777777" w:rsidR="005D1807" w:rsidRPr="002D6400" w:rsidRDefault="005D1807" w:rsidP="005D1807">
            <w:pPr>
              <w:spacing w:line="240" w:lineRule="auto"/>
              <w:rPr>
                <w:b w:val="0"/>
                <w:bCs/>
                <w:sz w:val="20"/>
                <w:szCs w:val="20"/>
              </w:rPr>
            </w:pPr>
            <w:r w:rsidRPr="002D6400">
              <w:rPr>
                <w:b w:val="0"/>
                <w:bCs/>
                <w:sz w:val="20"/>
                <w:szCs w:val="20"/>
              </w:rPr>
              <w:t>ՀՆԱ-ի նկատմամբ %</w:t>
            </w:r>
          </w:p>
        </w:tc>
      </w:tr>
      <w:tr w:rsidR="005D1807" w:rsidRPr="002D6400" w14:paraId="794B78BC" w14:textId="77777777" w:rsidTr="002D6400">
        <w:trPr>
          <w:trHeight w:val="233"/>
        </w:trPr>
        <w:tc>
          <w:tcPr>
            <w:tcW w:w="3720" w:type="dxa"/>
            <w:shd w:val="clear" w:color="auto" w:fill="auto"/>
            <w:noWrap/>
          </w:tcPr>
          <w:p w14:paraId="7DCD0870" w14:textId="77777777" w:rsidR="005D1807" w:rsidRPr="002D6400" w:rsidRDefault="005D1807" w:rsidP="005D1807">
            <w:pPr>
              <w:spacing w:line="240" w:lineRule="auto"/>
              <w:rPr>
                <w:b w:val="0"/>
                <w:bCs/>
                <w:sz w:val="20"/>
                <w:szCs w:val="20"/>
              </w:rPr>
            </w:pPr>
            <w:r w:rsidRPr="002D6400">
              <w:rPr>
                <w:b w:val="0"/>
                <w:bCs/>
                <w:sz w:val="20"/>
                <w:szCs w:val="20"/>
              </w:rPr>
              <w:t xml:space="preserve">Ընթացիկ հաշիվ </w:t>
            </w:r>
          </w:p>
        </w:tc>
        <w:tc>
          <w:tcPr>
            <w:tcW w:w="1286" w:type="dxa"/>
            <w:shd w:val="clear" w:color="auto" w:fill="auto"/>
            <w:vAlign w:val="center"/>
          </w:tcPr>
          <w:p w14:paraId="3DC9B22A" w14:textId="77777777" w:rsidR="005D1807" w:rsidRPr="002D6400" w:rsidRDefault="005D1807" w:rsidP="005D1807">
            <w:pPr>
              <w:spacing w:line="240" w:lineRule="auto"/>
              <w:rPr>
                <w:b w:val="0"/>
                <w:bCs/>
                <w:sz w:val="20"/>
                <w:szCs w:val="20"/>
              </w:rPr>
            </w:pPr>
            <w:r w:rsidRPr="002D6400">
              <w:rPr>
                <w:b w:val="0"/>
                <w:bCs/>
                <w:sz w:val="20"/>
                <w:szCs w:val="20"/>
              </w:rPr>
              <w:t>-4.0</w:t>
            </w:r>
          </w:p>
        </w:tc>
        <w:tc>
          <w:tcPr>
            <w:tcW w:w="1143" w:type="dxa"/>
            <w:shd w:val="clear" w:color="auto" w:fill="auto"/>
            <w:vAlign w:val="center"/>
          </w:tcPr>
          <w:p w14:paraId="7DC4CA4C" w14:textId="77777777" w:rsidR="005D1807" w:rsidRPr="002D6400" w:rsidRDefault="005D1807" w:rsidP="005D1807">
            <w:pPr>
              <w:spacing w:line="240" w:lineRule="auto"/>
              <w:rPr>
                <w:b w:val="0"/>
                <w:bCs/>
                <w:sz w:val="20"/>
                <w:szCs w:val="20"/>
              </w:rPr>
            </w:pPr>
            <w:r w:rsidRPr="002D6400">
              <w:rPr>
                <w:b w:val="0"/>
                <w:bCs/>
                <w:sz w:val="20"/>
                <w:szCs w:val="20"/>
              </w:rPr>
              <w:t>-3.5</w:t>
            </w:r>
          </w:p>
        </w:tc>
        <w:tc>
          <w:tcPr>
            <w:tcW w:w="1162" w:type="dxa"/>
            <w:shd w:val="clear" w:color="auto" w:fill="auto"/>
            <w:vAlign w:val="center"/>
          </w:tcPr>
          <w:p w14:paraId="0191CC09" w14:textId="77777777" w:rsidR="005D1807" w:rsidRPr="002D6400" w:rsidRDefault="005D1807" w:rsidP="005D1807">
            <w:pPr>
              <w:spacing w:line="240" w:lineRule="auto"/>
              <w:rPr>
                <w:b w:val="0"/>
                <w:bCs/>
                <w:sz w:val="20"/>
                <w:szCs w:val="20"/>
              </w:rPr>
            </w:pPr>
            <w:r w:rsidRPr="002D6400">
              <w:rPr>
                <w:b w:val="0"/>
                <w:bCs/>
                <w:sz w:val="20"/>
                <w:szCs w:val="20"/>
              </w:rPr>
              <w:t>0.8</w:t>
            </w:r>
          </w:p>
        </w:tc>
        <w:tc>
          <w:tcPr>
            <w:tcW w:w="1143" w:type="dxa"/>
            <w:shd w:val="clear" w:color="auto" w:fill="auto"/>
            <w:vAlign w:val="center"/>
          </w:tcPr>
          <w:p w14:paraId="514D23A6" w14:textId="77777777" w:rsidR="005D1807" w:rsidRPr="002D6400" w:rsidRDefault="005D1807" w:rsidP="005D1807">
            <w:pPr>
              <w:spacing w:line="240" w:lineRule="auto"/>
              <w:rPr>
                <w:b w:val="0"/>
                <w:bCs/>
                <w:sz w:val="20"/>
                <w:szCs w:val="20"/>
              </w:rPr>
            </w:pPr>
            <w:r w:rsidRPr="002D6400">
              <w:rPr>
                <w:b w:val="0"/>
                <w:bCs/>
                <w:sz w:val="20"/>
                <w:szCs w:val="20"/>
              </w:rPr>
              <w:t>-4.0</w:t>
            </w:r>
          </w:p>
        </w:tc>
        <w:tc>
          <w:tcPr>
            <w:tcW w:w="1343" w:type="dxa"/>
            <w:shd w:val="clear" w:color="auto" w:fill="auto"/>
            <w:vAlign w:val="center"/>
          </w:tcPr>
          <w:p w14:paraId="175D81DB" w14:textId="77777777" w:rsidR="005D1807" w:rsidRPr="002D6400" w:rsidRDefault="005D1807" w:rsidP="005D1807">
            <w:pPr>
              <w:spacing w:line="240" w:lineRule="auto"/>
              <w:rPr>
                <w:b w:val="0"/>
                <w:bCs/>
                <w:sz w:val="20"/>
                <w:szCs w:val="20"/>
              </w:rPr>
            </w:pPr>
            <w:r w:rsidRPr="002D6400">
              <w:rPr>
                <w:b w:val="0"/>
                <w:bCs/>
                <w:sz w:val="20"/>
                <w:szCs w:val="20"/>
              </w:rPr>
              <w:t>-4.8</w:t>
            </w:r>
          </w:p>
        </w:tc>
      </w:tr>
      <w:tr w:rsidR="005D1807" w:rsidRPr="002D6400" w14:paraId="25D3EDC1" w14:textId="77777777" w:rsidTr="002D6400">
        <w:trPr>
          <w:trHeight w:val="233"/>
        </w:trPr>
        <w:tc>
          <w:tcPr>
            <w:tcW w:w="3720" w:type="dxa"/>
            <w:shd w:val="clear" w:color="auto" w:fill="auto"/>
            <w:noWrap/>
          </w:tcPr>
          <w:p w14:paraId="5F63BDC1" w14:textId="77777777" w:rsidR="005D1807" w:rsidRPr="002D6400" w:rsidRDefault="005D1807" w:rsidP="005D1807">
            <w:pPr>
              <w:spacing w:line="240" w:lineRule="auto"/>
              <w:rPr>
                <w:b w:val="0"/>
                <w:bCs/>
                <w:sz w:val="20"/>
                <w:szCs w:val="20"/>
              </w:rPr>
            </w:pPr>
            <w:r w:rsidRPr="002D6400">
              <w:rPr>
                <w:b w:val="0"/>
                <w:bCs/>
                <w:sz w:val="20"/>
                <w:szCs w:val="20"/>
              </w:rPr>
              <w:t>Ապրանքների և ծառայությունների հաշվեկշիռ</w:t>
            </w:r>
          </w:p>
        </w:tc>
        <w:tc>
          <w:tcPr>
            <w:tcW w:w="1286" w:type="dxa"/>
            <w:shd w:val="clear" w:color="auto" w:fill="auto"/>
            <w:vAlign w:val="center"/>
          </w:tcPr>
          <w:p w14:paraId="10737FE4" w14:textId="77777777" w:rsidR="005D1807" w:rsidRPr="002D6400" w:rsidRDefault="005D1807" w:rsidP="005D1807">
            <w:pPr>
              <w:spacing w:line="240" w:lineRule="auto"/>
              <w:rPr>
                <w:b w:val="0"/>
                <w:bCs/>
                <w:sz w:val="20"/>
                <w:szCs w:val="20"/>
              </w:rPr>
            </w:pPr>
            <w:r w:rsidRPr="002D6400">
              <w:rPr>
                <w:b w:val="0"/>
                <w:bCs/>
                <w:sz w:val="20"/>
                <w:szCs w:val="20"/>
              </w:rPr>
              <w:t>-10.0</w:t>
            </w:r>
          </w:p>
        </w:tc>
        <w:tc>
          <w:tcPr>
            <w:tcW w:w="1143" w:type="dxa"/>
            <w:shd w:val="clear" w:color="auto" w:fill="auto"/>
            <w:vAlign w:val="center"/>
          </w:tcPr>
          <w:p w14:paraId="39FDFB16" w14:textId="77777777" w:rsidR="005D1807" w:rsidRPr="002D6400" w:rsidRDefault="005D1807" w:rsidP="005D1807">
            <w:pPr>
              <w:spacing w:line="240" w:lineRule="auto"/>
              <w:rPr>
                <w:b w:val="0"/>
                <w:bCs/>
                <w:sz w:val="20"/>
                <w:szCs w:val="20"/>
              </w:rPr>
            </w:pPr>
            <w:r w:rsidRPr="002D6400">
              <w:rPr>
                <w:b w:val="0"/>
                <w:bCs/>
                <w:sz w:val="20"/>
                <w:szCs w:val="20"/>
              </w:rPr>
              <w:t>-8.0</w:t>
            </w:r>
          </w:p>
        </w:tc>
        <w:tc>
          <w:tcPr>
            <w:tcW w:w="1162" w:type="dxa"/>
            <w:shd w:val="clear" w:color="auto" w:fill="auto"/>
            <w:vAlign w:val="center"/>
          </w:tcPr>
          <w:p w14:paraId="5F9649BD" w14:textId="77777777" w:rsidR="005D1807" w:rsidRPr="002D6400" w:rsidRDefault="005D1807" w:rsidP="005D1807">
            <w:pPr>
              <w:spacing w:line="240" w:lineRule="auto"/>
              <w:rPr>
                <w:b w:val="0"/>
                <w:bCs/>
                <w:sz w:val="20"/>
                <w:szCs w:val="20"/>
              </w:rPr>
            </w:pPr>
            <w:r w:rsidRPr="002D6400">
              <w:rPr>
                <w:b w:val="0"/>
                <w:bCs/>
                <w:sz w:val="20"/>
                <w:szCs w:val="20"/>
              </w:rPr>
              <w:t>-0.8</w:t>
            </w:r>
          </w:p>
        </w:tc>
        <w:tc>
          <w:tcPr>
            <w:tcW w:w="1143" w:type="dxa"/>
            <w:shd w:val="clear" w:color="auto" w:fill="auto"/>
            <w:vAlign w:val="center"/>
          </w:tcPr>
          <w:p w14:paraId="2397D431" w14:textId="77777777" w:rsidR="005D1807" w:rsidRPr="002D6400" w:rsidRDefault="005D1807" w:rsidP="005D1807">
            <w:pPr>
              <w:spacing w:line="240" w:lineRule="auto"/>
              <w:rPr>
                <w:b w:val="0"/>
                <w:bCs/>
                <w:sz w:val="20"/>
                <w:szCs w:val="20"/>
              </w:rPr>
            </w:pPr>
            <w:r w:rsidRPr="002D6400">
              <w:rPr>
                <w:b w:val="0"/>
                <w:bCs/>
                <w:sz w:val="20"/>
                <w:szCs w:val="20"/>
              </w:rPr>
              <w:t>-2.2</w:t>
            </w:r>
          </w:p>
        </w:tc>
        <w:tc>
          <w:tcPr>
            <w:tcW w:w="1343" w:type="dxa"/>
            <w:shd w:val="clear" w:color="auto" w:fill="auto"/>
            <w:vAlign w:val="center"/>
          </w:tcPr>
          <w:p w14:paraId="12B4314C" w14:textId="77777777" w:rsidR="005D1807" w:rsidRPr="002D6400" w:rsidRDefault="005D1807" w:rsidP="005D1807">
            <w:pPr>
              <w:spacing w:line="240" w:lineRule="auto"/>
              <w:rPr>
                <w:b w:val="0"/>
                <w:bCs/>
                <w:sz w:val="20"/>
                <w:szCs w:val="20"/>
              </w:rPr>
            </w:pPr>
            <w:r w:rsidRPr="002D6400">
              <w:rPr>
                <w:b w:val="0"/>
                <w:bCs/>
                <w:sz w:val="20"/>
                <w:szCs w:val="20"/>
              </w:rPr>
              <w:t>-2.5</w:t>
            </w:r>
          </w:p>
        </w:tc>
      </w:tr>
      <w:tr w:rsidR="005D1807" w:rsidRPr="002D6400" w14:paraId="3B9AD04B" w14:textId="77777777" w:rsidTr="002D6400">
        <w:trPr>
          <w:trHeight w:val="233"/>
        </w:trPr>
        <w:tc>
          <w:tcPr>
            <w:tcW w:w="3720" w:type="dxa"/>
            <w:shd w:val="clear" w:color="auto" w:fill="auto"/>
          </w:tcPr>
          <w:p w14:paraId="4E54C0FB" w14:textId="77777777" w:rsidR="005D1807" w:rsidRPr="002D6400" w:rsidRDefault="005D1807" w:rsidP="005D1807">
            <w:pPr>
              <w:spacing w:line="240" w:lineRule="auto"/>
              <w:rPr>
                <w:b w:val="0"/>
                <w:bCs/>
                <w:sz w:val="20"/>
                <w:szCs w:val="20"/>
              </w:rPr>
            </w:pPr>
            <w:r w:rsidRPr="002D6400">
              <w:rPr>
                <w:b w:val="0"/>
                <w:bCs/>
                <w:sz w:val="20"/>
                <w:szCs w:val="20"/>
              </w:rPr>
              <w:t>Արտահանում</w:t>
            </w:r>
          </w:p>
        </w:tc>
        <w:tc>
          <w:tcPr>
            <w:tcW w:w="1286" w:type="dxa"/>
            <w:shd w:val="clear" w:color="auto" w:fill="auto"/>
            <w:vAlign w:val="center"/>
          </w:tcPr>
          <w:p w14:paraId="247C3C0B" w14:textId="77777777" w:rsidR="005D1807" w:rsidRPr="002D6400" w:rsidRDefault="005D1807" w:rsidP="005D1807">
            <w:pPr>
              <w:spacing w:line="240" w:lineRule="auto"/>
              <w:rPr>
                <w:b w:val="0"/>
                <w:bCs/>
                <w:sz w:val="20"/>
                <w:szCs w:val="20"/>
              </w:rPr>
            </w:pPr>
            <w:r w:rsidRPr="002D6400">
              <w:rPr>
                <w:b w:val="0"/>
                <w:bCs/>
                <w:sz w:val="20"/>
                <w:szCs w:val="20"/>
              </w:rPr>
              <w:t>30.2</w:t>
            </w:r>
          </w:p>
        </w:tc>
        <w:tc>
          <w:tcPr>
            <w:tcW w:w="1143" w:type="dxa"/>
            <w:shd w:val="clear" w:color="auto" w:fill="auto"/>
            <w:vAlign w:val="center"/>
          </w:tcPr>
          <w:p w14:paraId="4D184A30" w14:textId="77777777" w:rsidR="005D1807" w:rsidRPr="002D6400" w:rsidRDefault="005D1807" w:rsidP="005D1807">
            <w:pPr>
              <w:spacing w:line="240" w:lineRule="auto"/>
              <w:rPr>
                <w:b w:val="0"/>
                <w:bCs/>
                <w:sz w:val="20"/>
                <w:szCs w:val="20"/>
              </w:rPr>
            </w:pPr>
            <w:r w:rsidRPr="002D6400">
              <w:rPr>
                <w:b w:val="0"/>
                <w:bCs/>
                <w:sz w:val="20"/>
                <w:szCs w:val="20"/>
              </w:rPr>
              <w:t>36.1</w:t>
            </w:r>
          </w:p>
        </w:tc>
        <w:tc>
          <w:tcPr>
            <w:tcW w:w="1162" w:type="dxa"/>
            <w:shd w:val="clear" w:color="auto" w:fill="auto"/>
            <w:vAlign w:val="center"/>
          </w:tcPr>
          <w:p w14:paraId="37E2E543" w14:textId="77777777" w:rsidR="005D1807" w:rsidRPr="002D6400" w:rsidRDefault="005D1807" w:rsidP="005D1807">
            <w:pPr>
              <w:spacing w:line="240" w:lineRule="auto"/>
              <w:rPr>
                <w:b w:val="0"/>
                <w:bCs/>
                <w:sz w:val="20"/>
                <w:szCs w:val="20"/>
              </w:rPr>
            </w:pPr>
            <w:r w:rsidRPr="002D6400">
              <w:rPr>
                <w:b w:val="0"/>
                <w:bCs/>
                <w:sz w:val="20"/>
                <w:szCs w:val="20"/>
              </w:rPr>
              <w:t>51.4</w:t>
            </w:r>
          </w:p>
        </w:tc>
        <w:tc>
          <w:tcPr>
            <w:tcW w:w="1143" w:type="dxa"/>
            <w:shd w:val="clear" w:color="auto" w:fill="auto"/>
          </w:tcPr>
          <w:p w14:paraId="1681FC4E" w14:textId="77777777" w:rsidR="005D1807" w:rsidRPr="002D6400" w:rsidRDefault="005D1807" w:rsidP="005D1807">
            <w:pPr>
              <w:spacing w:line="240" w:lineRule="auto"/>
              <w:rPr>
                <w:b w:val="0"/>
                <w:bCs/>
                <w:sz w:val="20"/>
                <w:szCs w:val="20"/>
              </w:rPr>
            </w:pPr>
            <w:r w:rsidRPr="002D6400">
              <w:rPr>
                <w:b w:val="0"/>
                <w:bCs/>
                <w:sz w:val="20"/>
                <w:szCs w:val="20"/>
              </w:rPr>
              <w:t>55.0</w:t>
            </w:r>
          </w:p>
        </w:tc>
        <w:tc>
          <w:tcPr>
            <w:tcW w:w="1343" w:type="dxa"/>
            <w:shd w:val="clear" w:color="auto" w:fill="auto"/>
          </w:tcPr>
          <w:p w14:paraId="13B90252" w14:textId="77777777" w:rsidR="005D1807" w:rsidRPr="002D6400" w:rsidRDefault="005D1807" w:rsidP="005D1807">
            <w:pPr>
              <w:spacing w:line="240" w:lineRule="auto"/>
              <w:rPr>
                <w:b w:val="0"/>
                <w:bCs/>
                <w:sz w:val="20"/>
                <w:szCs w:val="20"/>
              </w:rPr>
            </w:pPr>
            <w:r w:rsidRPr="002D6400">
              <w:rPr>
                <w:b w:val="0"/>
                <w:bCs/>
                <w:sz w:val="20"/>
                <w:szCs w:val="20"/>
              </w:rPr>
              <w:t>56.4</w:t>
            </w:r>
          </w:p>
        </w:tc>
      </w:tr>
      <w:tr w:rsidR="005D1807" w:rsidRPr="002D6400" w14:paraId="70A2CE5F" w14:textId="77777777" w:rsidTr="002D6400">
        <w:trPr>
          <w:trHeight w:val="233"/>
        </w:trPr>
        <w:tc>
          <w:tcPr>
            <w:tcW w:w="3720" w:type="dxa"/>
            <w:shd w:val="clear" w:color="auto" w:fill="auto"/>
          </w:tcPr>
          <w:p w14:paraId="3D35922E" w14:textId="77777777" w:rsidR="005D1807" w:rsidRPr="002D6400" w:rsidRDefault="005D1807" w:rsidP="005D1807">
            <w:pPr>
              <w:spacing w:line="240" w:lineRule="auto"/>
              <w:rPr>
                <w:b w:val="0"/>
                <w:bCs/>
                <w:sz w:val="20"/>
                <w:szCs w:val="20"/>
              </w:rPr>
            </w:pPr>
            <w:r w:rsidRPr="002D6400">
              <w:rPr>
                <w:b w:val="0"/>
                <w:bCs/>
                <w:sz w:val="20"/>
                <w:szCs w:val="20"/>
              </w:rPr>
              <w:t>Ներմուծում</w:t>
            </w:r>
          </w:p>
        </w:tc>
        <w:tc>
          <w:tcPr>
            <w:tcW w:w="1286" w:type="dxa"/>
            <w:shd w:val="clear" w:color="auto" w:fill="auto"/>
            <w:vAlign w:val="center"/>
          </w:tcPr>
          <w:p w14:paraId="4B35CCBF" w14:textId="77777777" w:rsidR="005D1807" w:rsidRPr="002D6400" w:rsidRDefault="005D1807" w:rsidP="005D1807">
            <w:pPr>
              <w:spacing w:line="240" w:lineRule="auto"/>
              <w:rPr>
                <w:b w:val="0"/>
                <w:bCs/>
                <w:sz w:val="20"/>
                <w:szCs w:val="20"/>
              </w:rPr>
            </w:pPr>
            <w:r w:rsidRPr="002D6400">
              <w:rPr>
                <w:b w:val="0"/>
                <w:bCs/>
                <w:sz w:val="20"/>
                <w:szCs w:val="20"/>
              </w:rPr>
              <w:t>40.2</w:t>
            </w:r>
          </w:p>
        </w:tc>
        <w:tc>
          <w:tcPr>
            <w:tcW w:w="1143" w:type="dxa"/>
            <w:shd w:val="clear" w:color="auto" w:fill="auto"/>
            <w:vAlign w:val="center"/>
          </w:tcPr>
          <w:p w14:paraId="69FC93A6" w14:textId="77777777" w:rsidR="005D1807" w:rsidRPr="002D6400" w:rsidRDefault="005D1807" w:rsidP="005D1807">
            <w:pPr>
              <w:spacing w:line="240" w:lineRule="auto"/>
              <w:rPr>
                <w:b w:val="0"/>
                <w:bCs/>
                <w:sz w:val="20"/>
                <w:szCs w:val="20"/>
              </w:rPr>
            </w:pPr>
            <w:r w:rsidRPr="002D6400">
              <w:rPr>
                <w:b w:val="0"/>
                <w:bCs/>
                <w:sz w:val="20"/>
                <w:szCs w:val="20"/>
              </w:rPr>
              <w:t>44.1</w:t>
            </w:r>
          </w:p>
        </w:tc>
        <w:tc>
          <w:tcPr>
            <w:tcW w:w="1162" w:type="dxa"/>
            <w:shd w:val="clear" w:color="auto" w:fill="auto"/>
            <w:vAlign w:val="center"/>
          </w:tcPr>
          <w:p w14:paraId="19B94676" w14:textId="77777777" w:rsidR="005D1807" w:rsidRPr="002D6400" w:rsidRDefault="005D1807" w:rsidP="005D1807">
            <w:pPr>
              <w:spacing w:line="240" w:lineRule="auto"/>
              <w:rPr>
                <w:b w:val="0"/>
                <w:bCs/>
                <w:sz w:val="20"/>
                <w:szCs w:val="20"/>
              </w:rPr>
            </w:pPr>
            <w:r w:rsidRPr="002D6400">
              <w:rPr>
                <w:b w:val="0"/>
                <w:bCs/>
                <w:sz w:val="20"/>
                <w:szCs w:val="20"/>
              </w:rPr>
              <w:t>52.2</w:t>
            </w:r>
          </w:p>
        </w:tc>
        <w:tc>
          <w:tcPr>
            <w:tcW w:w="1143" w:type="dxa"/>
            <w:shd w:val="clear" w:color="auto" w:fill="auto"/>
          </w:tcPr>
          <w:p w14:paraId="73D0D9B5" w14:textId="77777777" w:rsidR="005D1807" w:rsidRPr="002D6400" w:rsidRDefault="005D1807" w:rsidP="005D1807">
            <w:pPr>
              <w:spacing w:line="240" w:lineRule="auto"/>
              <w:rPr>
                <w:b w:val="0"/>
                <w:bCs/>
                <w:sz w:val="20"/>
                <w:szCs w:val="20"/>
              </w:rPr>
            </w:pPr>
            <w:r w:rsidRPr="002D6400">
              <w:rPr>
                <w:b w:val="0"/>
                <w:bCs/>
                <w:sz w:val="20"/>
                <w:szCs w:val="20"/>
              </w:rPr>
              <w:t>57.2</w:t>
            </w:r>
          </w:p>
        </w:tc>
        <w:tc>
          <w:tcPr>
            <w:tcW w:w="1343" w:type="dxa"/>
            <w:shd w:val="clear" w:color="auto" w:fill="auto"/>
          </w:tcPr>
          <w:p w14:paraId="2E3CE17A" w14:textId="77777777" w:rsidR="005D1807" w:rsidRPr="002D6400" w:rsidRDefault="005D1807" w:rsidP="005D1807">
            <w:pPr>
              <w:spacing w:line="240" w:lineRule="auto"/>
              <w:rPr>
                <w:b w:val="0"/>
                <w:bCs/>
                <w:sz w:val="20"/>
                <w:szCs w:val="20"/>
              </w:rPr>
            </w:pPr>
            <w:r w:rsidRPr="002D6400">
              <w:rPr>
                <w:b w:val="0"/>
                <w:bCs/>
                <w:sz w:val="20"/>
                <w:szCs w:val="20"/>
              </w:rPr>
              <w:t>58.9</w:t>
            </w:r>
          </w:p>
        </w:tc>
      </w:tr>
      <w:tr w:rsidR="002D6400" w:rsidRPr="002D6400" w14:paraId="62BF59CE" w14:textId="77777777" w:rsidTr="002D6400">
        <w:trPr>
          <w:trHeight w:val="406"/>
        </w:trPr>
        <w:tc>
          <w:tcPr>
            <w:tcW w:w="3720" w:type="dxa"/>
            <w:tcBorders>
              <w:bottom w:val="single" w:sz="4" w:space="0" w:color="auto"/>
            </w:tcBorders>
            <w:shd w:val="clear" w:color="auto" w:fill="auto"/>
          </w:tcPr>
          <w:p w14:paraId="30D41689" w14:textId="77777777" w:rsidR="005D1807" w:rsidRPr="002D6400" w:rsidRDefault="005D1807" w:rsidP="005D1807">
            <w:pPr>
              <w:spacing w:line="240" w:lineRule="auto"/>
              <w:rPr>
                <w:b w:val="0"/>
                <w:bCs/>
                <w:sz w:val="20"/>
                <w:szCs w:val="20"/>
              </w:rPr>
            </w:pPr>
            <w:r w:rsidRPr="002D6400">
              <w:rPr>
                <w:b w:val="0"/>
                <w:bCs/>
                <w:sz w:val="20"/>
                <w:szCs w:val="20"/>
              </w:rPr>
              <w:t>Դրամական փոխանցումներ</w:t>
            </w:r>
          </w:p>
        </w:tc>
        <w:tc>
          <w:tcPr>
            <w:tcW w:w="1286" w:type="dxa"/>
            <w:tcBorders>
              <w:bottom w:val="single" w:sz="4" w:space="0" w:color="auto"/>
            </w:tcBorders>
            <w:shd w:val="clear" w:color="auto" w:fill="auto"/>
            <w:vAlign w:val="center"/>
          </w:tcPr>
          <w:p w14:paraId="537161B5" w14:textId="77777777" w:rsidR="005D1807" w:rsidRPr="002D6400" w:rsidRDefault="005D1807" w:rsidP="005D1807">
            <w:pPr>
              <w:spacing w:line="240" w:lineRule="auto"/>
              <w:rPr>
                <w:b w:val="0"/>
                <w:bCs/>
                <w:sz w:val="20"/>
                <w:szCs w:val="20"/>
              </w:rPr>
            </w:pPr>
            <w:r w:rsidRPr="002D6400">
              <w:rPr>
                <w:b w:val="0"/>
                <w:bCs/>
                <w:sz w:val="20"/>
                <w:szCs w:val="20"/>
              </w:rPr>
              <w:t>8.5</w:t>
            </w:r>
          </w:p>
        </w:tc>
        <w:tc>
          <w:tcPr>
            <w:tcW w:w="1143" w:type="dxa"/>
            <w:tcBorders>
              <w:bottom w:val="single" w:sz="4" w:space="0" w:color="auto"/>
            </w:tcBorders>
            <w:shd w:val="clear" w:color="auto" w:fill="auto"/>
            <w:vAlign w:val="center"/>
          </w:tcPr>
          <w:p w14:paraId="3FBE31B9" w14:textId="77777777" w:rsidR="005D1807" w:rsidRPr="002D6400" w:rsidRDefault="005D1807" w:rsidP="005D1807">
            <w:pPr>
              <w:spacing w:line="240" w:lineRule="auto"/>
              <w:rPr>
                <w:b w:val="0"/>
                <w:bCs/>
                <w:sz w:val="20"/>
                <w:szCs w:val="20"/>
              </w:rPr>
            </w:pPr>
            <w:r w:rsidRPr="002D6400">
              <w:rPr>
                <w:b w:val="0"/>
                <w:bCs/>
                <w:sz w:val="20"/>
                <w:szCs w:val="20"/>
              </w:rPr>
              <w:t>9.2</w:t>
            </w:r>
          </w:p>
        </w:tc>
        <w:tc>
          <w:tcPr>
            <w:tcW w:w="1162" w:type="dxa"/>
            <w:tcBorders>
              <w:bottom w:val="single" w:sz="4" w:space="0" w:color="auto"/>
            </w:tcBorders>
            <w:shd w:val="clear" w:color="auto" w:fill="auto"/>
            <w:vAlign w:val="center"/>
          </w:tcPr>
          <w:p w14:paraId="7E865F4B" w14:textId="77777777" w:rsidR="005D1807" w:rsidRPr="002D6400" w:rsidRDefault="005D1807" w:rsidP="005D1807">
            <w:pPr>
              <w:spacing w:line="240" w:lineRule="auto"/>
              <w:rPr>
                <w:b w:val="0"/>
                <w:bCs/>
                <w:sz w:val="20"/>
                <w:szCs w:val="20"/>
              </w:rPr>
            </w:pPr>
            <w:r w:rsidRPr="002D6400">
              <w:rPr>
                <w:b w:val="0"/>
                <w:bCs/>
                <w:sz w:val="20"/>
                <w:szCs w:val="20"/>
              </w:rPr>
              <w:t>7.9</w:t>
            </w:r>
          </w:p>
        </w:tc>
        <w:tc>
          <w:tcPr>
            <w:tcW w:w="1143" w:type="dxa"/>
            <w:tcBorders>
              <w:bottom w:val="single" w:sz="4" w:space="0" w:color="auto"/>
            </w:tcBorders>
            <w:shd w:val="clear" w:color="auto" w:fill="auto"/>
            <w:vAlign w:val="center"/>
          </w:tcPr>
          <w:p w14:paraId="0402BF54" w14:textId="77777777" w:rsidR="005D1807" w:rsidRPr="002D6400" w:rsidRDefault="005D1807" w:rsidP="005D1807">
            <w:pPr>
              <w:spacing w:line="240" w:lineRule="auto"/>
              <w:rPr>
                <w:b w:val="0"/>
                <w:bCs/>
                <w:sz w:val="20"/>
                <w:szCs w:val="20"/>
              </w:rPr>
            </w:pPr>
            <w:r w:rsidRPr="002D6400">
              <w:rPr>
                <w:b w:val="0"/>
                <w:bCs/>
                <w:sz w:val="20"/>
                <w:szCs w:val="20"/>
              </w:rPr>
              <w:t>5.1</w:t>
            </w:r>
          </w:p>
        </w:tc>
        <w:tc>
          <w:tcPr>
            <w:tcW w:w="1343" w:type="dxa"/>
            <w:tcBorders>
              <w:bottom w:val="single" w:sz="4" w:space="0" w:color="auto"/>
            </w:tcBorders>
            <w:shd w:val="clear" w:color="auto" w:fill="auto"/>
            <w:vAlign w:val="center"/>
          </w:tcPr>
          <w:p w14:paraId="7872AF63" w14:textId="77777777" w:rsidR="005D1807" w:rsidRPr="002D6400" w:rsidRDefault="005D1807" w:rsidP="005D1807">
            <w:pPr>
              <w:spacing w:line="240" w:lineRule="auto"/>
              <w:rPr>
                <w:b w:val="0"/>
                <w:bCs/>
                <w:sz w:val="20"/>
                <w:szCs w:val="20"/>
              </w:rPr>
            </w:pPr>
            <w:r w:rsidRPr="002D6400">
              <w:rPr>
                <w:b w:val="0"/>
                <w:bCs/>
                <w:sz w:val="20"/>
                <w:szCs w:val="20"/>
              </w:rPr>
              <w:t>5.0</w:t>
            </w:r>
          </w:p>
        </w:tc>
      </w:tr>
    </w:tbl>
    <w:p w14:paraId="61E522F4" w14:textId="77777777" w:rsidR="005D1807" w:rsidRPr="005D1807" w:rsidRDefault="005D1807" w:rsidP="005D1807">
      <w:pPr>
        <w:spacing w:line="240" w:lineRule="auto"/>
        <w:rPr>
          <w:b w:val="0"/>
          <w:bCs/>
          <w:sz w:val="20"/>
          <w:szCs w:val="20"/>
        </w:rPr>
      </w:pPr>
    </w:p>
    <w:p w14:paraId="2E7AD2CB" w14:textId="77777777" w:rsidR="005D1807" w:rsidRPr="005D1807" w:rsidRDefault="005D1807" w:rsidP="005D1807">
      <w:pPr>
        <w:rPr>
          <w:b w:val="0"/>
          <w:bCs/>
        </w:rPr>
      </w:pPr>
    </w:p>
    <w:p w14:paraId="38F57BA8" w14:textId="77777777" w:rsidR="005D1807" w:rsidRPr="005D1807" w:rsidRDefault="005D1807" w:rsidP="005D1807">
      <w:pPr>
        <w:keepNext/>
        <w:keepLines/>
        <w:spacing w:before="0"/>
        <w:outlineLvl w:val="2"/>
        <w:rPr>
          <w:rFonts w:eastAsiaTheme="majorEastAsia" w:cstheme="majorBidi"/>
          <w:bCs/>
          <w:color w:val="1F497D" w:themeColor="text2"/>
          <w:sz w:val="24"/>
          <w:lang w:val="hy-AM" w:eastAsia="en-US"/>
        </w:rPr>
      </w:pPr>
      <w:bookmarkStart w:id="31" w:name="_Toc146911023"/>
      <w:bookmarkStart w:id="32" w:name="_Toc153184462"/>
      <w:bookmarkStart w:id="33" w:name="_Toc165901453"/>
      <w:r w:rsidRPr="005D1807">
        <w:rPr>
          <w:rFonts w:eastAsiaTheme="majorEastAsia" w:cstheme="majorBidi"/>
          <w:bCs/>
          <w:color w:val="1F497D" w:themeColor="text2"/>
          <w:sz w:val="24"/>
          <w:lang w:val="hy-AM" w:eastAsia="en-US"/>
        </w:rPr>
        <w:lastRenderedPageBreak/>
        <w:t>1.2. ՀԱՄԱՇԽԱՐՀԱՅԻՆ ՏՆՏԵՍՈՒԹՅԱՆ ԵՎ ԳՈՐԾԸՆԿԵՐ ԵՐԿՐՆԵՐԻ ԶԱՐԳԱՑՈՒՄՆԵՐ ԵՎ ԿԱՆԽԱՏԵՍՈՒՄՆԵՐ</w:t>
      </w:r>
      <w:bookmarkEnd w:id="21"/>
      <w:bookmarkEnd w:id="22"/>
      <w:bookmarkEnd w:id="23"/>
      <w:bookmarkEnd w:id="24"/>
      <w:bookmarkEnd w:id="25"/>
      <w:bookmarkEnd w:id="26"/>
      <w:bookmarkEnd w:id="31"/>
      <w:bookmarkEnd w:id="32"/>
      <w:bookmarkEnd w:id="33"/>
    </w:p>
    <w:p w14:paraId="536400BB" w14:textId="77777777" w:rsidR="005D1807" w:rsidRPr="002D6400" w:rsidRDefault="005D1807" w:rsidP="005D1807">
      <w:pPr>
        <w:rPr>
          <w:b w:val="0"/>
          <w:bCs/>
          <w:lang w:val="hy-AM"/>
        </w:rPr>
      </w:pPr>
      <w:bookmarkStart w:id="34" w:name="_Toc57559414"/>
      <w:bookmarkStart w:id="35" w:name="_Toc83663896"/>
      <w:bookmarkStart w:id="36" w:name="_Toc83972832"/>
      <w:bookmarkStart w:id="37" w:name="_Toc115686018"/>
      <w:bookmarkStart w:id="38" w:name="_Toc45705389"/>
      <w:r w:rsidRPr="002D6400">
        <w:rPr>
          <w:lang w:val="hy-AM"/>
        </w:rPr>
        <w:t>Տնտեսական զարգացումներ: 2022թ. ռուս-ուկրաինական հակամարտության զարգացումների արդյունքում համաշխարհային տնտեսությունում, այդ թվում՝ ՀՀ գործընկեր երկրների տնտեսություններում տեղի է ունեցել տնտեսական աճի դանդաղում՝ պայմանավորված համաշխարհային մատակարարման շղթաների խաթարմամբ, դրա արդյունքում պարենային և հումքային ապրանքների միջազգային գների բարձրացմամբ, ձևավորված բարձր գնաճային միջավայրը մեղմելուն ուղղված՝ կենտրոնական բանկերի զսպող դրամավարկային քաղաքականությամբ:</w:t>
      </w:r>
      <w:r w:rsidRPr="002D6400">
        <w:rPr>
          <w:b w:val="0"/>
          <w:bCs/>
          <w:lang w:val="hy-AM"/>
        </w:rPr>
        <w:t xml:space="preserve"> Ռուս-ուկրաինական հակամարտության և դրա արդյունքում ՌԴ նկատմամբ կիրառված աննախադեպ պատժամիջոցների բացասական անուղղակի ազդեցությունները, ինչպես նաև կենտրոնական բանկերի կողմից իրականացված դրամավարկային քաղաքականության խստացումը հանգեցրին համաշխարհային տնտեսության, ինչպես նաև հիմնական գործընկեր երկրների տնտեսությունների աճի դանդաղման, իսկ ՌԴ-ում՝ անկման: Արժույթի միջազգային հիմնադրամի (ԱՄՀ) գնահատականներով 2022թ. համաշխարհային տնտեսական աճը կազմել է 3.5%՝ նախորդ տարվա 6.3%-ի դիմաց, իսկ ՀՀ հիմնական գործընկեր երկրներից ՌԴ-ում գրանցվել է 2.1% անկում, Եվրագոտում՝ 3.5% աճ, ԱՄՆ-ում՝ 2.1% և Չինաստանում՝ 3.0%: </w:t>
      </w:r>
    </w:p>
    <w:p w14:paraId="3E7CE398" w14:textId="1C3ABBA3" w:rsidR="005D1807" w:rsidRPr="0073392C" w:rsidRDefault="005D1807" w:rsidP="005D1807">
      <w:pPr>
        <w:rPr>
          <w:rFonts w:eastAsia="GHEA Grapalat"/>
          <w:b w:val="0"/>
          <w:bCs/>
          <w:lang w:val="hy-AM"/>
        </w:rPr>
      </w:pPr>
      <w:r w:rsidRPr="0073392C">
        <w:rPr>
          <w:lang w:val="hy-AM"/>
        </w:rPr>
        <w:t>2023թ․ առաջին կիսամյակում հիմնական գործընկեր երկրներում տնտեսական աճը շարունակում է մնալ դրական տիրույթում, սակայն որոշ երկրներում նկատվում է աճի տեմպի դանդաղում, իսկ որոշներում՝ արագացում։ Աճը զսպող գործոններ են շարունակում մնալ ռուս-ուկրաինական հակամարտության բացասական հետևանքներն ու կենտրոնական բանկերի կողմից կիրառվող դրամավարկային քաղաքականության խստացումները:</w:t>
      </w:r>
      <w:r w:rsidRPr="0073392C">
        <w:rPr>
          <w:b w:val="0"/>
          <w:bCs/>
          <w:lang w:val="hy-AM"/>
        </w:rPr>
        <w:t xml:space="preserve"> Տնտեսական դանդաղ աճը պայմանավորված է արդյունաբերության ոլորտի շարունակական անկմամբ, որը զուգակցում է ծառայությունների ոլորտի դանդաղ աճով</w:t>
      </w:r>
      <w:r w:rsidRPr="005D1807">
        <w:rPr>
          <w:rFonts w:eastAsia="GHEA Grapalat"/>
          <w:b w:val="0"/>
          <w:bCs/>
        </w:rPr>
        <w:footnoteReference w:id="2"/>
      </w:r>
      <w:r w:rsidRPr="0073392C">
        <w:rPr>
          <w:rFonts w:eastAsia="GHEA Grapalat"/>
          <w:b w:val="0"/>
          <w:bCs/>
          <w:lang w:val="hy-AM"/>
        </w:rPr>
        <w:t xml:space="preserve">։ </w:t>
      </w:r>
      <w:r w:rsidRPr="0073392C">
        <w:rPr>
          <w:b w:val="0"/>
          <w:bCs/>
          <w:lang w:val="hy-AM"/>
        </w:rPr>
        <w:t>2023 թվականի առաջին կիսամյակում ԱՄՆ տնտեսությունը նախորդ տարվա համապատասխան ժամանակահատվածի նկատմամբ գրանցել է միջինում 2․2% աճ, ընդ որում՝ առաջին եռամսյակում աճը կազմել է 1.8</w:t>
      </w:r>
      <w:r w:rsidRPr="0073392C">
        <w:rPr>
          <w:rFonts w:eastAsia="GHEA Grapalat"/>
          <w:b w:val="0"/>
          <w:bCs/>
          <w:lang w:val="hy-AM"/>
        </w:rPr>
        <w:t xml:space="preserve">% աճ, իսկ երկրորդ եռամսյակում՝ </w:t>
      </w:r>
      <w:r w:rsidRPr="0073392C">
        <w:rPr>
          <w:b w:val="0"/>
          <w:bCs/>
          <w:lang w:val="hy-AM"/>
        </w:rPr>
        <w:t>2.6</w:t>
      </w:r>
      <w:r w:rsidRPr="0073392C">
        <w:rPr>
          <w:rFonts w:eastAsia="GHEA Grapalat"/>
          <w:b w:val="0"/>
          <w:bCs/>
          <w:lang w:val="hy-AM"/>
        </w:rPr>
        <w:t>%</w:t>
      </w:r>
      <w:r w:rsidRPr="005D1807">
        <w:rPr>
          <w:b w:val="0"/>
          <w:bCs/>
        </w:rPr>
        <w:footnoteReference w:id="3"/>
      </w:r>
      <w:r w:rsidRPr="0073392C">
        <w:rPr>
          <w:rFonts w:eastAsia="GHEA Grapalat"/>
          <w:b w:val="0"/>
          <w:bCs/>
          <w:lang w:val="hy-AM"/>
        </w:rPr>
        <w:t>։ Եվրագոտու տնտեսությունն աճել է ավելի դանդաղ տեմպերով՝ 0.8%, ընդ որում՝ առաջին եռամսյակում՝ 1.1%-ով, երկրորդ եռամսյակում՝ 0.5%-ով</w:t>
      </w:r>
      <w:r w:rsidRPr="005D1807">
        <w:rPr>
          <w:b w:val="0"/>
          <w:bCs/>
        </w:rPr>
        <w:footnoteReference w:id="4"/>
      </w:r>
      <w:r w:rsidRPr="0073392C">
        <w:rPr>
          <w:rFonts w:eastAsia="GHEA Grapalat"/>
          <w:b w:val="0"/>
          <w:bCs/>
          <w:lang w:val="hy-AM"/>
        </w:rPr>
        <w:t>։ Չինաստանում առաջին կիսամյակում միջինում գրանցվել է  5.4% աճ, ընդ որում՝ առաջին եռամսյակում գրանցվել է 4.5% տնտեսական աճ, իսկ երկրորդ եռամսյակում՝ 6.3%</w:t>
      </w:r>
      <w:r w:rsidRPr="005D1807">
        <w:rPr>
          <w:b w:val="0"/>
          <w:bCs/>
        </w:rPr>
        <w:footnoteReference w:id="5"/>
      </w:r>
      <w:r w:rsidRPr="0073392C">
        <w:rPr>
          <w:rFonts w:eastAsia="GHEA Grapalat"/>
          <w:b w:val="0"/>
          <w:bCs/>
          <w:lang w:val="hy-AM"/>
        </w:rPr>
        <w:t>: Ռուսաստանի Դաշնությունում առաջին եռամսյակի 1․8% անկումից հետո ապրիլ-հունիս ամիսներին տնտեսական աճը միջինում կազմել է 4․9%, մասնավորապես, ապրիլին՝ 3.3%, մայիսին՝ 5.4%, հունիսին՝ 5.3%</w:t>
      </w:r>
      <w:r w:rsidRPr="005D1807">
        <w:rPr>
          <w:rFonts w:eastAsia="GHEA Grapalat"/>
          <w:b w:val="0"/>
          <w:bCs/>
        </w:rPr>
        <w:footnoteReference w:id="6"/>
      </w:r>
      <w:r w:rsidRPr="0073392C">
        <w:rPr>
          <w:rFonts w:eastAsia="GHEA Grapalat"/>
          <w:b w:val="0"/>
          <w:bCs/>
          <w:lang w:val="hy-AM"/>
        </w:rPr>
        <w:t xml:space="preserve">։  Առաջին կիսամյակի ընթացքում Ռուսաստանի տնտեսությունն աճել է միջինում 1.6%-ով, ինչն առավելապես պայմանավորված է մշակող արդյունաբերության (2.6%) գյուղատնտեսության (2.9%) և մանրածախ առևտրի (6.4%) աճերով։ Հուլիս ամսին ՌԴ տնտեսությունն աճել է 5%-ով` </w:t>
      </w:r>
      <w:r w:rsidRPr="0073392C">
        <w:rPr>
          <w:rFonts w:eastAsia="GHEA Grapalat"/>
          <w:b w:val="0"/>
          <w:bCs/>
          <w:lang w:val="hy-AM"/>
        </w:rPr>
        <w:lastRenderedPageBreak/>
        <w:t xml:space="preserve">պայմանավորված կառավարության կողմից իրականացված միջոցառումներով՝ ուղղված խթանելու ռազմական տեխնիկայի արտադրությունը և բարձրացնելու կենսաթոշակներն ու աշխատավարձերը: Սա էլ իր հերթին հանգեցրել է մի շարք ապրանքների և ծառայությունների պահանջարկի, հետևաբար և գների աճի: Արդյունքում, հունվար-հուլիս ամիսներին ՌԴ տնտեսական աճը նախորդ տարվա համապատասխան ժամանակահատվածի նկատմամբ կազմել է 2.1%: </w:t>
      </w:r>
    </w:p>
    <w:p w14:paraId="58341A01" w14:textId="77777777" w:rsidR="005D1807" w:rsidRPr="0073392C" w:rsidRDefault="005D1807" w:rsidP="005D1807">
      <w:pPr>
        <w:rPr>
          <w:b w:val="0"/>
          <w:bCs/>
          <w:lang w:val="hy-AM"/>
        </w:rPr>
      </w:pPr>
      <w:r w:rsidRPr="0073392C">
        <w:rPr>
          <w:lang w:val="hy-AM"/>
        </w:rPr>
        <w:t xml:space="preserve">Գծապատկեր 1.1. </w:t>
      </w:r>
      <w:r w:rsidRPr="0073392C">
        <w:rPr>
          <w:b w:val="0"/>
          <w:bCs/>
          <w:lang w:val="hy-AM"/>
        </w:rPr>
        <w:t>Գործընկեր երկրների տնտեսական աճեր</w:t>
      </w:r>
      <w:r w:rsidRPr="005D1807">
        <w:rPr>
          <w:b w:val="0"/>
          <w:bCs/>
        </w:rPr>
        <w:footnoteReference w:id="7"/>
      </w:r>
      <w:r w:rsidRPr="0073392C">
        <w:rPr>
          <w:b w:val="0"/>
          <w:bCs/>
          <w:lang w:val="hy-AM"/>
        </w:rPr>
        <w:t>, եռամսյակային, տ/տ, %</w:t>
      </w:r>
    </w:p>
    <w:p w14:paraId="61D685C2" w14:textId="77777777" w:rsidR="005D1807" w:rsidRPr="005D1807" w:rsidRDefault="005D1807" w:rsidP="005D1807">
      <w:pPr>
        <w:rPr>
          <w:b w:val="0"/>
          <w:bCs/>
        </w:rPr>
      </w:pPr>
      <w:r w:rsidRPr="0073392C">
        <w:rPr>
          <w:b w:val="0"/>
          <w:bCs/>
          <w:lang w:val="hy-AM"/>
        </w:rPr>
        <w:t xml:space="preserve"> </w:t>
      </w:r>
      <w:r w:rsidRPr="005D1807">
        <w:rPr>
          <w:b w:val="0"/>
          <w:bCs/>
          <w:noProof/>
          <w:lang w:val="en-US" w:eastAsia="en-US"/>
        </w:rPr>
        <w:drawing>
          <wp:inline distT="0" distB="0" distL="0" distR="0" wp14:anchorId="2BB24E80" wp14:editId="727A495B">
            <wp:extent cx="6055995" cy="1936377"/>
            <wp:effectExtent l="0" t="0" r="1905" b="6985"/>
            <wp:docPr id="2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DD644CE" w14:textId="77777777" w:rsidR="005D1807" w:rsidRPr="005D1807" w:rsidRDefault="005D1807" w:rsidP="005D1807">
      <w:pPr>
        <w:rPr>
          <w:b w:val="0"/>
          <w:bCs/>
        </w:rPr>
      </w:pPr>
      <w:r w:rsidRPr="002D6400">
        <w:t>Կանխատեսում։ ԱՄՀ հուլիս ամսվա կանխատեսումների համաձայն, 2023թ․ համաշխարհային տնտեսական աճը կդանդաղի՝ կազմելով 3.0%,  2024թ. տնտեսական աճը կպահպանվի նույն մակարդակում (3.0%)՝ գտնվելով պատմական (2000-2019թթ․) միջին` 3.8%, ցուցանիշից ներքև:</w:t>
      </w:r>
      <w:r w:rsidRPr="005D1807">
        <w:rPr>
          <w:b w:val="0"/>
          <w:bCs/>
        </w:rPr>
        <w:t xml:space="preserve"> ՀՀ հիմնական գործընկեր երկրներից ԱՄՆ-ում և ԵԳ-ում տեղի կունենան աճի էական դանդաղումներ՝ պայմանավորված մշակող արդյունաբերության նվազող միտումով, մինչդեռ Չինաստանում տնտեսական աճը կարագանա, իսկ ՌԴ-ում նախորդ տարվա անկումից հետո կգրանցի աճ՝ պայմանավորված մանրածախ առևտրի, շինարարության և արդյունաբերական արտադրանքի աճերով։</w:t>
      </w:r>
    </w:p>
    <w:p w14:paraId="201A912B" w14:textId="77777777" w:rsidR="005D1807" w:rsidRPr="005D1807" w:rsidRDefault="005D1807" w:rsidP="005D1807">
      <w:pPr>
        <w:rPr>
          <w:b w:val="0"/>
          <w:bCs/>
        </w:rPr>
      </w:pPr>
      <w:r w:rsidRPr="002D6400">
        <w:t xml:space="preserve">Աղյուսակ 1.2. </w:t>
      </w:r>
      <w:r w:rsidRPr="005D1807">
        <w:rPr>
          <w:b w:val="0"/>
          <w:bCs/>
        </w:rPr>
        <w:t>ԱՄՀ կանխատեսումներ</w:t>
      </w:r>
    </w:p>
    <w:tbl>
      <w:tblPr>
        <w:tblpPr w:leftFromText="180" w:rightFromText="180" w:bottomFromText="160" w:vertAnchor="text" w:horzAnchor="margin" w:tblpY="40"/>
        <w:tblW w:w="9755" w:type="dxa"/>
        <w:tblBorders>
          <w:bottom w:val="single" w:sz="4" w:space="0" w:color="auto"/>
        </w:tblBorders>
        <w:tblLayout w:type="fixed"/>
        <w:tblLook w:val="04A0" w:firstRow="1" w:lastRow="0" w:firstColumn="1" w:lastColumn="0" w:noHBand="0" w:noVBand="1"/>
      </w:tblPr>
      <w:tblGrid>
        <w:gridCol w:w="1980"/>
        <w:gridCol w:w="1984"/>
        <w:gridCol w:w="1134"/>
        <w:gridCol w:w="850"/>
        <w:gridCol w:w="858"/>
        <w:gridCol w:w="1134"/>
        <w:gridCol w:w="850"/>
        <w:gridCol w:w="965"/>
      </w:tblGrid>
      <w:tr w:rsidR="005D1807" w:rsidRPr="002D6400" w14:paraId="4DDB462C" w14:textId="77777777" w:rsidTr="002D6400">
        <w:trPr>
          <w:trHeight w:val="627"/>
        </w:trPr>
        <w:tc>
          <w:tcPr>
            <w:tcW w:w="1980" w:type="dxa"/>
            <w:shd w:val="clear" w:color="auto" w:fill="auto"/>
            <w:vAlign w:val="center"/>
          </w:tcPr>
          <w:p w14:paraId="363FDBB0" w14:textId="77777777" w:rsidR="005D1807" w:rsidRPr="002D6400" w:rsidRDefault="005D1807" w:rsidP="005D1807">
            <w:pPr>
              <w:rPr>
                <w:b w:val="0"/>
                <w:bCs/>
                <w:sz w:val="20"/>
                <w:szCs w:val="20"/>
              </w:rPr>
            </w:pPr>
            <w:r w:rsidRPr="002D6400">
              <w:rPr>
                <w:b w:val="0"/>
                <w:bCs/>
                <w:sz w:val="20"/>
                <w:szCs w:val="20"/>
              </w:rPr>
              <w:t xml:space="preserve">Տնտեսական </w:t>
            </w:r>
          </w:p>
          <w:p w14:paraId="4ADBCA33" w14:textId="77777777" w:rsidR="005D1807" w:rsidRPr="002D6400" w:rsidRDefault="005D1807" w:rsidP="005D1807">
            <w:pPr>
              <w:rPr>
                <w:b w:val="0"/>
                <w:bCs/>
                <w:sz w:val="20"/>
                <w:szCs w:val="20"/>
              </w:rPr>
            </w:pPr>
            <w:r w:rsidRPr="002D6400">
              <w:rPr>
                <w:b w:val="0"/>
                <w:bCs/>
                <w:sz w:val="20"/>
                <w:szCs w:val="20"/>
              </w:rPr>
              <w:t>աճ, %</w:t>
            </w:r>
          </w:p>
        </w:tc>
        <w:tc>
          <w:tcPr>
            <w:tcW w:w="1984" w:type="dxa"/>
            <w:tcBorders>
              <w:bottom w:val="nil"/>
            </w:tcBorders>
            <w:shd w:val="clear" w:color="auto" w:fill="auto"/>
            <w:vAlign w:val="center"/>
          </w:tcPr>
          <w:p w14:paraId="6CE8E981" w14:textId="77777777" w:rsidR="005D1807" w:rsidRPr="002D6400" w:rsidRDefault="005D1807" w:rsidP="005D1807">
            <w:pPr>
              <w:rPr>
                <w:b w:val="0"/>
                <w:bCs/>
                <w:sz w:val="20"/>
                <w:szCs w:val="20"/>
              </w:rPr>
            </w:pPr>
            <w:r w:rsidRPr="002D6400">
              <w:rPr>
                <w:b w:val="0"/>
                <w:bCs/>
                <w:sz w:val="20"/>
                <w:szCs w:val="20"/>
              </w:rPr>
              <w:t>2022</w:t>
            </w:r>
          </w:p>
        </w:tc>
        <w:tc>
          <w:tcPr>
            <w:tcW w:w="2842" w:type="dxa"/>
            <w:gridSpan w:val="3"/>
            <w:tcBorders>
              <w:bottom w:val="single" w:sz="4" w:space="0" w:color="auto"/>
            </w:tcBorders>
            <w:shd w:val="clear" w:color="auto" w:fill="auto"/>
            <w:vAlign w:val="center"/>
          </w:tcPr>
          <w:p w14:paraId="3E52F80B" w14:textId="77777777" w:rsidR="005D1807" w:rsidRPr="002D6400" w:rsidRDefault="005D1807" w:rsidP="002D6400">
            <w:pPr>
              <w:jc w:val="center"/>
              <w:rPr>
                <w:b w:val="0"/>
                <w:bCs/>
                <w:sz w:val="20"/>
                <w:szCs w:val="20"/>
              </w:rPr>
            </w:pPr>
            <w:r w:rsidRPr="002D6400">
              <w:rPr>
                <w:b w:val="0"/>
                <w:bCs/>
                <w:sz w:val="20"/>
                <w:szCs w:val="20"/>
              </w:rPr>
              <w:t>2023</w:t>
            </w:r>
          </w:p>
        </w:tc>
        <w:tc>
          <w:tcPr>
            <w:tcW w:w="2949" w:type="dxa"/>
            <w:gridSpan w:val="3"/>
            <w:tcBorders>
              <w:bottom w:val="nil"/>
            </w:tcBorders>
            <w:shd w:val="clear" w:color="auto" w:fill="auto"/>
            <w:vAlign w:val="center"/>
          </w:tcPr>
          <w:p w14:paraId="10029358" w14:textId="77777777" w:rsidR="005D1807" w:rsidRPr="002D6400" w:rsidRDefault="005D1807" w:rsidP="002D6400">
            <w:pPr>
              <w:jc w:val="center"/>
              <w:rPr>
                <w:b w:val="0"/>
                <w:bCs/>
                <w:sz w:val="20"/>
                <w:szCs w:val="20"/>
              </w:rPr>
            </w:pPr>
            <w:r w:rsidRPr="002D6400">
              <w:rPr>
                <w:b w:val="0"/>
                <w:bCs/>
                <w:sz w:val="20"/>
                <w:szCs w:val="20"/>
              </w:rPr>
              <w:t>2024</w:t>
            </w:r>
          </w:p>
        </w:tc>
      </w:tr>
      <w:tr w:rsidR="005D1807" w:rsidRPr="002D6400" w14:paraId="54DAD73E" w14:textId="77777777" w:rsidTr="002D6400">
        <w:trPr>
          <w:trHeight w:val="482"/>
        </w:trPr>
        <w:tc>
          <w:tcPr>
            <w:tcW w:w="1980" w:type="dxa"/>
            <w:shd w:val="clear" w:color="auto" w:fill="auto"/>
          </w:tcPr>
          <w:p w14:paraId="701FF074" w14:textId="77777777" w:rsidR="005D1807" w:rsidRPr="002D6400" w:rsidRDefault="005D1807" w:rsidP="005D1807">
            <w:pPr>
              <w:rPr>
                <w:b w:val="0"/>
                <w:bCs/>
                <w:sz w:val="20"/>
                <w:szCs w:val="20"/>
              </w:rPr>
            </w:pPr>
          </w:p>
        </w:tc>
        <w:tc>
          <w:tcPr>
            <w:tcW w:w="1984" w:type="dxa"/>
            <w:tcBorders>
              <w:bottom w:val="single" w:sz="4" w:space="0" w:color="auto"/>
            </w:tcBorders>
            <w:shd w:val="clear" w:color="auto" w:fill="auto"/>
            <w:vAlign w:val="center"/>
            <w:hideMark/>
          </w:tcPr>
          <w:p w14:paraId="1458969E" w14:textId="77777777" w:rsidR="005D1807" w:rsidRPr="002D6400" w:rsidRDefault="005D1807" w:rsidP="002D6400">
            <w:pPr>
              <w:spacing w:line="240" w:lineRule="auto"/>
              <w:rPr>
                <w:b w:val="0"/>
                <w:bCs/>
                <w:sz w:val="20"/>
                <w:szCs w:val="20"/>
              </w:rPr>
            </w:pPr>
            <w:r w:rsidRPr="002D6400">
              <w:rPr>
                <w:b w:val="0"/>
                <w:bCs/>
                <w:sz w:val="20"/>
                <w:szCs w:val="20"/>
              </w:rPr>
              <w:t>Փաստ/ Գնահատական</w:t>
            </w:r>
          </w:p>
        </w:tc>
        <w:tc>
          <w:tcPr>
            <w:tcW w:w="1134" w:type="dxa"/>
            <w:tcBorders>
              <w:top w:val="single" w:sz="4" w:space="0" w:color="auto"/>
              <w:bottom w:val="single" w:sz="4" w:space="0" w:color="auto"/>
            </w:tcBorders>
            <w:shd w:val="clear" w:color="auto" w:fill="auto"/>
            <w:vAlign w:val="center"/>
            <w:hideMark/>
          </w:tcPr>
          <w:p w14:paraId="2596E445" w14:textId="77777777" w:rsidR="005D1807" w:rsidRPr="002D6400" w:rsidRDefault="005D1807" w:rsidP="005D1807">
            <w:pPr>
              <w:rPr>
                <w:b w:val="0"/>
                <w:bCs/>
                <w:sz w:val="20"/>
                <w:szCs w:val="20"/>
              </w:rPr>
            </w:pPr>
            <w:r w:rsidRPr="002D6400">
              <w:rPr>
                <w:b w:val="0"/>
                <w:bCs/>
                <w:sz w:val="20"/>
                <w:szCs w:val="20"/>
              </w:rPr>
              <w:t>Հունվար</w:t>
            </w:r>
          </w:p>
        </w:tc>
        <w:tc>
          <w:tcPr>
            <w:tcW w:w="850" w:type="dxa"/>
            <w:tcBorders>
              <w:top w:val="single" w:sz="4" w:space="0" w:color="auto"/>
              <w:bottom w:val="single" w:sz="4" w:space="0" w:color="auto"/>
            </w:tcBorders>
            <w:shd w:val="clear" w:color="auto" w:fill="auto"/>
            <w:vAlign w:val="center"/>
            <w:hideMark/>
          </w:tcPr>
          <w:p w14:paraId="28BFFFBD" w14:textId="77777777" w:rsidR="005D1807" w:rsidRPr="002D6400" w:rsidRDefault="005D1807" w:rsidP="005D1807">
            <w:pPr>
              <w:rPr>
                <w:b w:val="0"/>
                <w:bCs/>
                <w:sz w:val="20"/>
                <w:szCs w:val="20"/>
              </w:rPr>
            </w:pPr>
            <w:r w:rsidRPr="002D6400">
              <w:rPr>
                <w:b w:val="0"/>
                <w:bCs/>
                <w:sz w:val="20"/>
                <w:szCs w:val="20"/>
              </w:rPr>
              <w:t>Ապրիլ</w:t>
            </w:r>
          </w:p>
        </w:tc>
        <w:tc>
          <w:tcPr>
            <w:tcW w:w="855" w:type="dxa"/>
            <w:tcBorders>
              <w:top w:val="single" w:sz="4" w:space="0" w:color="auto"/>
              <w:bottom w:val="single" w:sz="4" w:space="0" w:color="auto"/>
            </w:tcBorders>
            <w:shd w:val="clear" w:color="auto" w:fill="auto"/>
            <w:vAlign w:val="center"/>
            <w:hideMark/>
          </w:tcPr>
          <w:p w14:paraId="68C2B2E0" w14:textId="77777777" w:rsidR="005D1807" w:rsidRPr="002D6400" w:rsidRDefault="005D1807" w:rsidP="005D1807">
            <w:pPr>
              <w:rPr>
                <w:b w:val="0"/>
                <w:bCs/>
                <w:sz w:val="20"/>
                <w:szCs w:val="20"/>
              </w:rPr>
            </w:pPr>
            <w:r w:rsidRPr="002D6400">
              <w:rPr>
                <w:b w:val="0"/>
                <w:bCs/>
                <w:sz w:val="20"/>
                <w:szCs w:val="20"/>
              </w:rPr>
              <w:t xml:space="preserve"> Հուլիս</w:t>
            </w:r>
          </w:p>
        </w:tc>
        <w:tc>
          <w:tcPr>
            <w:tcW w:w="1134" w:type="dxa"/>
            <w:tcBorders>
              <w:bottom w:val="single" w:sz="4" w:space="0" w:color="auto"/>
            </w:tcBorders>
            <w:shd w:val="clear" w:color="auto" w:fill="auto"/>
            <w:vAlign w:val="center"/>
            <w:hideMark/>
          </w:tcPr>
          <w:p w14:paraId="10552494" w14:textId="77777777" w:rsidR="005D1807" w:rsidRPr="002D6400" w:rsidRDefault="005D1807" w:rsidP="005D1807">
            <w:pPr>
              <w:rPr>
                <w:b w:val="0"/>
                <w:bCs/>
                <w:sz w:val="20"/>
                <w:szCs w:val="20"/>
              </w:rPr>
            </w:pPr>
            <w:r w:rsidRPr="002D6400">
              <w:rPr>
                <w:b w:val="0"/>
                <w:bCs/>
                <w:sz w:val="20"/>
                <w:szCs w:val="20"/>
              </w:rPr>
              <w:t xml:space="preserve"> Հունվար</w:t>
            </w:r>
          </w:p>
        </w:tc>
        <w:tc>
          <w:tcPr>
            <w:tcW w:w="850" w:type="dxa"/>
            <w:tcBorders>
              <w:bottom w:val="single" w:sz="4" w:space="0" w:color="auto"/>
            </w:tcBorders>
            <w:shd w:val="clear" w:color="auto" w:fill="auto"/>
            <w:vAlign w:val="center"/>
            <w:hideMark/>
          </w:tcPr>
          <w:p w14:paraId="2D68F624" w14:textId="77777777" w:rsidR="005D1807" w:rsidRPr="002D6400" w:rsidRDefault="005D1807" w:rsidP="005D1807">
            <w:pPr>
              <w:rPr>
                <w:b w:val="0"/>
                <w:bCs/>
                <w:sz w:val="20"/>
                <w:szCs w:val="20"/>
              </w:rPr>
            </w:pPr>
            <w:r w:rsidRPr="002D6400">
              <w:rPr>
                <w:b w:val="0"/>
                <w:bCs/>
                <w:sz w:val="20"/>
                <w:szCs w:val="20"/>
              </w:rPr>
              <w:t>Ապրիլ</w:t>
            </w:r>
          </w:p>
        </w:tc>
        <w:tc>
          <w:tcPr>
            <w:tcW w:w="965" w:type="dxa"/>
            <w:tcBorders>
              <w:bottom w:val="single" w:sz="4" w:space="0" w:color="auto"/>
            </w:tcBorders>
            <w:shd w:val="clear" w:color="auto" w:fill="auto"/>
            <w:vAlign w:val="center"/>
            <w:hideMark/>
          </w:tcPr>
          <w:p w14:paraId="2EB79BA5" w14:textId="77777777" w:rsidR="005D1807" w:rsidRPr="002D6400" w:rsidRDefault="005D1807" w:rsidP="005D1807">
            <w:pPr>
              <w:rPr>
                <w:b w:val="0"/>
                <w:bCs/>
                <w:sz w:val="20"/>
                <w:szCs w:val="20"/>
              </w:rPr>
            </w:pPr>
            <w:r w:rsidRPr="002D6400">
              <w:rPr>
                <w:b w:val="0"/>
                <w:bCs/>
                <w:sz w:val="20"/>
                <w:szCs w:val="20"/>
              </w:rPr>
              <w:t>Հուլիս</w:t>
            </w:r>
          </w:p>
        </w:tc>
      </w:tr>
      <w:tr w:rsidR="005D1807" w:rsidRPr="002D6400" w14:paraId="5E0A8EDC" w14:textId="77777777" w:rsidTr="00E94C66">
        <w:trPr>
          <w:trHeight w:val="14"/>
        </w:trPr>
        <w:tc>
          <w:tcPr>
            <w:tcW w:w="1980" w:type="dxa"/>
            <w:shd w:val="clear" w:color="auto" w:fill="auto"/>
            <w:hideMark/>
          </w:tcPr>
          <w:p w14:paraId="6A80383E" w14:textId="77777777" w:rsidR="005D1807" w:rsidRPr="002D6400" w:rsidRDefault="005D1807" w:rsidP="005D1807">
            <w:pPr>
              <w:rPr>
                <w:b w:val="0"/>
                <w:bCs/>
                <w:sz w:val="20"/>
                <w:szCs w:val="20"/>
              </w:rPr>
            </w:pPr>
            <w:r w:rsidRPr="002D6400">
              <w:rPr>
                <w:b w:val="0"/>
                <w:bCs/>
                <w:sz w:val="20"/>
                <w:szCs w:val="20"/>
              </w:rPr>
              <w:t>Աշխարհ</w:t>
            </w:r>
          </w:p>
        </w:tc>
        <w:tc>
          <w:tcPr>
            <w:tcW w:w="1984" w:type="dxa"/>
            <w:tcBorders>
              <w:top w:val="single" w:sz="4" w:space="0" w:color="auto"/>
            </w:tcBorders>
            <w:shd w:val="clear" w:color="auto" w:fill="auto"/>
            <w:hideMark/>
          </w:tcPr>
          <w:p w14:paraId="53FA90BE" w14:textId="77777777" w:rsidR="005D1807" w:rsidRPr="002D6400" w:rsidRDefault="005D1807" w:rsidP="005D1807">
            <w:pPr>
              <w:rPr>
                <w:b w:val="0"/>
                <w:bCs/>
                <w:sz w:val="20"/>
                <w:szCs w:val="20"/>
              </w:rPr>
            </w:pPr>
            <w:r w:rsidRPr="002D6400">
              <w:rPr>
                <w:b w:val="0"/>
                <w:bCs/>
                <w:sz w:val="20"/>
                <w:szCs w:val="20"/>
              </w:rPr>
              <w:t>3.5</w:t>
            </w:r>
          </w:p>
        </w:tc>
        <w:tc>
          <w:tcPr>
            <w:tcW w:w="1134" w:type="dxa"/>
            <w:tcBorders>
              <w:top w:val="single" w:sz="4" w:space="0" w:color="auto"/>
            </w:tcBorders>
            <w:shd w:val="clear" w:color="auto" w:fill="auto"/>
            <w:hideMark/>
          </w:tcPr>
          <w:p w14:paraId="4E8FAA48" w14:textId="77777777" w:rsidR="005D1807" w:rsidRPr="002D6400" w:rsidRDefault="005D1807" w:rsidP="005D1807">
            <w:pPr>
              <w:rPr>
                <w:b w:val="0"/>
                <w:bCs/>
                <w:sz w:val="20"/>
                <w:szCs w:val="20"/>
              </w:rPr>
            </w:pPr>
            <w:r w:rsidRPr="002D6400">
              <w:rPr>
                <w:b w:val="0"/>
                <w:bCs/>
                <w:sz w:val="20"/>
                <w:szCs w:val="20"/>
              </w:rPr>
              <w:t>2.9</w:t>
            </w:r>
          </w:p>
        </w:tc>
        <w:tc>
          <w:tcPr>
            <w:tcW w:w="850" w:type="dxa"/>
            <w:tcBorders>
              <w:top w:val="single" w:sz="4" w:space="0" w:color="auto"/>
            </w:tcBorders>
            <w:shd w:val="clear" w:color="auto" w:fill="auto"/>
            <w:hideMark/>
          </w:tcPr>
          <w:p w14:paraId="78845D27" w14:textId="77777777" w:rsidR="005D1807" w:rsidRPr="002D6400" w:rsidRDefault="005D1807" w:rsidP="005D1807">
            <w:pPr>
              <w:rPr>
                <w:b w:val="0"/>
                <w:bCs/>
                <w:sz w:val="20"/>
                <w:szCs w:val="20"/>
              </w:rPr>
            </w:pPr>
            <w:r w:rsidRPr="002D6400">
              <w:rPr>
                <w:b w:val="0"/>
                <w:bCs/>
                <w:sz w:val="20"/>
                <w:szCs w:val="20"/>
              </w:rPr>
              <w:t>2.8</w:t>
            </w:r>
          </w:p>
        </w:tc>
        <w:tc>
          <w:tcPr>
            <w:tcW w:w="855" w:type="dxa"/>
            <w:tcBorders>
              <w:top w:val="single" w:sz="4" w:space="0" w:color="auto"/>
            </w:tcBorders>
            <w:shd w:val="clear" w:color="auto" w:fill="auto"/>
            <w:hideMark/>
          </w:tcPr>
          <w:p w14:paraId="08F68893" w14:textId="77777777" w:rsidR="005D1807" w:rsidRPr="002D6400" w:rsidRDefault="005D1807" w:rsidP="005D1807">
            <w:pPr>
              <w:rPr>
                <w:b w:val="0"/>
                <w:bCs/>
                <w:sz w:val="20"/>
                <w:szCs w:val="20"/>
              </w:rPr>
            </w:pPr>
            <w:r w:rsidRPr="002D6400">
              <w:rPr>
                <w:b w:val="0"/>
                <w:bCs/>
                <w:sz w:val="20"/>
                <w:szCs w:val="20"/>
              </w:rPr>
              <w:t>3.0</w:t>
            </w:r>
          </w:p>
        </w:tc>
        <w:tc>
          <w:tcPr>
            <w:tcW w:w="1134" w:type="dxa"/>
            <w:tcBorders>
              <w:top w:val="single" w:sz="4" w:space="0" w:color="auto"/>
            </w:tcBorders>
            <w:shd w:val="clear" w:color="auto" w:fill="auto"/>
            <w:hideMark/>
          </w:tcPr>
          <w:p w14:paraId="74E215FD" w14:textId="77777777" w:rsidR="005D1807" w:rsidRPr="002D6400" w:rsidRDefault="005D1807" w:rsidP="005D1807">
            <w:pPr>
              <w:rPr>
                <w:b w:val="0"/>
                <w:bCs/>
                <w:sz w:val="20"/>
                <w:szCs w:val="20"/>
              </w:rPr>
            </w:pPr>
            <w:r w:rsidRPr="002D6400">
              <w:rPr>
                <w:b w:val="0"/>
                <w:bCs/>
                <w:sz w:val="20"/>
                <w:szCs w:val="20"/>
              </w:rPr>
              <w:t>3.1</w:t>
            </w:r>
          </w:p>
        </w:tc>
        <w:tc>
          <w:tcPr>
            <w:tcW w:w="850" w:type="dxa"/>
            <w:tcBorders>
              <w:top w:val="single" w:sz="4" w:space="0" w:color="auto"/>
            </w:tcBorders>
            <w:shd w:val="clear" w:color="auto" w:fill="auto"/>
            <w:hideMark/>
          </w:tcPr>
          <w:p w14:paraId="207279A8" w14:textId="77777777" w:rsidR="005D1807" w:rsidRPr="002D6400" w:rsidRDefault="005D1807" w:rsidP="005D1807">
            <w:pPr>
              <w:rPr>
                <w:b w:val="0"/>
                <w:bCs/>
                <w:sz w:val="20"/>
                <w:szCs w:val="20"/>
              </w:rPr>
            </w:pPr>
            <w:r w:rsidRPr="002D6400">
              <w:rPr>
                <w:b w:val="0"/>
                <w:bCs/>
                <w:sz w:val="20"/>
                <w:szCs w:val="20"/>
              </w:rPr>
              <w:t>3.0</w:t>
            </w:r>
          </w:p>
        </w:tc>
        <w:tc>
          <w:tcPr>
            <w:tcW w:w="965" w:type="dxa"/>
            <w:tcBorders>
              <w:top w:val="single" w:sz="4" w:space="0" w:color="auto"/>
            </w:tcBorders>
            <w:shd w:val="clear" w:color="auto" w:fill="auto"/>
            <w:hideMark/>
          </w:tcPr>
          <w:p w14:paraId="62B1E77D" w14:textId="77777777" w:rsidR="005D1807" w:rsidRPr="002D6400" w:rsidRDefault="005D1807" w:rsidP="005D1807">
            <w:pPr>
              <w:rPr>
                <w:b w:val="0"/>
                <w:bCs/>
                <w:sz w:val="20"/>
                <w:szCs w:val="20"/>
              </w:rPr>
            </w:pPr>
            <w:r w:rsidRPr="002D6400">
              <w:rPr>
                <w:b w:val="0"/>
                <w:bCs/>
                <w:sz w:val="20"/>
                <w:szCs w:val="20"/>
              </w:rPr>
              <w:t>3.0</w:t>
            </w:r>
          </w:p>
        </w:tc>
      </w:tr>
      <w:tr w:rsidR="005D1807" w:rsidRPr="002D6400" w14:paraId="1891B4A2" w14:textId="77777777" w:rsidTr="00E94C66">
        <w:trPr>
          <w:trHeight w:val="265"/>
        </w:trPr>
        <w:tc>
          <w:tcPr>
            <w:tcW w:w="1980" w:type="dxa"/>
            <w:shd w:val="clear" w:color="auto" w:fill="auto"/>
            <w:hideMark/>
          </w:tcPr>
          <w:p w14:paraId="56176FB4" w14:textId="77777777" w:rsidR="005D1807" w:rsidRPr="002D6400" w:rsidRDefault="005D1807" w:rsidP="005D1807">
            <w:pPr>
              <w:rPr>
                <w:b w:val="0"/>
                <w:bCs/>
                <w:sz w:val="20"/>
                <w:szCs w:val="20"/>
              </w:rPr>
            </w:pPr>
            <w:r w:rsidRPr="002D6400">
              <w:rPr>
                <w:b w:val="0"/>
                <w:bCs/>
                <w:sz w:val="20"/>
                <w:szCs w:val="20"/>
              </w:rPr>
              <w:t>ՌԴ</w:t>
            </w:r>
          </w:p>
        </w:tc>
        <w:tc>
          <w:tcPr>
            <w:tcW w:w="1984" w:type="dxa"/>
            <w:shd w:val="clear" w:color="auto" w:fill="auto"/>
            <w:hideMark/>
          </w:tcPr>
          <w:p w14:paraId="5C2527CD" w14:textId="77777777" w:rsidR="005D1807" w:rsidRPr="002D6400" w:rsidRDefault="005D1807" w:rsidP="005D1807">
            <w:pPr>
              <w:rPr>
                <w:b w:val="0"/>
                <w:bCs/>
                <w:sz w:val="20"/>
                <w:szCs w:val="20"/>
              </w:rPr>
            </w:pPr>
            <w:r w:rsidRPr="002D6400">
              <w:rPr>
                <w:b w:val="0"/>
                <w:bCs/>
                <w:sz w:val="20"/>
                <w:szCs w:val="20"/>
              </w:rPr>
              <w:t>-2.1</w:t>
            </w:r>
          </w:p>
        </w:tc>
        <w:tc>
          <w:tcPr>
            <w:tcW w:w="1134" w:type="dxa"/>
            <w:shd w:val="clear" w:color="auto" w:fill="auto"/>
            <w:hideMark/>
          </w:tcPr>
          <w:p w14:paraId="1874D464" w14:textId="77777777" w:rsidR="005D1807" w:rsidRPr="002D6400" w:rsidRDefault="005D1807" w:rsidP="005D1807">
            <w:pPr>
              <w:rPr>
                <w:b w:val="0"/>
                <w:bCs/>
                <w:sz w:val="20"/>
                <w:szCs w:val="20"/>
              </w:rPr>
            </w:pPr>
            <w:r w:rsidRPr="002D6400">
              <w:rPr>
                <w:b w:val="0"/>
                <w:bCs/>
                <w:sz w:val="20"/>
                <w:szCs w:val="20"/>
              </w:rPr>
              <w:t>0.3</w:t>
            </w:r>
          </w:p>
        </w:tc>
        <w:tc>
          <w:tcPr>
            <w:tcW w:w="850" w:type="dxa"/>
            <w:shd w:val="clear" w:color="auto" w:fill="auto"/>
            <w:hideMark/>
          </w:tcPr>
          <w:p w14:paraId="5504CFE7" w14:textId="77777777" w:rsidR="005D1807" w:rsidRPr="002D6400" w:rsidRDefault="005D1807" w:rsidP="005D1807">
            <w:pPr>
              <w:rPr>
                <w:b w:val="0"/>
                <w:bCs/>
                <w:sz w:val="20"/>
                <w:szCs w:val="20"/>
              </w:rPr>
            </w:pPr>
            <w:r w:rsidRPr="002D6400">
              <w:rPr>
                <w:b w:val="0"/>
                <w:bCs/>
                <w:sz w:val="20"/>
                <w:szCs w:val="20"/>
              </w:rPr>
              <w:t>0.7</w:t>
            </w:r>
          </w:p>
        </w:tc>
        <w:tc>
          <w:tcPr>
            <w:tcW w:w="855" w:type="dxa"/>
            <w:shd w:val="clear" w:color="auto" w:fill="auto"/>
            <w:hideMark/>
          </w:tcPr>
          <w:p w14:paraId="34A8A703" w14:textId="77777777" w:rsidR="005D1807" w:rsidRPr="002D6400" w:rsidRDefault="005D1807" w:rsidP="005D1807">
            <w:pPr>
              <w:rPr>
                <w:b w:val="0"/>
                <w:bCs/>
                <w:sz w:val="20"/>
                <w:szCs w:val="20"/>
              </w:rPr>
            </w:pPr>
            <w:r w:rsidRPr="002D6400">
              <w:rPr>
                <w:b w:val="0"/>
                <w:bCs/>
                <w:sz w:val="20"/>
                <w:szCs w:val="20"/>
              </w:rPr>
              <w:t>1.5</w:t>
            </w:r>
          </w:p>
        </w:tc>
        <w:tc>
          <w:tcPr>
            <w:tcW w:w="1134" w:type="dxa"/>
            <w:shd w:val="clear" w:color="auto" w:fill="auto"/>
            <w:hideMark/>
          </w:tcPr>
          <w:p w14:paraId="451BEC9D" w14:textId="77777777" w:rsidR="005D1807" w:rsidRPr="002D6400" w:rsidRDefault="005D1807" w:rsidP="005D1807">
            <w:pPr>
              <w:rPr>
                <w:b w:val="0"/>
                <w:bCs/>
                <w:sz w:val="20"/>
                <w:szCs w:val="20"/>
              </w:rPr>
            </w:pPr>
            <w:r w:rsidRPr="002D6400">
              <w:rPr>
                <w:b w:val="0"/>
                <w:bCs/>
                <w:sz w:val="20"/>
                <w:szCs w:val="20"/>
              </w:rPr>
              <w:t>2.1</w:t>
            </w:r>
          </w:p>
        </w:tc>
        <w:tc>
          <w:tcPr>
            <w:tcW w:w="850" w:type="dxa"/>
            <w:shd w:val="clear" w:color="auto" w:fill="auto"/>
            <w:hideMark/>
          </w:tcPr>
          <w:p w14:paraId="5B512AA9" w14:textId="77777777" w:rsidR="005D1807" w:rsidRPr="002D6400" w:rsidRDefault="005D1807" w:rsidP="005D1807">
            <w:pPr>
              <w:rPr>
                <w:b w:val="0"/>
                <w:bCs/>
                <w:sz w:val="20"/>
                <w:szCs w:val="20"/>
              </w:rPr>
            </w:pPr>
            <w:r w:rsidRPr="002D6400">
              <w:rPr>
                <w:b w:val="0"/>
                <w:bCs/>
                <w:sz w:val="20"/>
                <w:szCs w:val="20"/>
              </w:rPr>
              <w:t>1.3</w:t>
            </w:r>
          </w:p>
        </w:tc>
        <w:tc>
          <w:tcPr>
            <w:tcW w:w="965" w:type="dxa"/>
            <w:shd w:val="clear" w:color="auto" w:fill="auto"/>
            <w:hideMark/>
          </w:tcPr>
          <w:p w14:paraId="53DE7740" w14:textId="77777777" w:rsidR="005D1807" w:rsidRPr="002D6400" w:rsidRDefault="005D1807" w:rsidP="005D1807">
            <w:pPr>
              <w:rPr>
                <w:b w:val="0"/>
                <w:bCs/>
                <w:sz w:val="20"/>
                <w:szCs w:val="20"/>
              </w:rPr>
            </w:pPr>
            <w:r w:rsidRPr="002D6400">
              <w:rPr>
                <w:b w:val="0"/>
                <w:bCs/>
                <w:sz w:val="20"/>
                <w:szCs w:val="20"/>
              </w:rPr>
              <w:t>1.3</w:t>
            </w:r>
          </w:p>
        </w:tc>
      </w:tr>
      <w:tr w:rsidR="005D1807" w:rsidRPr="002D6400" w14:paraId="3061505F" w14:textId="77777777" w:rsidTr="00E94C66">
        <w:trPr>
          <w:trHeight w:val="352"/>
        </w:trPr>
        <w:tc>
          <w:tcPr>
            <w:tcW w:w="1980" w:type="dxa"/>
            <w:shd w:val="clear" w:color="auto" w:fill="auto"/>
            <w:hideMark/>
          </w:tcPr>
          <w:p w14:paraId="28CB7149" w14:textId="77777777" w:rsidR="005D1807" w:rsidRPr="002D6400" w:rsidRDefault="005D1807" w:rsidP="005D1807">
            <w:pPr>
              <w:rPr>
                <w:b w:val="0"/>
                <w:bCs/>
                <w:sz w:val="20"/>
                <w:szCs w:val="20"/>
              </w:rPr>
            </w:pPr>
            <w:r w:rsidRPr="002D6400">
              <w:rPr>
                <w:b w:val="0"/>
                <w:bCs/>
                <w:sz w:val="20"/>
                <w:szCs w:val="20"/>
              </w:rPr>
              <w:t>Եվրագոտի</w:t>
            </w:r>
          </w:p>
        </w:tc>
        <w:tc>
          <w:tcPr>
            <w:tcW w:w="1984" w:type="dxa"/>
            <w:shd w:val="clear" w:color="auto" w:fill="auto"/>
            <w:hideMark/>
          </w:tcPr>
          <w:p w14:paraId="1FC5CD78" w14:textId="77777777" w:rsidR="005D1807" w:rsidRPr="002D6400" w:rsidRDefault="005D1807" w:rsidP="005D1807">
            <w:pPr>
              <w:rPr>
                <w:b w:val="0"/>
                <w:bCs/>
                <w:sz w:val="20"/>
                <w:szCs w:val="20"/>
              </w:rPr>
            </w:pPr>
            <w:r w:rsidRPr="002D6400">
              <w:rPr>
                <w:b w:val="0"/>
                <w:bCs/>
                <w:sz w:val="20"/>
                <w:szCs w:val="20"/>
              </w:rPr>
              <w:t>3.5</w:t>
            </w:r>
          </w:p>
        </w:tc>
        <w:tc>
          <w:tcPr>
            <w:tcW w:w="1134" w:type="dxa"/>
            <w:shd w:val="clear" w:color="auto" w:fill="auto"/>
            <w:hideMark/>
          </w:tcPr>
          <w:p w14:paraId="0268472B" w14:textId="77777777" w:rsidR="005D1807" w:rsidRPr="002D6400" w:rsidRDefault="005D1807" w:rsidP="005D1807">
            <w:pPr>
              <w:rPr>
                <w:b w:val="0"/>
                <w:bCs/>
                <w:sz w:val="20"/>
                <w:szCs w:val="20"/>
              </w:rPr>
            </w:pPr>
            <w:r w:rsidRPr="002D6400">
              <w:rPr>
                <w:b w:val="0"/>
                <w:bCs/>
                <w:sz w:val="20"/>
                <w:szCs w:val="20"/>
              </w:rPr>
              <w:t>0.7</w:t>
            </w:r>
          </w:p>
        </w:tc>
        <w:tc>
          <w:tcPr>
            <w:tcW w:w="850" w:type="dxa"/>
            <w:shd w:val="clear" w:color="auto" w:fill="auto"/>
            <w:hideMark/>
          </w:tcPr>
          <w:p w14:paraId="757EF68A" w14:textId="77777777" w:rsidR="005D1807" w:rsidRPr="002D6400" w:rsidRDefault="005D1807" w:rsidP="005D1807">
            <w:pPr>
              <w:rPr>
                <w:b w:val="0"/>
                <w:bCs/>
                <w:sz w:val="20"/>
                <w:szCs w:val="20"/>
              </w:rPr>
            </w:pPr>
            <w:r w:rsidRPr="002D6400">
              <w:rPr>
                <w:b w:val="0"/>
                <w:bCs/>
                <w:sz w:val="20"/>
                <w:szCs w:val="20"/>
              </w:rPr>
              <w:t>0.7</w:t>
            </w:r>
          </w:p>
        </w:tc>
        <w:tc>
          <w:tcPr>
            <w:tcW w:w="855" w:type="dxa"/>
            <w:shd w:val="clear" w:color="auto" w:fill="auto"/>
            <w:hideMark/>
          </w:tcPr>
          <w:p w14:paraId="22C4F5A3" w14:textId="77777777" w:rsidR="005D1807" w:rsidRPr="002D6400" w:rsidRDefault="005D1807" w:rsidP="005D1807">
            <w:pPr>
              <w:rPr>
                <w:b w:val="0"/>
                <w:bCs/>
                <w:sz w:val="20"/>
                <w:szCs w:val="20"/>
              </w:rPr>
            </w:pPr>
            <w:r w:rsidRPr="002D6400">
              <w:rPr>
                <w:b w:val="0"/>
                <w:bCs/>
                <w:sz w:val="20"/>
                <w:szCs w:val="20"/>
              </w:rPr>
              <w:t>0.9</w:t>
            </w:r>
          </w:p>
        </w:tc>
        <w:tc>
          <w:tcPr>
            <w:tcW w:w="1134" w:type="dxa"/>
            <w:shd w:val="clear" w:color="auto" w:fill="auto"/>
            <w:hideMark/>
          </w:tcPr>
          <w:p w14:paraId="79102F2D" w14:textId="77777777" w:rsidR="005D1807" w:rsidRPr="002D6400" w:rsidRDefault="005D1807" w:rsidP="005D1807">
            <w:pPr>
              <w:rPr>
                <w:b w:val="0"/>
                <w:bCs/>
                <w:sz w:val="20"/>
                <w:szCs w:val="20"/>
              </w:rPr>
            </w:pPr>
            <w:r w:rsidRPr="002D6400">
              <w:rPr>
                <w:b w:val="0"/>
                <w:bCs/>
                <w:sz w:val="20"/>
                <w:szCs w:val="20"/>
              </w:rPr>
              <w:t>1.6</w:t>
            </w:r>
          </w:p>
        </w:tc>
        <w:tc>
          <w:tcPr>
            <w:tcW w:w="850" w:type="dxa"/>
            <w:shd w:val="clear" w:color="auto" w:fill="auto"/>
            <w:hideMark/>
          </w:tcPr>
          <w:p w14:paraId="7CEEBDB1" w14:textId="77777777" w:rsidR="005D1807" w:rsidRPr="002D6400" w:rsidRDefault="005D1807" w:rsidP="005D1807">
            <w:pPr>
              <w:rPr>
                <w:b w:val="0"/>
                <w:bCs/>
                <w:sz w:val="20"/>
                <w:szCs w:val="20"/>
              </w:rPr>
            </w:pPr>
            <w:r w:rsidRPr="002D6400">
              <w:rPr>
                <w:b w:val="0"/>
                <w:bCs/>
                <w:sz w:val="20"/>
                <w:szCs w:val="20"/>
              </w:rPr>
              <w:t>1.4</w:t>
            </w:r>
          </w:p>
        </w:tc>
        <w:tc>
          <w:tcPr>
            <w:tcW w:w="965" w:type="dxa"/>
            <w:shd w:val="clear" w:color="auto" w:fill="auto"/>
            <w:hideMark/>
          </w:tcPr>
          <w:p w14:paraId="6DF02250" w14:textId="77777777" w:rsidR="005D1807" w:rsidRPr="002D6400" w:rsidRDefault="005D1807" w:rsidP="005D1807">
            <w:pPr>
              <w:rPr>
                <w:b w:val="0"/>
                <w:bCs/>
                <w:sz w:val="20"/>
                <w:szCs w:val="20"/>
              </w:rPr>
            </w:pPr>
            <w:r w:rsidRPr="002D6400">
              <w:rPr>
                <w:b w:val="0"/>
                <w:bCs/>
                <w:sz w:val="20"/>
                <w:szCs w:val="20"/>
              </w:rPr>
              <w:t>1.5</w:t>
            </w:r>
          </w:p>
        </w:tc>
      </w:tr>
      <w:tr w:rsidR="005D1807" w:rsidRPr="002D6400" w14:paraId="6E2DBD96" w14:textId="77777777" w:rsidTr="00E94C66">
        <w:trPr>
          <w:trHeight w:val="267"/>
        </w:trPr>
        <w:tc>
          <w:tcPr>
            <w:tcW w:w="1980" w:type="dxa"/>
            <w:shd w:val="clear" w:color="auto" w:fill="auto"/>
            <w:hideMark/>
          </w:tcPr>
          <w:p w14:paraId="2055295A" w14:textId="77777777" w:rsidR="005D1807" w:rsidRPr="002D6400" w:rsidRDefault="005D1807" w:rsidP="005D1807">
            <w:pPr>
              <w:rPr>
                <w:b w:val="0"/>
                <w:bCs/>
                <w:sz w:val="20"/>
                <w:szCs w:val="20"/>
              </w:rPr>
            </w:pPr>
            <w:r w:rsidRPr="002D6400">
              <w:rPr>
                <w:b w:val="0"/>
                <w:bCs/>
                <w:sz w:val="20"/>
                <w:szCs w:val="20"/>
              </w:rPr>
              <w:t>Չինաստան</w:t>
            </w:r>
          </w:p>
        </w:tc>
        <w:tc>
          <w:tcPr>
            <w:tcW w:w="1984" w:type="dxa"/>
            <w:shd w:val="clear" w:color="auto" w:fill="auto"/>
            <w:hideMark/>
          </w:tcPr>
          <w:p w14:paraId="7E201731" w14:textId="77777777" w:rsidR="005D1807" w:rsidRPr="002D6400" w:rsidRDefault="005D1807" w:rsidP="005D1807">
            <w:pPr>
              <w:rPr>
                <w:b w:val="0"/>
                <w:bCs/>
                <w:sz w:val="20"/>
                <w:szCs w:val="20"/>
              </w:rPr>
            </w:pPr>
            <w:r w:rsidRPr="002D6400">
              <w:rPr>
                <w:b w:val="0"/>
                <w:bCs/>
                <w:sz w:val="20"/>
                <w:szCs w:val="20"/>
              </w:rPr>
              <w:t>3.0</w:t>
            </w:r>
          </w:p>
        </w:tc>
        <w:tc>
          <w:tcPr>
            <w:tcW w:w="1134" w:type="dxa"/>
            <w:shd w:val="clear" w:color="auto" w:fill="auto"/>
            <w:hideMark/>
          </w:tcPr>
          <w:p w14:paraId="3026A72A" w14:textId="77777777" w:rsidR="005D1807" w:rsidRPr="002D6400" w:rsidRDefault="005D1807" w:rsidP="005D1807">
            <w:pPr>
              <w:rPr>
                <w:b w:val="0"/>
                <w:bCs/>
                <w:sz w:val="20"/>
                <w:szCs w:val="20"/>
              </w:rPr>
            </w:pPr>
            <w:r w:rsidRPr="002D6400">
              <w:rPr>
                <w:b w:val="0"/>
                <w:bCs/>
                <w:sz w:val="20"/>
                <w:szCs w:val="20"/>
              </w:rPr>
              <w:t>5.2</w:t>
            </w:r>
          </w:p>
        </w:tc>
        <w:tc>
          <w:tcPr>
            <w:tcW w:w="850" w:type="dxa"/>
            <w:shd w:val="clear" w:color="auto" w:fill="auto"/>
            <w:hideMark/>
          </w:tcPr>
          <w:p w14:paraId="55E7D38B" w14:textId="77777777" w:rsidR="005D1807" w:rsidRPr="002D6400" w:rsidRDefault="005D1807" w:rsidP="005D1807">
            <w:pPr>
              <w:rPr>
                <w:b w:val="0"/>
                <w:bCs/>
                <w:sz w:val="20"/>
                <w:szCs w:val="20"/>
              </w:rPr>
            </w:pPr>
            <w:r w:rsidRPr="002D6400">
              <w:rPr>
                <w:b w:val="0"/>
                <w:bCs/>
                <w:sz w:val="20"/>
                <w:szCs w:val="20"/>
              </w:rPr>
              <w:t>5.2</w:t>
            </w:r>
          </w:p>
        </w:tc>
        <w:tc>
          <w:tcPr>
            <w:tcW w:w="855" w:type="dxa"/>
            <w:shd w:val="clear" w:color="auto" w:fill="auto"/>
            <w:hideMark/>
          </w:tcPr>
          <w:p w14:paraId="39AB5ACE" w14:textId="77777777" w:rsidR="005D1807" w:rsidRPr="002D6400" w:rsidRDefault="005D1807" w:rsidP="005D1807">
            <w:pPr>
              <w:rPr>
                <w:b w:val="0"/>
                <w:bCs/>
                <w:sz w:val="20"/>
                <w:szCs w:val="20"/>
              </w:rPr>
            </w:pPr>
            <w:r w:rsidRPr="002D6400">
              <w:rPr>
                <w:b w:val="0"/>
                <w:bCs/>
                <w:sz w:val="20"/>
                <w:szCs w:val="20"/>
              </w:rPr>
              <w:t>5.2</w:t>
            </w:r>
          </w:p>
        </w:tc>
        <w:tc>
          <w:tcPr>
            <w:tcW w:w="1134" w:type="dxa"/>
            <w:shd w:val="clear" w:color="auto" w:fill="auto"/>
            <w:hideMark/>
          </w:tcPr>
          <w:p w14:paraId="7DC76C78" w14:textId="77777777" w:rsidR="005D1807" w:rsidRPr="002D6400" w:rsidRDefault="005D1807" w:rsidP="005D1807">
            <w:pPr>
              <w:rPr>
                <w:b w:val="0"/>
                <w:bCs/>
                <w:sz w:val="20"/>
                <w:szCs w:val="20"/>
              </w:rPr>
            </w:pPr>
            <w:r w:rsidRPr="002D6400">
              <w:rPr>
                <w:b w:val="0"/>
                <w:bCs/>
                <w:sz w:val="20"/>
                <w:szCs w:val="20"/>
              </w:rPr>
              <w:t>4.5</w:t>
            </w:r>
          </w:p>
        </w:tc>
        <w:tc>
          <w:tcPr>
            <w:tcW w:w="850" w:type="dxa"/>
            <w:shd w:val="clear" w:color="auto" w:fill="auto"/>
            <w:hideMark/>
          </w:tcPr>
          <w:p w14:paraId="66993D6A" w14:textId="77777777" w:rsidR="005D1807" w:rsidRPr="002D6400" w:rsidRDefault="005D1807" w:rsidP="005D1807">
            <w:pPr>
              <w:rPr>
                <w:b w:val="0"/>
                <w:bCs/>
                <w:sz w:val="20"/>
                <w:szCs w:val="20"/>
              </w:rPr>
            </w:pPr>
            <w:r w:rsidRPr="002D6400">
              <w:rPr>
                <w:b w:val="0"/>
                <w:bCs/>
                <w:sz w:val="20"/>
                <w:szCs w:val="20"/>
              </w:rPr>
              <w:t>4.5</w:t>
            </w:r>
          </w:p>
        </w:tc>
        <w:tc>
          <w:tcPr>
            <w:tcW w:w="965" w:type="dxa"/>
            <w:shd w:val="clear" w:color="auto" w:fill="auto"/>
            <w:hideMark/>
          </w:tcPr>
          <w:p w14:paraId="1FD5F53C" w14:textId="77777777" w:rsidR="005D1807" w:rsidRPr="002D6400" w:rsidRDefault="005D1807" w:rsidP="005D1807">
            <w:pPr>
              <w:rPr>
                <w:b w:val="0"/>
                <w:bCs/>
                <w:sz w:val="20"/>
                <w:szCs w:val="20"/>
              </w:rPr>
            </w:pPr>
            <w:r w:rsidRPr="002D6400">
              <w:rPr>
                <w:b w:val="0"/>
                <w:bCs/>
                <w:sz w:val="20"/>
                <w:szCs w:val="20"/>
              </w:rPr>
              <w:t>4.5</w:t>
            </w:r>
          </w:p>
        </w:tc>
      </w:tr>
      <w:tr w:rsidR="005D1807" w:rsidRPr="002D6400" w14:paraId="32ED16E1" w14:textId="77777777" w:rsidTr="00E94C66">
        <w:trPr>
          <w:trHeight w:val="234"/>
        </w:trPr>
        <w:tc>
          <w:tcPr>
            <w:tcW w:w="1980" w:type="dxa"/>
            <w:shd w:val="clear" w:color="auto" w:fill="auto"/>
            <w:hideMark/>
          </w:tcPr>
          <w:p w14:paraId="6BCF0592" w14:textId="77777777" w:rsidR="005D1807" w:rsidRPr="002D6400" w:rsidRDefault="005D1807" w:rsidP="005D1807">
            <w:pPr>
              <w:rPr>
                <w:b w:val="0"/>
                <w:bCs/>
                <w:sz w:val="20"/>
                <w:szCs w:val="20"/>
              </w:rPr>
            </w:pPr>
            <w:r w:rsidRPr="002D6400">
              <w:rPr>
                <w:b w:val="0"/>
                <w:bCs/>
                <w:sz w:val="20"/>
                <w:szCs w:val="20"/>
              </w:rPr>
              <w:t>ԱՄՆ</w:t>
            </w:r>
          </w:p>
        </w:tc>
        <w:tc>
          <w:tcPr>
            <w:tcW w:w="1984" w:type="dxa"/>
            <w:shd w:val="clear" w:color="auto" w:fill="auto"/>
            <w:hideMark/>
          </w:tcPr>
          <w:p w14:paraId="0015A967" w14:textId="77777777" w:rsidR="005D1807" w:rsidRPr="002D6400" w:rsidRDefault="005D1807" w:rsidP="005D1807">
            <w:pPr>
              <w:rPr>
                <w:b w:val="0"/>
                <w:bCs/>
                <w:sz w:val="20"/>
                <w:szCs w:val="20"/>
              </w:rPr>
            </w:pPr>
            <w:r w:rsidRPr="002D6400">
              <w:rPr>
                <w:b w:val="0"/>
                <w:bCs/>
                <w:sz w:val="20"/>
                <w:szCs w:val="20"/>
              </w:rPr>
              <w:t>2.1</w:t>
            </w:r>
          </w:p>
        </w:tc>
        <w:tc>
          <w:tcPr>
            <w:tcW w:w="1134" w:type="dxa"/>
            <w:shd w:val="clear" w:color="auto" w:fill="auto"/>
            <w:hideMark/>
          </w:tcPr>
          <w:p w14:paraId="5A109588" w14:textId="77777777" w:rsidR="005D1807" w:rsidRPr="002D6400" w:rsidRDefault="005D1807" w:rsidP="005D1807">
            <w:pPr>
              <w:rPr>
                <w:b w:val="0"/>
                <w:bCs/>
                <w:sz w:val="20"/>
                <w:szCs w:val="20"/>
              </w:rPr>
            </w:pPr>
            <w:r w:rsidRPr="002D6400">
              <w:rPr>
                <w:b w:val="0"/>
                <w:bCs/>
                <w:sz w:val="20"/>
                <w:szCs w:val="20"/>
              </w:rPr>
              <w:t>1.4</w:t>
            </w:r>
          </w:p>
        </w:tc>
        <w:tc>
          <w:tcPr>
            <w:tcW w:w="850" w:type="dxa"/>
            <w:shd w:val="clear" w:color="auto" w:fill="auto"/>
            <w:hideMark/>
          </w:tcPr>
          <w:p w14:paraId="49455654" w14:textId="77777777" w:rsidR="005D1807" w:rsidRPr="002D6400" w:rsidRDefault="005D1807" w:rsidP="005D1807">
            <w:pPr>
              <w:rPr>
                <w:b w:val="0"/>
                <w:bCs/>
                <w:sz w:val="20"/>
                <w:szCs w:val="20"/>
              </w:rPr>
            </w:pPr>
            <w:r w:rsidRPr="002D6400">
              <w:rPr>
                <w:b w:val="0"/>
                <w:bCs/>
                <w:sz w:val="20"/>
                <w:szCs w:val="20"/>
              </w:rPr>
              <w:t>1.6</w:t>
            </w:r>
          </w:p>
        </w:tc>
        <w:tc>
          <w:tcPr>
            <w:tcW w:w="855" w:type="dxa"/>
            <w:shd w:val="clear" w:color="auto" w:fill="auto"/>
            <w:hideMark/>
          </w:tcPr>
          <w:p w14:paraId="040DA66B" w14:textId="77777777" w:rsidR="005D1807" w:rsidRPr="002D6400" w:rsidRDefault="005D1807" w:rsidP="005D1807">
            <w:pPr>
              <w:rPr>
                <w:b w:val="0"/>
                <w:bCs/>
                <w:sz w:val="20"/>
                <w:szCs w:val="20"/>
              </w:rPr>
            </w:pPr>
            <w:r w:rsidRPr="002D6400">
              <w:rPr>
                <w:b w:val="0"/>
                <w:bCs/>
                <w:sz w:val="20"/>
                <w:szCs w:val="20"/>
              </w:rPr>
              <w:t>1.8</w:t>
            </w:r>
          </w:p>
        </w:tc>
        <w:tc>
          <w:tcPr>
            <w:tcW w:w="1134" w:type="dxa"/>
            <w:shd w:val="clear" w:color="auto" w:fill="auto"/>
            <w:hideMark/>
          </w:tcPr>
          <w:p w14:paraId="1AB5F871" w14:textId="77777777" w:rsidR="005D1807" w:rsidRPr="002D6400" w:rsidRDefault="005D1807" w:rsidP="005D1807">
            <w:pPr>
              <w:rPr>
                <w:b w:val="0"/>
                <w:bCs/>
                <w:sz w:val="20"/>
                <w:szCs w:val="20"/>
              </w:rPr>
            </w:pPr>
            <w:r w:rsidRPr="002D6400">
              <w:rPr>
                <w:b w:val="0"/>
                <w:bCs/>
                <w:sz w:val="20"/>
                <w:szCs w:val="20"/>
              </w:rPr>
              <w:t>1.0</w:t>
            </w:r>
          </w:p>
        </w:tc>
        <w:tc>
          <w:tcPr>
            <w:tcW w:w="850" w:type="dxa"/>
            <w:shd w:val="clear" w:color="auto" w:fill="auto"/>
            <w:hideMark/>
          </w:tcPr>
          <w:p w14:paraId="5208C8E9" w14:textId="77777777" w:rsidR="005D1807" w:rsidRPr="002D6400" w:rsidRDefault="005D1807" w:rsidP="005D1807">
            <w:pPr>
              <w:rPr>
                <w:b w:val="0"/>
                <w:bCs/>
                <w:sz w:val="20"/>
                <w:szCs w:val="20"/>
              </w:rPr>
            </w:pPr>
            <w:r w:rsidRPr="002D6400">
              <w:rPr>
                <w:b w:val="0"/>
                <w:bCs/>
                <w:sz w:val="20"/>
                <w:szCs w:val="20"/>
              </w:rPr>
              <w:t>1.1</w:t>
            </w:r>
          </w:p>
        </w:tc>
        <w:tc>
          <w:tcPr>
            <w:tcW w:w="965" w:type="dxa"/>
            <w:shd w:val="clear" w:color="auto" w:fill="auto"/>
            <w:hideMark/>
          </w:tcPr>
          <w:p w14:paraId="361085E3" w14:textId="77777777" w:rsidR="005D1807" w:rsidRPr="002D6400" w:rsidRDefault="005D1807" w:rsidP="005D1807">
            <w:pPr>
              <w:rPr>
                <w:b w:val="0"/>
                <w:bCs/>
                <w:sz w:val="20"/>
                <w:szCs w:val="20"/>
              </w:rPr>
            </w:pPr>
            <w:r w:rsidRPr="002D6400">
              <w:rPr>
                <w:b w:val="0"/>
                <w:bCs/>
                <w:sz w:val="20"/>
                <w:szCs w:val="20"/>
              </w:rPr>
              <w:t>1.0</w:t>
            </w:r>
          </w:p>
        </w:tc>
      </w:tr>
      <w:tr w:rsidR="005D1807" w:rsidRPr="002D6400" w14:paraId="053EC4AC" w14:textId="77777777" w:rsidTr="00E94C66">
        <w:trPr>
          <w:trHeight w:val="14"/>
        </w:trPr>
        <w:tc>
          <w:tcPr>
            <w:tcW w:w="1980" w:type="dxa"/>
            <w:shd w:val="clear" w:color="auto" w:fill="auto"/>
            <w:hideMark/>
          </w:tcPr>
          <w:p w14:paraId="4C937F2B" w14:textId="77777777" w:rsidR="005D1807" w:rsidRPr="002D6400" w:rsidRDefault="005D1807" w:rsidP="005D1807">
            <w:pPr>
              <w:rPr>
                <w:b w:val="0"/>
                <w:bCs/>
                <w:sz w:val="20"/>
                <w:szCs w:val="20"/>
              </w:rPr>
            </w:pPr>
            <w:r w:rsidRPr="002D6400">
              <w:rPr>
                <w:b w:val="0"/>
                <w:bCs/>
                <w:sz w:val="20"/>
                <w:szCs w:val="20"/>
              </w:rPr>
              <w:t>Համաշխարհային առևտրի աճ, %</w:t>
            </w:r>
          </w:p>
        </w:tc>
        <w:tc>
          <w:tcPr>
            <w:tcW w:w="1984" w:type="dxa"/>
            <w:shd w:val="clear" w:color="auto" w:fill="auto"/>
            <w:vAlign w:val="center"/>
            <w:hideMark/>
          </w:tcPr>
          <w:p w14:paraId="51826EC2" w14:textId="77777777" w:rsidR="005D1807" w:rsidRPr="002D6400" w:rsidRDefault="005D1807" w:rsidP="005D1807">
            <w:pPr>
              <w:rPr>
                <w:b w:val="0"/>
                <w:bCs/>
                <w:sz w:val="20"/>
                <w:szCs w:val="20"/>
              </w:rPr>
            </w:pPr>
            <w:r w:rsidRPr="002D6400">
              <w:rPr>
                <w:b w:val="0"/>
                <w:bCs/>
                <w:sz w:val="20"/>
                <w:szCs w:val="20"/>
              </w:rPr>
              <w:t>5.2</w:t>
            </w:r>
          </w:p>
        </w:tc>
        <w:tc>
          <w:tcPr>
            <w:tcW w:w="1134" w:type="dxa"/>
            <w:shd w:val="clear" w:color="auto" w:fill="auto"/>
            <w:vAlign w:val="center"/>
            <w:hideMark/>
          </w:tcPr>
          <w:p w14:paraId="13DFF606" w14:textId="77777777" w:rsidR="005D1807" w:rsidRPr="002D6400" w:rsidRDefault="005D1807" w:rsidP="005D1807">
            <w:pPr>
              <w:rPr>
                <w:b w:val="0"/>
                <w:bCs/>
                <w:sz w:val="20"/>
                <w:szCs w:val="20"/>
              </w:rPr>
            </w:pPr>
            <w:r w:rsidRPr="002D6400">
              <w:rPr>
                <w:b w:val="0"/>
                <w:bCs/>
                <w:sz w:val="20"/>
                <w:szCs w:val="20"/>
              </w:rPr>
              <w:t>2.4</w:t>
            </w:r>
          </w:p>
        </w:tc>
        <w:tc>
          <w:tcPr>
            <w:tcW w:w="850" w:type="dxa"/>
            <w:shd w:val="clear" w:color="auto" w:fill="auto"/>
            <w:vAlign w:val="center"/>
            <w:hideMark/>
          </w:tcPr>
          <w:p w14:paraId="11EE0D17" w14:textId="77777777" w:rsidR="005D1807" w:rsidRPr="002D6400" w:rsidRDefault="005D1807" w:rsidP="005D1807">
            <w:pPr>
              <w:rPr>
                <w:b w:val="0"/>
                <w:bCs/>
                <w:sz w:val="20"/>
                <w:szCs w:val="20"/>
              </w:rPr>
            </w:pPr>
            <w:r w:rsidRPr="002D6400">
              <w:rPr>
                <w:b w:val="0"/>
                <w:bCs/>
                <w:sz w:val="20"/>
                <w:szCs w:val="20"/>
              </w:rPr>
              <w:t>2.4</w:t>
            </w:r>
          </w:p>
        </w:tc>
        <w:tc>
          <w:tcPr>
            <w:tcW w:w="855" w:type="dxa"/>
            <w:shd w:val="clear" w:color="auto" w:fill="auto"/>
            <w:vAlign w:val="center"/>
            <w:hideMark/>
          </w:tcPr>
          <w:p w14:paraId="7478D4B7" w14:textId="77777777" w:rsidR="005D1807" w:rsidRPr="002D6400" w:rsidRDefault="005D1807" w:rsidP="005D1807">
            <w:pPr>
              <w:rPr>
                <w:b w:val="0"/>
                <w:bCs/>
                <w:sz w:val="20"/>
                <w:szCs w:val="20"/>
              </w:rPr>
            </w:pPr>
            <w:r w:rsidRPr="002D6400">
              <w:rPr>
                <w:b w:val="0"/>
                <w:bCs/>
                <w:sz w:val="20"/>
                <w:szCs w:val="20"/>
              </w:rPr>
              <w:t>2.0</w:t>
            </w:r>
          </w:p>
        </w:tc>
        <w:tc>
          <w:tcPr>
            <w:tcW w:w="1134" w:type="dxa"/>
            <w:shd w:val="clear" w:color="auto" w:fill="auto"/>
            <w:vAlign w:val="center"/>
            <w:hideMark/>
          </w:tcPr>
          <w:p w14:paraId="5A855482" w14:textId="77777777" w:rsidR="005D1807" w:rsidRPr="002D6400" w:rsidRDefault="005D1807" w:rsidP="005D1807">
            <w:pPr>
              <w:rPr>
                <w:b w:val="0"/>
                <w:bCs/>
                <w:sz w:val="20"/>
                <w:szCs w:val="20"/>
              </w:rPr>
            </w:pPr>
            <w:r w:rsidRPr="002D6400">
              <w:rPr>
                <w:b w:val="0"/>
                <w:bCs/>
                <w:sz w:val="20"/>
                <w:szCs w:val="20"/>
              </w:rPr>
              <w:t>3.4</w:t>
            </w:r>
          </w:p>
        </w:tc>
        <w:tc>
          <w:tcPr>
            <w:tcW w:w="850" w:type="dxa"/>
            <w:shd w:val="clear" w:color="auto" w:fill="auto"/>
            <w:vAlign w:val="center"/>
            <w:hideMark/>
          </w:tcPr>
          <w:p w14:paraId="4807EBF3" w14:textId="77777777" w:rsidR="005D1807" w:rsidRPr="002D6400" w:rsidRDefault="005D1807" w:rsidP="005D1807">
            <w:pPr>
              <w:rPr>
                <w:b w:val="0"/>
                <w:bCs/>
                <w:sz w:val="20"/>
                <w:szCs w:val="20"/>
              </w:rPr>
            </w:pPr>
            <w:r w:rsidRPr="002D6400">
              <w:rPr>
                <w:b w:val="0"/>
                <w:bCs/>
                <w:sz w:val="20"/>
                <w:szCs w:val="20"/>
              </w:rPr>
              <w:t>3.5</w:t>
            </w:r>
          </w:p>
        </w:tc>
        <w:tc>
          <w:tcPr>
            <w:tcW w:w="965" w:type="dxa"/>
            <w:shd w:val="clear" w:color="auto" w:fill="auto"/>
            <w:vAlign w:val="center"/>
            <w:hideMark/>
          </w:tcPr>
          <w:p w14:paraId="72F39241" w14:textId="77777777" w:rsidR="005D1807" w:rsidRPr="002D6400" w:rsidRDefault="005D1807" w:rsidP="005D1807">
            <w:pPr>
              <w:rPr>
                <w:b w:val="0"/>
                <w:bCs/>
                <w:sz w:val="20"/>
                <w:szCs w:val="20"/>
              </w:rPr>
            </w:pPr>
            <w:r w:rsidRPr="002D6400">
              <w:rPr>
                <w:b w:val="0"/>
                <w:bCs/>
                <w:sz w:val="20"/>
                <w:szCs w:val="20"/>
              </w:rPr>
              <w:t>3.7</w:t>
            </w:r>
          </w:p>
        </w:tc>
      </w:tr>
    </w:tbl>
    <w:p w14:paraId="540BB41A" w14:textId="77777777" w:rsidR="005D1807" w:rsidRPr="002D6400" w:rsidRDefault="005D1807" w:rsidP="005D1807">
      <w:pPr>
        <w:rPr>
          <w:b w:val="0"/>
          <w:bCs/>
          <w:sz w:val="20"/>
          <w:szCs w:val="20"/>
          <w:lang w:val="en-US"/>
        </w:rPr>
      </w:pPr>
      <w:r w:rsidRPr="002D6400">
        <w:rPr>
          <w:b w:val="0"/>
          <w:bCs/>
          <w:sz w:val="20"/>
          <w:szCs w:val="20"/>
        </w:rPr>
        <w:lastRenderedPageBreak/>
        <w:t>Աղբյուրը</w:t>
      </w:r>
      <w:r w:rsidRPr="002D6400">
        <w:rPr>
          <w:b w:val="0"/>
          <w:bCs/>
          <w:sz w:val="20"/>
          <w:szCs w:val="20"/>
          <w:lang w:val="en-US"/>
        </w:rPr>
        <w:t xml:space="preserve">` </w:t>
      </w:r>
      <w:r w:rsidRPr="002D6400">
        <w:rPr>
          <w:b w:val="0"/>
          <w:bCs/>
          <w:sz w:val="20"/>
          <w:szCs w:val="20"/>
        </w:rPr>
        <w:t>ԱՄՀ</w:t>
      </w:r>
      <w:r w:rsidRPr="002D6400">
        <w:rPr>
          <w:b w:val="0"/>
          <w:bCs/>
          <w:sz w:val="20"/>
          <w:szCs w:val="20"/>
          <w:lang w:val="en-US"/>
        </w:rPr>
        <w:t xml:space="preserve"> «World Economic Outlook»</w:t>
      </w:r>
    </w:p>
    <w:p w14:paraId="60093D6F" w14:textId="77777777" w:rsidR="005D1807" w:rsidRPr="005D1807" w:rsidRDefault="005D1807" w:rsidP="005D1807">
      <w:pPr>
        <w:rPr>
          <w:b w:val="0"/>
          <w:bCs/>
          <w:lang w:val="en-US"/>
        </w:rPr>
      </w:pPr>
      <w:r w:rsidRPr="002D6400">
        <w:t>Ռուս</w:t>
      </w:r>
      <w:r w:rsidRPr="002D6400">
        <w:rPr>
          <w:lang w:val="en-US"/>
        </w:rPr>
        <w:t>-</w:t>
      </w:r>
      <w:r w:rsidRPr="002D6400">
        <w:t>ուկրաինական</w:t>
      </w:r>
      <w:r w:rsidRPr="002D6400">
        <w:rPr>
          <w:lang w:val="en-US"/>
        </w:rPr>
        <w:t xml:space="preserve"> </w:t>
      </w:r>
      <w:r w:rsidRPr="002D6400">
        <w:t>հակամարտության</w:t>
      </w:r>
      <w:r w:rsidRPr="002D6400">
        <w:rPr>
          <w:lang w:val="en-US"/>
        </w:rPr>
        <w:t xml:space="preserve"> </w:t>
      </w:r>
      <w:r w:rsidRPr="002D6400">
        <w:t>պայմաններում</w:t>
      </w:r>
      <w:r w:rsidRPr="002D6400">
        <w:rPr>
          <w:lang w:val="en-US"/>
        </w:rPr>
        <w:t xml:space="preserve"> 2022</w:t>
      </w:r>
      <w:r w:rsidRPr="002D6400">
        <w:t>թ</w:t>
      </w:r>
      <w:r w:rsidRPr="002D6400">
        <w:rPr>
          <w:lang w:val="en-US"/>
        </w:rPr>
        <w:t xml:space="preserve">․ </w:t>
      </w:r>
      <w:r w:rsidRPr="002D6400">
        <w:t>մարտ</w:t>
      </w:r>
      <w:r w:rsidRPr="002D6400">
        <w:rPr>
          <w:lang w:val="en-US"/>
        </w:rPr>
        <w:t xml:space="preserve"> </w:t>
      </w:r>
      <w:r w:rsidRPr="002D6400">
        <w:t>ամսից</w:t>
      </w:r>
      <w:r w:rsidRPr="002D6400">
        <w:rPr>
          <w:lang w:val="en-US"/>
        </w:rPr>
        <w:t xml:space="preserve"> </w:t>
      </w:r>
      <w:r w:rsidRPr="002D6400">
        <w:t>արագացող</w:t>
      </w:r>
      <w:r w:rsidRPr="002D6400">
        <w:rPr>
          <w:lang w:val="en-US"/>
        </w:rPr>
        <w:t xml:space="preserve"> </w:t>
      </w:r>
      <w:r w:rsidRPr="002D6400">
        <w:t>գնաճը</w:t>
      </w:r>
      <w:r w:rsidRPr="002D6400">
        <w:rPr>
          <w:lang w:val="en-US"/>
        </w:rPr>
        <w:t xml:space="preserve"> </w:t>
      </w:r>
      <w:r w:rsidRPr="002D6400">
        <w:t>զսպելու</w:t>
      </w:r>
      <w:r w:rsidRPr="002D6400">
        <w:rPr>
          <w:lang w:val="en-US"/>
        </w:rPr>
        <w:t xml:space="preserve"> </w:t>
      </w:r>
      <w:r w:rsidRPr="002D6400">
        <w:t>նպատակով</w:t>
      </w:r>
      <w:r w:rsidRPr="002D6400">
        <w:rPr>
          <w:lang w:val="en-US"/>
        </w:rPr>
        <w:t xml:space="preserve"> </w:t>
      </w:r>
      <w:r w:rsidRPr="002D6400">
        <w:t>գործընկեր</w:t>
      </w:r>
      <w:r w:rsidRPr="002D6400">
        <w:rPr>
          <w:lang w:val="en-US"/>
        </w:rPr>
        <w:t xml:space="preserve"> </w:t>
      </w:r>
      <w:r w:rsidRPr="002D6400">
        <w:t>երկրների</w:t>
      </w:r>
      <w:r w:rsidRPr="002D6400">
        <w:rPr>
          <w:lang w:val="en-US"/>
        </w:rPr>
        <w:t xml:space="preserve"> </w:t>
      </w:r>
      <w:r w:rsidRPr="002D6400">
        <w:t>կենտրոնական</w:t>
      </w:r>
      <w:r w:rsidRPr="002D6400">
        <w:rPr>
          <w:lang w:val="en-US"/>
        </w:rPr>
        <w:t xml:space="preserve"> </w:t>
      </w:r>
      <w:r w:rsidRPr="002D6400">
        <w:t>բանկերի</w:t>
      </w:r>
      <w:r w:rsidRPr="002D6400">
        <w:rPr>
          <w:lang w:val="en-US"/>
        </w:rPr>
        <w:t xml:space="preserve"> </w:t>
      </w:r>
      <w:r w:rsidRPr="002D6400">
        <w:t>կողմից</w:t>
      </w:r>
      <w:r w:rsidRPr="002D6400">
        <w:rPr>
          <w:lang w:val="en-US"/>
        </w:rPr>
        <w:t xml:space="preserve"> </w:t>
      </w:r>
      <w:r w:rsidRPr="002D6400">
        <w:t>շարունակվում</w:t>
      </w:r>
      <w:r w:rsidRPr="002D6400">
        <w:rPr>
          <w:lang w:val="en-US"/>
        </w:rPr>
        <w:t xml:space="preserve"> </w:t>
      </w:r>
      <w:r w:rsidRPr="002D6400">
        <w:t>է</w:t>
      </w:r>
      <w:r w:rsidRPr="002D6400">
        <w:rPr>
          <w:lang w:val="en-US"/>
        </w:rPr>
        <w:t xml:space="preserve"> </w:t>
      </w:r>
      <w:r w:rsidRPr="002D6400">
        <w:t>իրականացվել</w:t>
      </w:r>
      <w:r w:rsidRPr="002D6400">
        <w:rPr>
          <w:lang w:val="en-US"/>
        </w:rPr>
        <w:t xml:space="preserve"> </w:t>
      </w:r>
      <w:r w:rsidRPr="002D6400">
        <w:t>զսպող</w:t>
      </w:r>
      <w:r w:rsidRPr="002D6400">
        <w:rPr>
          <w:lang w:val="en-US"/>
        </w:rPr>
        <w:t xml:space="preserve"> </w:t>
      </w:r>
      <w:r w:rsidRPr="002D6400">
        <w:t>քաղաքականություն</w:t>
      </w:r>
      <w:r w:rsidRPr="002D6400">
        <w:rPr>
          <w:lang w:val="en-US"/>
        </w:rPr>
        <w:t>:</w:t>
      </w:r>
      <w:r w:rsidRPr="005D1807">
        <w:rPr>
          <w:b w:val="0"/>
          <w:bCs/>
          <w:lang w:val="en-US"/>
        </w:rPr>
        <w:t xml:space="preserve"> </w:t>
      </w:r>
      <w:r w:rsidRPr="005D1807">
        <w:rPr>
          <w:b w:val="0"/>
          <w:bCs/>
        </w:rPr>
        <w:t>Ընդ</w:t>
      </w:r>
      <w:r w:rsidRPr="005D1807">
        <w:rPr>
          <w:b w:val="0"/>
          <w:bCs/>
          <w:lang w:val="en-US"/>
        </w:rPr>
        <w:t xml:space="preserve"> </w:t>
      </w:r>
      <w:r w:rsidRPr="005D1807">
        <w:rPr>
          <w:b w:val="0"/>
          <w:bCs/>
        </w:rPr>
        <w:t>որում</w:t>
      </w:r>
      <w:r w:rsidRPr="005D1807">
        <w:rPr>
          <w:b w:val="0"/>
          <w:bCs/>
          <w:lang w:val="en-US"/>
        </w:rPr>
        <w:t xml:space="preserve">, </w:t>
      </w:r>
      <w:r w:rsidRPr="005D1807">
        <w:rPr>
          <w:b w:val="0"/>
          <w:bCs/>
        </w:rPr>
        <w:t>ԱՄՆ</w:t>
      </w:r>
      <w:r w:rsidRPr="005D1807">
        <w:rPr>
          <w:b w:val="0"/>
          <w:bCs/>
          <w:lang w:val="en-US"/>
        </w:rPr>
        <w:t>-</w:t>
      </w:r>
      <w:r w:rsidRPr="005D1807">
        <w:rPr>
          <w:b w:val="0"/>
          <w:bCs/>
        </w:rPr>
        <w:t>ում</w:t>
      </w:r>
      <w:r w:rsidRPr="005D1807">
        <w:rPr>
          <w:b w:val="0"/>
          <w:bCs/>
          <w:lang w:val="en-US"/>
        </w:rPr>
        <w:t xml:space="preserve"> </w:t>
      </w:r>
      <w:r w:rsidRPr="005D1807">
        <w:rPr>
          <w:b w:val="0"/>
          <w:bCs/>
        </w:rPr>
        <w:t>և</w:t>
      </w:r>
      <w:r w:rsidRPr="005D1807">
        <w:rPr>
          <w:b w:val="0"/>
          <w:bCs/>
          <w:lang w:val="en-US"/>
        </w:rPr>
        <w:t xml:space="preserve"> </w:t>
      </w:r>
      <w:r w:rsidRPr="005D1807">
        <w:rPr>
          <w:b w:val="0"/>
          <w:bCs/>
        </w:rPr>
        <w:t>ԵԳ</w:t>
      </w:r>
      <w:r w:rsidRPr="005D1807">
        <w:rPr>
          <w:b w:val="0"/>
          <w:bCs/>
          <w:lang w:val="en-US"/>
        </w:rPr>
        <w:t>-</w:t>
      </w:r>
      <w:r w:rsidRPr="005D1807">
        <w:rPr>
          <w:b w:val="0"/>
          <w:bCs/>
        </w:rPr>
        <w:t>ում</w:t>
      </w:r>
      <w:r w:rsidRPr="005D1807">
        <w:rPr>
          <w:b w:val="0"/>
          <w:bCs/>
          <w:lang w:val="en-US"/>
        </w:rPr>
        <w:t xml:space="preserve"> </w:t>
      </w:r>
      <w:r w:rsidRPr="005D1807">
        <w:rPr>
          <w:b w:val="0"/>
          <w:bCs/>
        </w:rPr>
        <w:t>գնաճը</w:t>
      </w:r>
      <w:r w:rsidRPr="005D1807">
        <w:rPr>
          <w:b w:val="0"/>
          <w:bCs/>
          <w:lang w:val="en-US"/>
        </w:rPr>
        <w:t xml:space="preserve"> </w:t>
      </w:r>
      <w:r w:rsidRPr="005D1807">
        <w:rPr>
          <w:b w:val="0"/>
          <w:bCs/>
        </w:rPr>
        <w:t>շարունակում</w:t>
      </w:r>
      <w:r w:rsidRPr="005D1807">
        <w:rPr>
          <w:b w:val="0"/>
          <w:bCs/>
          <w:lang w:val="en-US"/>
        </w:rPr>
        <w:t xml:space="preserve"> </w:t>
      </w:r>
      <w:r w:rsidRPr="005D1807">
        <w:rPr>
          <w:b w:val="0"/>
          <w:bCs/>
        </w:rPr>
        <w:t>է</w:t>
      </w:r>
      <w:r w:rsidRPr="005D1807">
        <w:rPr>
          <w:b w:val="0"/>
          <w:bCs/>
          <w:lang w:val="en-US"/>
        </w:rPr>
        <w:t xml:space="preserve"> </w:t>
      </w:r>
      <w:r w:rsidRPr="005D1807">
        <w:rPr>
          <w:b w:val="0"/>
          <w:bCs/>
        </w:rPr>
        <w:t>բարձր</w:t>
      </w:r>
      <w:r w:rsidRPr="005D1807">
        <w:rPr>
          <w:b w:val="0"/>
          <w:bCs/>
          <w:lang w:val="en-US"/>
        </w:rPr>
        <w:t xml:space="preserve"> </w:t>
      </w:r>
      <w:r w:rsidRPr="005D1807">
        <w:rPr>
          <w:b w:val="0"/>
          <w:bCs/>
        </w:rPr>
        <w:t>մնալ</w:t>
      </w:r>
      <w:r w:rsidRPr="005D1807">
        <w:rPr>
          <w:b w:val="0"/>
          <w:bCs/>
          <w:lang w:val="en-US"/>
        </w:rPr>
        <w:t xml:space="preserve"> </w:t>
      </w:r>
      <w:r w:rsidRPr="005D1807">
        <w:rPr>
          <w:b w:val="0"/>
          <w:bCs/>
        </w:rPr>
        <w:t>սահմանված</w:t>
      </w:r>
      <w:r w:rsidRPr="005D1807">
        <w:rPr>
          <w:b w:val="0"/>
          <w:bCs/>
          <w:lang w:val="en-US"/>
        </w:rPr>
        <w:t xml:space="preserve"> </w:t>
      </w:r>
      <w:r w:rsidRPr="005D1807">
        <w:rPr>
          <w:b w:val="0"/>
          <w:bCs/>
        </w:rPr>
        <w:t>թիրախներից</w:t>
      </w:r>
      <w:r w:rsidRPr="005D1807">
        <w:rPr>
          <w:b w:val="0"/>
          <w:bCs/>
          <w:lang w:val="en-US"/>
        </w:rPr>
        <w:t xml:space="preserve">, </w:t>
      </w:r>
      <w:r w:rsidRPr="005D1807">
        <w:rPr>
          <w:b w:val="0"/>
          <w:bCs/>
        </w:rPr>
        <w:t>Չինաստանում</w:t>
      </w:r>
      <w:r w:rsidRPr="005D1807">
        <w:rPr>
          <w:b w:val="0"/>
          <w:bCs/>
          <w:lang w:val="en-US"/>
        </w:rPr>
        <w:t xml:space="preserve"> </w:t>
      </w:r>
      <w:r w:rsidRPr="005D1807">
        <w:rPr>
          <w:b w:val="0"/>
          <w:bCs/>
        </w:rPr>
        <w:t>գտնվում</w:t>
      </w:r>
      <w:r w:rsidRPr="005D1807">
        <w:rPr>
          <w:b w:val="0"/>
          <w:bCs/>
          <w:lang w:val="en-US"/>
        </w:rPr>
        <w:t xml:space="preserve"> </w:t>
      </w:r>
      <w:r w:rsidRPr="005D1807">
        <w:rPr>
          <w:b w:val="0"/>
          <w:bCs/>
        </w:rPr>
        <w:t>է</w:t>
      </w:r>
      <w:r w:rsidRPr="005D1807">
        <w:rPr>
          <w:b w:val="0"/>
          <w:bCs/>
          <w:lang w:val="en-US"/>
        </w:rPr>
        <w:t xml:space="preserve"> </w:t>
      </w:r>
      <w:r w:rsidRPr="005D1807">
        <w:rPr>
          <w:b w:val="0"/>
          <w:bCs/>
        </w:rPr>
        <w:t>թիրախային</w:t>
      </w:r>
      <w:r w:rsidRPr="005D1807">
        <w:rPr>
          <w:b w:val="0"/>
          <w:bCs/>
          <w:lang w:val="en-US"/>
        </w:rPr>
        <w:t xml:space="preserve"> </w:t>
      </w:r>
      <w:r w:rsidRPr="005D1807">
        <w:rPr>
          <w:b w:val="0"/>
          <w:bCs/>
        </w:rPr>
        <w:t>մակարդակից</w:t>
      </w:r>
      <w:r w:rsidRPr="005D1807">
        <w:rPr>
          <w:b w:val="0"/>
          <w:bCs/>
          <w:lang w:val="en-US"/>
        </w:rPr>
        <w:t xml:space="preserve"> </w:t>
      </w:r>
      <w:r w:rsidRPr="005D1807">
        <w:rPr>
          <w:b w:val="0"/>
          <w:bCs/>
        </w:rPr>
        <w:t>ներքև</w:t>
      </w:r>
      <w:r w:rsidRPr="005D1807">
        <w:rPr>
          <w:b w:val="0"/>
          <w:bCs/>
          <w:lang w:val="en-US"/>
        </w:rPr>
        <w:t xml:space="preserve">, </w:t>
      </w:r>
      <w:r w:rsidRPr="005D1807">
        <w:rPr>
          <w:b w:val="0"/>
          <w:bCs/>
        </w:rPr>
        <w:t>իսկ</w:t>
      </w:r>
      <w:r w:rsidRPr="005D1807">
        <w:rPr>
          <w:b w:val="0"/>
          <w:bCs/>
          <w:lang w:val="en-US"/>
        </w:rPr>
        <w:t xml:space="preserve"> </w:t>
      </w:r>
      <w:r w:rsidRPr="005D1807">
        <w:rPr>
          <w:b w:val="0"/>
          <w:bCs/>
        </w:rPr>
        <w:t>ՌԴ</w:t>
      </w:r>
      <w:r w:rsidRPr="005D1807">
        <w:rPr>
          <w:b w:val="0"/>
          <w:bCs/>
          <w:lang w:val="en-US"/>
        </w:rPr>
        <w:t>-</w:t>
      </w:r>
      <w:r w:rsidRPr="005D1807">
        <w:rPr>
          <w:b w:val="0"/>
          <w:bCs/>
        </w:rPr>
        <w:t>ում</w:t>
      </w:r>
      <w:r w:rsidRPr="005D1807">
        <w:rPr>
          <w:b w:val="0"/>
          <w:bCs/>
          <w:lang w:val="en-US"/>
        </w:rPr>
        <w:t xml:space="preserve"> </w:t>
      </w:r>
      <w:r w:rsidRPr="005D1807">
        <w:rPr>
          <w:b w:val="0"/>
          <w:bCs/>
        </w:rPr>
        <w:t>կազմել</w:t>
      </w:r>
      <w:r w:rsidRPr="005D1807">
        <w:rPr>
          <w:b w:val="0"/>
          <w:bCs/>
          <w:lang w:val="en-US"/>
        </w:rPr>
        <w:t xml:space="preserve"> </w:t>
      </w:r>
      <w:r w:rsidRPr="005D1807">
        <w:rPr>
          <w:b w:val="0"/>
          <w:bCs/>
        </w:rPr>
        <w:t>է</w:t>
      </w:r>
      <w:r w:rsidRPr="005D1807">
        <w:rPr>
          <w:b w:val="0"/>
          <w:bCs/>
          <w:lang w:val="en-US"/>
        </w:rPr>
        <w:t xml:space="preserve"> 4.3%</w:t>
      </w:r>
      <w:r w:rsidRPr="005D1807">
        <w:rPr>
          <w:b w:val="0"/>
          <w:bCs/>
        </w:rPr>
        <w:t>՝</w:t>
      </w:r>
      <w:r w:rsidRPr="005D1807">
        <w:rPr>
          <w:b w:val="0"/>
          <w:bCs/>
          <w:lang w:val="en-US"/>
        </w:rPr>
        <w:t xml:space="preserve"> </w:t>
      </w:r>
      <w:r w:rsidRPr="005D1807">
        <w:rPr>
          <w:b w:val="0"/>
          <w:bCs/>
        </w:rPr>
        <w:t>համապատասխանելով</w:t>
      </w:r>
      <w:r w:rsidRPr="005D1807">
        <w:rPr>
          <w:b w:val="0"/>
          <w:bCs/>
          <w:lang w:val="en-US"/>
        </w:rPr>
        <w:t xml:space="preserve"> </w:t>
      </w:r>
      <w:r w:rsidRPr="005D1807">
        <w:rPr>
          <w:b w:val="0"/>
          <w:bCs/>
        </w:rPr>
        <w:t>ՌԴ</w:t>
      </w:r>
      <w:r w:rsidRPr="005D1807">
        <w:rPr>
          <w:b w:val="0"/>
          <w:bCs/>
          <w:lang w:val="en-US"/>
        </w:rPr>
        <w:t xml:space="preserve"> </w:t>
      </w:r>
      <w:r w:rsidRPr="005D1807">
        <w:rPr>
          <w:b w:val="0"/>
          <w:bCs/>
        </w:rPr>
        <w:t>ԿԲ</w:t>
      </w:r>
      <w:r w:rsidRPr="005D1807">
        <w:rPr>
          <w:b w:val="0"/>
          <w:bCs/>
          <w:lang w:val="en-US"/>
        </w:rPr>
        <w:t xml:space="preserve"> </w:t>
      </w:r>
      <w:r w:rsidRPr="005D1807">
        <w:rPr>
          <w:b w:val="0"/>
          <w:bCs/>
        </w:rPr>
        <w:t>կանխատեսումներին</w:t>
      </w:r>
      <w:r w:rsidRPr="005D1807">
        <w:rPr>
          <w:b w:val="0"/>
          <w:bCs/>
          <w:lang w:val="en-US"/>
        </w:rPr>
        <w:t xml:space="preserve">: </w:t>
      </w:r>
      <w:r w:rsidRPr="005D1807">
        <w:rPr>
          <w:b w:val="0"/>
          <w:bCs/>
        </w:rPr>
        <w:t>ՌԴ</w:t>
      </w:r>
      <w:r w:rsidRPr="005D1807">
        <w:rPr>
          <w:b w:val="0"/>
          <w:bCs/>
          <w:lang w:val="en-US"/>
        </w:rPr>
        <w:t xml:space="preserve"> </w:t>
      </w:r>
      <w:r w:rsidRPr="005D1807">
        <w:rPr>
          <w:b w:val="0"/>
          <w:bCs/>
        </w:rPr>
        <w:t>կենտրոնական</w:t>
      </w:r>
      <w:r w:rsidRPr="005D1807">
        <w:rPr>
          <w:b w:val="0"/>
          <w:bCs/>
          <w:lang w:val="en-US"/>
        </w:rPr>
        <w:t xml:space="preserve"> </w:t>
      </w:r>
      <w:r w:rsidRPr="005D1807">
        <w:rPr>
          <w:b w:val="0"/>
          <w:bCs/>
        </w:rPr>
        <w:t>բանկի</w:t>
      </w:r>
      <w:r w:rsidRPr="005D1807">
        <w:rPr>
          <w:b w:val="0"/>
          <w:bCs/>
          <w:lang w:val="en-US"/>
        </w:rPr>
        <w:t xml:space="preserve"> </w:t>
      </w:r>
      <w:r w:rsidRPr="005D1807">
        <w:rPr>
          <w:b w:val="0"/>
          <w:bCs/>
        </w:rPr>
        <w:t>հիմնական</w:t>
      </w:r>
      <w:r w:rsidRPr="005D1807">
        <w:rPr>
          <w:b w:val="0"/>
          <w:bCs/>
          <w:lang w:val="en-US"/>
        </w:rPr>
        <w:t xml:space="preserve"> </w:t>
      </w:r>
      <w:r w:rsidRPr="005D1807">
        <w:rPr>
          <w:b w:val="0"/>
          <w:bCs/>
        </w:rPr>
        <w:t>տոկոսադրույքը</w:t>
      </w:r>
      <w:r w:rsidRPr="005D1807">
        <w:rPr>
          <w:b w:val="0"/>
          <w:bCs/>
          <w:lang w:val="en-US"/>
        </w:rPr>
        <w:t xml:space="preserve">  </w:t>
      </w:r>
      <w:r w:rsidRPr="005D1807">
        <w:rPr>
          <w:b w:val="0"/>
          <w:bCs/>
        </w:rPr>
        <w:t>նախորդ</w:t>
      </w:r>
      <w:r w:rsidRPr="005D1807">
        <w:rPr>
          <w:b w:val="0"/>
          <w:bCs/>
          <w:lang w:val="en-US"/>
        </w:rPr>
        <w:t xml:space="preserve"> </w:t>
      </w:r>
      <w:r w:rsidRPr="005D1807">
        <w:rPr>
          <w:b w:val="0"/>
          <w:bCs/>
        </w:rPr>
        <w:t>տարվա</w:t>
      </w:r>
      <w:r w:rsidRPr="005D1807">
        <w:rPr>
          <w:b w:val="0"/>
          <w:bCs/>
          <w:lang w:val="en-US"/>
        </w:rPr>
        <w:t xml:space="preserve"> </w:t>
      </w:r>
      <w:r w:rsidRPr="005D1807">
        <w:rPr>
          <w:b w:val="0"/>
          <w:bCs/>
        </w:rPr>
        <w:t>հունիս</w:t>
      </w:r>
      <w:r w:rsidRPr="005D1807">
        <w:rPr>
          <w:b w:val="0"/>
          <w:bCs/>
          <w:lang w:val="en-US"/>
        </w:rPr>
        <w:t xml:space="preserve"> </w:t>
      </w:r>
      <w:r w:rsidRPr="005D1807">
        <w:rPr>
          <w:b w:val="0"/>
          <w:bCs/>
        </w:rPr>
        <w:t>ամսից</w:t>
      </w:r>
      <w:r w:rsidRPr="005D1807">
        <w:rPr>
          <w:b w:val="0"/>
          <w:bCs/>
          <w:lang w:val="en-US"/>
        </w:rPr>
        <w:t xml:space="preserve"> 7.5% </w:t>
      </w:r>
      <w:r w:rsidRPr="005D1807">
        <w:rPr>
          <w:b w:val="0"/>
          <w:bCs/>
        </w:rPr>
        <w:t>է</w:t>
      </w:r>
      <w:r w:rsidRPr="005D1807">
        <w:rPr>
          <w:b w:val="0"/>
          <w:bCs/>
          <w:lang w:val="en-US"/>
        </w:rPr>
        <w:t xml:space="preserve"> </w:t>
      </w:r>
      <w:r w:rsidRPr="005D1807">
        <w:rPr>
          <w:b w:val="0"/>
          <w:bCs/>
        </w:rPr>
        <w:t>կազմել</w:t>
      </w:r>
      <w:r w:rsidRPr="005D1807">
        <w:rPr>
          <w:b w:val="0"/>
          <w:bCs/>
          <w:lang w:val="en-US"/>
        </w:rPr>
        <w:t xml:space="preserve">, </w:t>
      </w:r>
      <w:r w:rsidRPr="005D1807">
        <w:rPr>
          <w:b w:val="0"/>
          <w:bCs/>
        </w:rPr>
        <w:t>սակայն</w:t>
      </w:r>
      <w:r w:rsidRPr="005D1807">
        <w:rPr>
          <w:b w:val="0"/>
          <w:bCs/>
          <w:lang w:val="en-US"/>
        </w:rPr>
        <w:t xml:space="preserve"> 2023</w:t>
      </w:r>
      <w:r w:rsidRPr="005D1807">
        <w:rPr>
          <w:b w:val="0"/>
          <w:bCs/>
        </w:rPr>
        <w:t>թ</w:t>
      </w:r>
      <w:r w:rsidRPr="005D1807">
        <w:rPr>
          <w:b w:val="0"/>
          <w:bCs/>
          <w:lang w:val="en-US"/>
        </w:rPr>
        <w:t xml:space="preserve">․ </w:t>
      </w:r>
      <w:r w:rsidRPr="005D1807">
        <w:rPr>
          <w:b w:val="0"/>
          <w:bCs/>
        </w:rPr>
        <w:t>հուլիսին</w:t>
      </w:r>
      <w:r w:rsidRPr="005D1807">
        <w:rPr>
          <w:b w:val="0"/>
          <w:bCs/>
          <w:lang w:val="en-US"/>
        </w:rPr>
        <w:t xml:space="preserve"> </w:t>
      </w:r>
      <w:r w:rsidRPr="005D1807">
        <w:rPr>
          <w:b w:val="0"/>
          <w:bCs/>
        </w:rPr>
        <w:t>կենտրոնական</w:t>
      </w:r>
      <w:r w:rsidRPr="005D1807">
        <w:rPr>
          <w:b w:val="0"/>
          <w:bCs/>
          <w:lang w:val="en-US"/>
        </w:rPr>
        <w:t xml:space="preserve"> </w:t>
      </w:r>
      <w:r w:rsidRPr="005D1807">
        <w:rPr>
          <w:b w:val="0"/>
          <w:bCs/>
        </w:rPr>
        <w:t>բանկի</w:t>
      </w:r>
      <w:r w:rsidRPr="005D1807">
        <w:rPr>
          <w:b w:val="0"/>
          <w:bCs/>
          <w:lang w:val="en-US"/>
        </w:rPr>
        <w:t xml:space="preserve"> </w:t>
      </w:r>
      <w:r w:rsidRPr="005D1807">
        <w:rPr>
          <w:b w:val="0"/>
          <w:bCs/>
        </w:rPr>
        <w:t>կողմից</w:t>
      </w:r>
      <w:r w:rsidRPr="005D1807">
        <w:rPr>
          <w:b w:val="0"/>
          <w:bCs/>
          <w:lang w:val="en-US"/>
        </w:rPr>
        <w:t xml:space="preserve"> </w:t>
      </w:r>
      <w:r w:rsidRPr="005D1807">
        <w:rPr>
          <w:b w:val="0"/>
          <w:bCs/>
        </w:rPr>
        <w:t>այն</w:t>
      </w:r>
      <w:r w:rsidRPr="005D1807">
        <w:rPr>
          <w:b w:val="0"/>
          <w:bCs/>
          <w:lang w:val="en-US"/>
        </w:rPr>
        <w:t xml:space="preserve"> </w:t>
      </w:r>
      <w:r w:rsidRPr="005D1807">
        <w:rPr>
          <w:b w:val="0"/>
          <w:bCs/>
        </w:rPr>
        <w:t>բարձրացվեց</w:t>
      </w:r>
      <w:r w:rsidRPr="005D1807">
        <w:rPr>
          <w:b w:val="0"/>
          <w:bCs/>
          <w:lang w:val="en-US"/>
        </w:rPr>
        <w:t xml:space="preserve"> 1 </w:t>
      </w:r>
      <w:r w:rsidRPr="005D1807">
        <w:rPr>
          <w:b w:val="0"/>
          <w:bCs/>
        </w:rPr>
        <w:t>տոկոսային</w:t>
      </w:r>
      <w:r w:rsidRPr="005D1807">
        <w:rPr>
          <w:b w:val="0"/>
          <w:bCs/>
          <w:lang w:val="en-US"/>
        </w:rPr>
        <w:t xml:space="preserve"> </w:t>
      </w:r>
      <w:r w:rsidRPr="005D1807">
        <w:rPr>
          <w:b w:val="0"/>
          <w:bCs/>
        </w:rPr>
        <w:t>կետով</w:t>
      </w:r>
      <w:r w:rsidRPr="005D1807">
        <w:rPr>
          <w:b w:val="0"/>
          <w:bCs/>
          <w:lang w:val="en-US"/>
        </w:rPr>
        <w:t xml:space="preserve">, </w:t>
      </w:r>
      <w:r w:rsidRPr="005D1807">
        <w:rPr>
          <w:b w:val="0"/>
          <w:bCs/>
        </w:rPr>
        <w:t>իսկ</w:t>
      </w:r>
      <w:r w:rsidRPr="005D1807">
        <w:rPr>
          <w:b w:val="0"/>
          <w:bCs/>
          <w:lang w:val="en-US"/>
        </w:rPr>
        <w:t xml:space="preserve"> </w:t>
      </w:r>
      <w:r w:rsidRPr="005D1807">
        <w:rPr>
          <w:b w:val="0"/>
          <w:bCs/>
        </w:rPr>
        <w:t>օգոստոսին</w:t>
      </w:r>
      <w:r w:rsidRPr="005D1807">
        <w:rPr>
          <w:b w:val="0"/>
          <w:bCs/>
          <w:lang w:val="en-US"/>
        </w:rPr>
        <w:t xml:space="preserve"> </w:t>
      </w:r>
      <w:r w:rsidRPr="005D1807">
        <w:rPr>
          <w:b w:val="0"/>
          <w:bCs/>
        </w:rPr>
        <w:t>ավելի</w:t>
      </w:r>
      <w:r w:rsidRPr="005D1807">
        <w:rPr>
          <w:b w:val="0"/>
          <w:bCs/>
          <w:lang w:val="en-US"/>
        </w:rPr>
        <w:t xml:space="preserve"> </w:t>
      </w:r>
      <w:r w:rsidRPr="005D1807">
        <w:rPr>
          <w:b w:val="0"/>
          <w:bCs/>
        </w:rPr>
        <w:t>կտրուկ՝</w:t>
      </w:r>
      <w:r w:rsidRPr="005D1807">
        <w:rPr>
          <w:b w:val="0"/>
          <w:bCs/>
          <w:lang w:val="en-US"/>
        </w:rPr>
        <w:t xml:space="preserve"> 3.5%-</w:t>
      </w:r>
      <w:r w:rsidRPr="005D1807">
        <w:rPr>
          <w:b w:val="0"/>
          <w:bCs/>
        </w:rPr>
        <w:t>ով</w:t>
      </w:r>
      <w:r w:rsidRPr="005D1807">
        <w:rPr>
          <w:b w:val="0"/>
          <w:bCs/>
          <w:lang w:val="en-US"/>
        </w:rPr>
        <w:t xml:space="preserve">․ </w:t>
      </w:r>
      <w:r w:rsidRPr="005D1807">
        <w:rPr>
          <w:b w:val="0"/>
          <w:bCs/>
        </w:rPr>
        <w:t>այժմ</w:t>
      </w:r>
      <w:r w:rsidRPr="005D1807">
        <w:rPr>
          <w:b w:val="0"/>
          <w:bCs/>
          <w:lang w:val="en-US"/>
        </w:rPr>
        <w:t xml:space="preserve"> </w:t>
      </w:r>
      <w:r w:rsidRPr="005D1807">
        <w:rPr>
          <w:b w:val="0"/>
          <w:bCs/>
        </w:rPr>
        <w:t>այն</w:t>
      </w:r>
      <w:r w:rsidRPr="005D1807">
        <w:rPr>
          <w:b w:val="0"/>
          <w:bCs/>
          <w:lang w:val="en-US"/>
        </w:rPr>
        <w:t xml:space="preserve"> </w:t>
      </w:r>
      <w:r w:rsidRPr="005D1807">
        <w:rPr>
          <w:b w:val="0"/>
          <w:bCs/>
        </w:rPr>
        <w:t>կազմում</w:t>
      </w:r>
      <w:r w:rsidRPr="005D1807">
        <w:rPr>
          <w:b w:val="0"/>
          <w:bCs/>
          <w:lang w:val="en-US"/>
        </w:rPr>
        <w:t xml:space="preserve"> </w:t>
      </w:r>
      <w:r w:rsidRPr="005D1807">
        <w:rPr>
          <w:b w:val="0"/>
          <w:bCs/>
        </w:rPr>
        <w:t>է</w:t>
      </w:r>
      <w:r w:rsidRPr="005D1807">
        <w:rPr>
          <w:b w:val="0"/>
          <w:bCs/>
          <w:lang w:val="en-US"/>
        </w:rPr>
        <w:t xml:space="preserve"> 12%</w:t>
      </w:r>
      <w:r w:rsidRPr="005D1807">
        <w:rPr>
          <w:b w:val="0"/>
          <w:bCs/>
        </w:rPr>
        <w:t>։</w:t>
      </w:r>
      <w:r w:rsidRPr="005D1807">
        <w:rPr>
          <w:b w:val="0"/>
          <w:bCs/>
          <w:lang w:val="en-US"/>
        </w:rPr>
        <w:t xml:space="preserve"> </w:t>
      </w:r>
      <w:r w:rsidRPr="005D1807">
        <w:rPr>
          <w:b w:val="0"/>
          <w:bCs/>
        </w:rPr>
        <w:t>Չնայած</w:t>
      </w:r>
      <w:r w:rsidRPr="005D1807">
        <w:rPr>
          <w:b w:val="0"/>
          <w:bCs/>
          <w:lang w:val="en-US"/>
        </w:rPr>
        <w:t xml:space="preserve"> </w:t>
      </w:r>
      <w:r w:rsidRPr="005D1807">
        <w:rPr>
          <w:b w:val="0"/>
          <w:bCs/>
        </w:rPr>
        <w:t>այն</w:t>
      </w:r>
      <w:r w:rsidRPr="005D1807">
        <w:rPr>
          <w:b w:val="0"/>
          <w:bCs/>
          <w:lang w:val="en-US"/>
        </w:rPr>
        <w:t xml:space="preserve"> </w:t>
      </w:r>
      <w:r w:rsidRPr="005D1807">
        <w:rPr>
          <w:b w:val="0"/>
          <w:bCs/>
        </w:rPr>
        <w:t>հանգամանքին</w:t>
      </w:r>
      <w:r w:rsidRPr="005D1807">
        <w:rPr>
          <w:b w:val="0"/>
          <w:bCs/>
          <w:lang w:val="en-US"/>
        </w:rPr>
        <w:t xml:space="preserve">, </w:t>
      </w:r>
      <w:r w:rsidRPr="005D1807">
        <w:rPr>
          <w:b w:val="0"/>
          <w:bCs/>
        </w:rPr>
        <w:t>որ</w:t>
      </w:r>
      <w:r w:rsidRPr="005D1807">
        <w:rPr>
          <w:b w:val="0"/>
          <w:bCs/>
          <w:lang w:val="en-US"/>
        </w:rPr>
        <w:t xml:space="preserve"> </w:t>
      </w:r>
      <w:r w:rsidRPr="005D1807">
        <w:rPr>
          <w:b w:val="0"/>
          <w:bCs/>
        </w:rPr>
        <w:t>Եվրագոտում</w:t>
      </w:r>
      <w:r w:rsidRPr="005D1807">
        <w:rPr>
          <w:b w:val="0"/>
          <w:bCs/>
          <w:lang w:val="en-US"/>
        </w:rPr>
        <w:t xml:space="preserve"> </w:t>
      </w:r>
      <w:r w:rsidRPr="005D1807">
        <w:rPr>
          <w:b w:val="0"/>
          <w:bCs/>
        </w:rPr>
        <w:t>և</w:t>
      </w:r>
      <w:r w:rsidRPr="005D1807">
        <w:rPr>
          <w:b w:val="0"/>
          <w:bCs/>
          <w:lang w:val="en-US"/>
        </w:rPr>
        <w:t xml:space="preserve"> </w:t>
      </w:r>
      <w:r w:rsidRPr="005D1807">
        <w:rPr>
          <w:b w:val="0"/>
          <w:bCs/>
        </w:rPr>
        <w:t>ԱՄՆ</w:t>
      </w:r>
      <w:r w:rsidRPr="005D1807">
        <w:rPr>
          <w:b w:val="0"/>
          <w:bCs/>
          <w:lang w:val="en-US"/>
        </w:rPr>
        <w:t>-</w:t>
      </w:r>
      <w:r w:rsidRPr="005D1807">
        <w:rPr>
          <w:b w:val="0"/>
          <w:bCs/>
        </w:rPr>
        <w:t>ում</w:t>
      </w:r>
      <w:r w:rsidRPr="005D1807">
        <w:rPr>
          <w:b w:val="0"/>
          <w:bCs/>
          <w:lang w:val="en-US"/>
        </w:rPr>
        <w:t xml:space="preserve"> </w:t>
      </w:r>
      <w:r w:rsidRPr="005D1807">
        <w:rPr>
          <w:b w:val="0"/>
          <w:bCs/>
        </w:rPr>
        <w:t>գնաճը</w:t>
      </w:r>
      <w:r w:rsidRPr="005D1807">
        <w:rPr>
          <w:b w:val="0"/>
          <w:bCs/>
          <w:lang w:val="en-US"/>
        </w:rPr>
        <w:t xml:space="preserve"> </w:t>
      </w:r>
      <w:r w:rsidRPr="005D1807">
        <w:rPr>
          <w:b w:val="0"/>
          <w:bCs/>
        </w:rPr>
        <w:t>դանդաղում</w:t>
      </w:r>
      <w:r w:rsidRPr="005D1807">
        <w:rPr>
          <w:b w:val="0"/>
          <w:bCs/>
          <w:lang w:val="en-US"/>
        </w:rPr>
        <w:t xml:space="preserve"> </w:t>
      </w:r>
      <w:r w:rsidRPr="005D1807">
        <w:rPr>
          <w:b w:val="0"/>
          <w:bCs/>
        </w:rPr>
        <w:t>է</w:t>
      </w:r>
      <w:r w:rsidRPr="005D1807">
        <w:rPr>
          <w:b w:val="0"/>
          <w:bCs/>
          <w:lang w:val="en-US"/>
        </w:rPr>
        <w:t xml:space="preserve">, </w:t>
      </w:r>
      <w:r w:rsidRPr="005D1807">
        <w:rPr>
          <w:b w:val="0"/>
          <w:bCs/>
        </w:rPr>
        <w:t>Եվրոպական</w:t>
      </w:r>
      <w:r w:rsidRPr="005D1807">
        <w:rPr>
          <w:b w:val="0"/>
          <w:bCs/>
          <w:lang w:val="en-US"/>
        </w:rPr>
        <w:t xml:space="preserve"> </w:t>
      </w:r>
      <w:r w:rsidRPr="005D1807">
        <w:rPr>
          <w:b w:val="0"/>
          <w:bCs/>
        </w:rPr>
        <w:t>կենտրոնական</w:t>
      </w:r>
      <w:r w:rsidRPr="005D1807">
        <w:rPr>
          <w:b w:val="0"/>
          <w:bCs/>
          <w:lang w:val="en-US"/>
        </w:rPr>
        <w:t xml:space="preserve"> </w:t>
      </w:r>
      <w:r w:rsidRPr="005D1807">
        <w:rPr>
          <w:b w:val="0"/>
          <w:bCs/>
        </w:rPr>
        <w:t>բանկը</w:t>
      </w:r>
      <w:r w:rsidRPr="005D1807">
        <w:rPr>
          <w:b w:val="0"/>
          <w:bCs/>
          <w:lang w:val="en-US"/>
        </w:rPr>
        <w:t xml:space="preserve"> </w:t>
      </w:r>
      <w:r w:rsidRPr="005D1807">
        <w:rPr>
          <w:b w:val="0"/>
          <w:bCs/>
        </w:rPr>
        <w:t>և</w:t>
      </w:r>
      <w:r w:rsidRPr="005D1807">
        <w:rPr>
          <w:b w:val="0"/>
          <w:bCs/>
          <w:lang w:val="en-US"/>
        </w:rPr>
        <w:t xml:space="preserve"> </w:t>
      </w:r>
      <w:r w:rsidRPr="005D1807">
        <w:rPr>
          <w:b w:val="0"/>
          <w:bCs/>
        </w:rPr>
        <w:t>ԱՄՆ</w:t>
      </w:r>
      <w:r w:rsidRPr="005D1807">
        <w:rPr>
          <w:b w:val="0"/>
          <w:bCs/>
          <w:lang w:val="en-US"/>
        </w:rPr>
        <w:t xml:space="preserve"> </w:t>
      </w:r>
      <w:r w:rsidRPr="005D1807">
        <w:rPr>
          <w:b w:val="0"/>
          <w:bCs/>
        </w:rPr>
        <w:t>դաշնային</w:t>
      </w:r>
      <w:r w:rsidRPr="005D1807">
        <w:rPr>
          <w:b w:val="0"/>
          <w:bCs/>
          <w:lang w:val="en-US"/>
        </w:rPr>
        <w:t xml:space="preserve"> </w:t>
      </w:r>
      <w:r w:rsidRPr="005D1807">
        <w:rPr>
          <w:b w:val="0"/>
          <w:bCs/>
        </w:rPr>
        <w:t>պահուստային</w:t>
      </w:r>
      <w:r w:rsidRPr="005D1807">
        <w:rPr>
          <w:b w:val="0"/>
          <w:bCs/>
          <w:lang w:val="en-US"/>
        </w:rPr>
        <w:t xml:space="preserve"> </w:t>
      </w:r>
      <w:r w:rsidRPr="005D1807">
        <w:rPr>
          <w:b w:val="0"/>
          <w:bCs/>
        </w:rPr>
        <w:t>համակարգը</w:t>
      </w:r>
      <w:r w:rsidRPr="005D1807">
        <w:rPr>
          <w:b w:val="0"/>
          <w:bCs/>
          <w:lang w:val="en-US"/>
        </w:rPr>
        <w:t xml:space="preserve"> </w:t>
      </w:r>
      <w:r w:rsidRPr="005D1807">
        <w:rPr>
          <w:b w:val="0"/>
          <w:bCs/>
        </w:rPr>
        <w:t>շարունակում</w:t>
      </w:r>
      <w:r w:rsidRPr="005D1807">
        <w:rPr>
          <w:b w:val="0"/>
          <w:bCs/>
          <w:lang w:val="en-US"/>
        </w:rPr>
        <w:t xml:space="preserve"> </w:t>
      </w:r>
      <w:r w:rsidRPr="005D1807">
        <w:rPr>
          <w:b w:val="0"/>
          <w:bCs/>
        </w:rPr>
        <w:t>են</w:t>
      </w:r>
      <w:r w:rsidRPr="005D1807">
        <w:rPr>
          <w:b w:val="0"/>
          <w:bCs/>
          <w:lang w:val="en-US"/>
        </w:rPr>
        <w:t xml:space="preserve"> </w:t>
      </w:r>
      <w:r w:rsidRPr="005D1807">
        <w:rPr>
          <w:b w:val="0"/>
          <w:bCs/>
        </w:rPr>
        <w:t>իրականացնել</w:t>
      </w:r>
      <w:r w:rsidRPr="005D1807">
        <w:rPr>
          <w:b w:val="0"/>
          <w:bCs/>
          <w:lang w:val="en-US"/>
        </w:rPr>
        <w:t xml:space="preserve"> </w:t>
      </w:r>
      <w:r w:rsidRPr="005D1807">
        <w:rPr>
          <w:b w:val="0"/>
          <w:bCs/>
        </w:rPr>
        <w:t>զսպող</w:t>
      </w:r>
      <w:r w:rsidRPr="005D1807">
        <w:rPr>
          <w:b w:val="0"/>
          <w:bCs/>
          <w:lang w:val="en-US"/>
        </w:rPr>
        <w:t xml:space="preserve"> </w:t>
      </w:r>
      <w:r w:rsidRPr="005D1807">
        <w:rPr>
          <w:b w:val="0"/>
          <w:bCs/>
        </w:rPr>
        <w:t>դրամավարկային</w:t>
      </w:r>
      <w:r w:rsidRPr="005D1807">
        <w:rPr>
          <w:b w:val="0"/>
          <w:bCs/>
          <w:lang w:val="en-US"/>
        </w:rPr>
        <w:t xml:space="preserve"> </w:t>
      </w:r>
      <w:r w:rsidRPr="005D1807">
        <w:rPr>
          <w:b w:val="0"/>
          <w:bCs/>
        </w:rPr>
        <w:t>քաղաքականություն</w:t>
      </w:r>
      <w:r w:rsidRPr="005D1807">
        <w:rPr>
          <w:b w:val="0"/>
          <w:bCs/>
          <w:lang w:val="en-US"/>
        </w:rPr>
        <w:t xml:space="preserve">: </w:t>
      </w:r>
    </w:p>
    <w:p w14:paraId="5D86AC0E" w14:textId="77777777" w:rsidR="005D1807" w:rsidRPr="005D1807" w:rsidRDefault="005D1807" w:rsidP="005D1807">
      <w:pPr>
        <w:rPr>
          <w:b w:val="0"/>
          <w:bCs/>
          <w:lang w:val="en-US"/>
        </w:rPr>
      </w:pPr>
    </w:p>
    <w:p w14:paraId="12838209" w14:textId="77777777" w:rsidR="005D1807" w:rsidRPr="0073392C" w:rsidRDefault="005D1807" w:rsidP="005D1807">
      <w:pPr>
        <w:rPr>
          <w:b w:val="0"/>
          <w:bCs/>
          <w:lang w:val="en-US"/>
        </w:rPr>
      </w:pPr>
      <w:r w:rsidRPr="002D6400">
        <w:t>Գծապատկեր</w:t>
      </w:r>
      <w:r w:rsidRPr="0073392C">
        <w:rPr>
          <w:lang w:val="en-US"/>
        </w:rPr>
        <w:t xml:space="preserve"> 1.2.</w:t>
      </w:r>
      <w:r w:rsidRPr="0073392C">
        <w:rPr>
          <w:b w:val="0"/>
          <w:bCs/>
          <w:lang w:val="en-US"/>
        </w:rPr>
        <w:t xml:space="preserve"> </w:t>
      </w:r>
      <w:r w:rsidRPr="005D1807">
        <w:rPr>
          <w:b w:val="0"/>
          <w:bCs/>
        </w:rPr>
        <w:t>Գնաճն</w:t>
      </w:r>
      <w:r w:rsidRPr="0073392C">
        <w:rPr>
          <w:b w:val="0"/>
          <w:bCs/>
          <w:lang w:val="en-US"/>
        </w:rPr>
        <w:t xml:space="preserve"> </w:t>
      </w:r>
      <w:r w:rsidRPr="005D1807">
        <w:rPr>
          <w:b w:val="0"/>
          <w:bCs/>
        </w:rPr>
        <w:t>ու</w:t>
      </w:r>
      <w:r w:rsidRPr="0073392C">
        <w:rPr>
          <w:b w:val="0"/>
          <w:bCs/>
          <w:lang w:val="en-US"/>
        </w:rPr>
        <w:t xml:space="preserve"> </w:t>
      </w:r>
      <w:r w:rsidRPr="005D1807">
        <w:rPr>
          <w:b w:val="0"/>
          <w:bCs/>
        </w:rPr>
        <w:t>դրամավարկային</w:t>
      </w:r>
      <w:r w:rsidRPr="0073392C">
        <w:rPr>
          <w:b w:val="0"/>
          <w:bCs/>
          <w:lang w:val="en-US"/>
        </w:rPr>
        <w:t xml:space="preserve"> </w:t>
      </w:r>
      <w:r w:rsidRPr="005D1807">
        <w:rPr>
          <w:b w:val="0"/>
          <w:bCs/>
        </w:rPr>
        <w:t>քաղաքականության</w:t>
      </w:r>
      <w:r w:rsidRPr="0073392C">
        <w:rPr>
          <w:b w:val="0"/>
          <w:bCs/>
          <w:lang w:val="en-US"/>
        </w:rPr>
        <w:t xml:space="preserve"> </w:t>
      </w:r>
      <w:r w:rsidRPr="005D1807">
        <w:rPr>
          <w:b w:val="0"/>
          <w:bCs/>
        </w:rPr>
        <w:t>արձագանքը</w:t>
      </w:r>
      <w:r w:rsidRPr="0073392C">
        <w:rPr>
          <w:b w:val="0"/>
          <w:bCs/>
          <w:lang w:val="en-US"/>
        </w:rPr>
        <w:t xml:space="preserve"> </w:t>
      </w:r>
      <w:r w:rsidRPr="005D1807">
        <w:rPr>
          <w:b w:val="0"/>
          <w:bCs/>
        </w:rPr>
        <w:t>գործընկեր</w:t>
      </w:r>
      <w:r w:rsidRPr="0073392C">
        <w:rPr>
          <w:b w:val="0"/>
          <w:bCs/>
          <w:lang w:val="en-US"/>
        </w:rPr>
        <w:t xml:space="preserve"> </w:t>
      </w:r>
      <w:r w:rsidRPr="005D1807">
        <w:rPr>
          <w:b w:val="0"/>
          <w:bCs/>
        </w:rPr>
        <w:t>երկրներում</w:t>
      </w:r>
      <w:r w:rsidRPr="005D1807">
        <w:rPr>
          <w:b w:val="0"/>
          <w:bCs/>
        </w:rPr>
        <w:footnoteReference w:id="8"/>
      </w:r>
    </w:p>
    <w:tbl>
      <w:tblPr>
        <w:tblW w:w="9846" w:type="dxa"/>
        <w:jc w:val="center"/>
        <w:tblLook w:val="04A0" w:firstRow="1" w:lastRow="0" w:firstColumn="1" w:lastColumn="0" w:noHBand="0" w:noVBand="1"/>
      </w:tblPr>
      <w:tblGrid>
        <w:gridCol w:w="9846"/>
      </w:tblGrid>
      <w:tr w:rsidR="005D1807" w:rsidRPr="00522278" w14:paraId="33C271F0" w14:textId="77777777" w:rsidTr="00E94C66">
        <w:trPr>
          <w:trHeight w:val="3782"/>
          <w:jc w:val="center"/>
        </w:trPr>
        <w:tc>
          <w:tcPr>
            <w:tcW w:w="9846" w:type="dxa"/>
            <w:shd w:val="clear" w:color="auto" w:fill="auto"/>
          </w:tcPr>
          <w:p w14:paraId="5A204ACA" w14:textId="77777777" w:rsidR="005D1807" w:rsidRPr="00F46689" w:rsidRDefault="005D1807" w:rsidP="005D1807">
            <w:pPr>
              <w:rPr>
                <w:b w:val="0"/>
                <w:bCs/>
                <w:lang w:val="en-US"/>
              </w:rPr>
            </w:pPr>
            <w:r w:rsidRPr="005D1807">
              <w:rPr>
                <w:b w:val="0"/>
                <w:bCs/>
                <w:noProof/>
                <w:lang w:val="en-US" w:eastAsia="en-US"/>
              </w:rPr>
              <w:drawing>
                <wp:inline distT="0" distB="0" distL="0" distR="0" wp14:anchorId="585D257D" wp14:editId="087408F3">
                  <wp:extent cx="3067291" cy="1908000"/>
                  <wp:effectExtent l="0" t="0" r="0" b="16510"/>
                  <wp:docPr id="31"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F46689">
              <w:rPr>
                <w:b w:val="0"/>
                <w:bCs/>
                <w:lang w:val="en-US"/>
              </w:rPr>
              <w:t xml:space="preserve"> </w:t>
            </w:r>
            <w:r w:rsidRPr="005D1807">
              <w:rPr>
                <w:b w:val="0"/>
                <w:bCs/>
                <w:noProof/>
                <w:lang w:val="en-US" w:eastAsia="en-US"/>
              </w:rPr>
              <w:drawing>
                <wp:inline distT="0" distB="0" distL="0" distR="0" wp14:anchorId="66881244" wp14:editId="0D319931">
                  <wp:extent cx="2992755" cy="1908000"/>
                  <wp:effectExtent l="0" t="0" r="17145" b="16510"/>
                  <wp:docPr id="22"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5D1807">
              <w:rPr>
                <w:b w:val="0"/>
                <w:bCs/>
                <w:noProof/>
                <w:lang w:val="en-US" w:eastAsia="en-US"/>
              </w:rPr>
              <w:drawing>
                <wp:inline distT="0" distB="0" distL="0" distR="0" wp14:anchorId="42CEA226" wp14:editId="0C2F723C">
                  <wp:extent cx="6099810" cy="219911"/>
                  <wp:effectExtent l="0" t="0" r="15240" b="8890"/>
                  <wp:docPr id="37"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E21814" w14:textId="77777777" w:rsidR="005D1807" w:rsidRPr="00F46689" w:rsidRDefault="005D1807" w:rsidP="005D1807">
            <w:pPr>
              <w:rPr>
                <w:b w:val="0"/>
                <w:bCs/>
                <w:lang w:val="en-US"/>
              </w:rPr>
            </w:pPr>
            <w:r w:rsidRPr="005D1807">
              <w:rPr>
                <w:b w:val="0"/>
                <w:bCs/>
              </w:rPr>
              <w:t>Աղբյուրը՝</w:t>
            </w:r>
            <w:r w:rsidRPr="00F46689">
              <w:rPr>
                <w:b w:val="0"/>
                <w:bCs/>
                <w:lang w:val="en-US"/>
              </w:rPr>
              <w:t xml:space="preserve"> </w:t>
            </w:r>
            <w:r w:rsidRPr="005D1807">
              <w:rPr>
                <w:b w:val="0"/>
                <w:bCs/>
              </w:rPr>
              <w:t>ԱՄՆ</w:t>
            </w:r>
            <w:r w:rsidRPr="00F46689">
              <w:rPr>
                <w:b w:val="0"/>
                <w:bCs/>
                <w:lang w:val="en-US"/>
              </w:rPr>
              <w:t xml:space="preserve"> </w:t>
            </w:r>
            <w:r w:rsidRPr="005D1807">
              <w:rPr>
                <w:b w:val="0"/>
                <w:bCs/>
              </w:rPr>
              <w:t>ԴՊՀ</w:t>
            </w:r>
            <w:r w:rsidRPr="00F46689">
              <w:rPr>
                <w:b w:val="0"/>
                <w:bCs/>
                <w:lang w:val="en-US"/>
              </w:rPr>
              <w:t xml:space="preserve">, </w:t>
            </w:r>
            <w:r w:rsidRPr="005D1807">
              <w:rPr>
                <w:b w:val="0"/>
                <w:bCs/>
              </w:rPr>
              <w:t>ԵԿԲ</w:t>
            </w:r>
            <w:r w:rsidRPr="00F46689">
              <w:rPr>
                <w:b w:val="0"/>
                <w:bCs/>
                <w:lang w:val="en-US"/>
              </w:rPr>
              <w:t xml:space="preserve">, </w:t>
            </w:r>
            <w:r w:rsidRPr="005D1807">
              <w:rPr>
                <w:b w:val="0"/>
                <w:bCs/>
              </w:rPr>
              <w:t>Չինաստանի</w:t>
            </w:r>
            <w:r w:rsidRPr="00F46689">
              <w:rPr>
                <w:b w:val="0"/>
                <w:bCs/>
                <w:lang w:val="en-US"/>
              </w:rPr>
              <w:t xml:space="preserve"> </w:t>
            </w:r>
            <w:r w:rsidRPr="005D1807">
              <w:rPr>
                <w:b w:val="0"/>
                <w:bCs/>
              </w:rPr>
              <w:t>ժողովրդական</w:t>
            </w:r>
            <w:r w:rsidRPr="00F46689">
              <w:rPr>
                <w:b w:val="0"/>
                <w:bCs/>
                <w:lang w:val="en-US"/>
              </w:rPr>
              <w:t xml:space="preserve"> </w:t>
            </w:r>
            <w:r w:rsidRPr="005D1807">
              <w:rPr>
                <w:b w:val="0"/>
                <w:bCs/>
              </w:rPr>
              <w:t>բանկ</w:t>
            </w:r>
            <w:r w:rsidRPr="00F46689">
              <w:rPr>
                <w:b w:val="0"/>
                <w:bCs/>
                <w:lang w:val="en-US"/>
              </w:rPr>
              <w:t xml:space="preserve">, </w:t>
            </w:r>
            <w:r w:rsidRPr="005D1807">
              <w:rPr>
                <w:b w:val="0"/>
                <w:bCs/>
              </w:rPr>
              <w:t>ՌԴ</w:t>
            </w:r>
            <w:r w:rsidRPr="00F46689">
              <w:rPr>
                <w:b w:val="0"/>
                <w:bCs/>
                <w:lang w:val="en-US"/>
              </w:rPr>
              <w:t xml:space="preserve"> </w:t>
            </w:r>
            <w:r w:rsidRPr="005D1807">
              <w:rPr>
                <w:b w:val="0"/>
                <w:bCs/>
              </w:rPr>
              <w:t>ԿԲ</w:t>
            </w:r>
          </w:p>
        </w:tc>
      </w:tr>
    </w:tbl>
    <w:p w14:paraId="4599C048" w14:textId="77777777" w:rsidR="005D1807" w:rsidRPr="005D1807" w:rsidRDefault="005D1807" w:rsidP="005D1807">
      <w:pPr>
        <w:rPr>
          <w:b w:val="0"/>
          <w:bCs/>
          <w:lang w:val="hy-AM"/>
        </w:rPr>
      </w:pPr>
      <w:r w:rsidRPr="005D1807">
        <w:rPr>
          <w:b w:val="0"/>
          <w:bCs/>
          <w:lang w:val="hy-AM"/>
        </w:rPr>
        <w:t>Եվրոպական կենտրոնական բանկը սեպտեմբերին բարձրացրել է քաղաքականության տոկոսադրույքը 0.25 տոկոսային կետով և սահմանել՝ 4.5%, իսկ ԱՄՆ դաշնային պահուստային համակարգը հուլիսի 0.25 տոկոսային կետ բարձրացումից հետո՝ սեպտեմբեր ամսին քաղաքականության տոկոսադրույքը պահպանել է նույն՝ 5.5% մակարդակում։ Քաղաքականության խստացումը պայմանավորված է այն հանգամանքով, որ չնայած նվազող գնաճին առկա են սպասումներ, որ այն դեռևս երկար ժամանակ կպահպանվի բարձր մակարդակում։</w:t>
      </w:r>
    </w:p>
    <w:p w14:paraId="3672578F" w14:textId="77777777" w:rsidR="005D1807" w:rsidRPr="0073392C" w:rsidRDefault="005D1807" w:rsidP="005D1807">
      <w:pPr>
        <w:rPr>
          <w:b w:val="0"/>
          <w:bCs/>
          <w:lang w:val="hy-AM"/>
        </w:rPr>
      </w:pPr>
      <w:r w:rsidRPr="0073392C">
        <w:rPr>
          <w:lang w:val="hy-AM"/>
        </w:rPr>
        <w:t>Միջազգային գներ</w:t>
      </w:r>
      <w:r w:rsidRPr="00CC7087">
        <w:footnoteReference w:id="9"/>
      </w:r>
      <w:r w:rsidRPr="0073392C">
        <w:rPr>
          <w:lang w:val="hy-AM"/>
        </w:rPr>
        <w:t xml:space="preserve">: 2022թ․ ռուս-ուկրաինական հակամարտության արդյունքում խաթարված արժեշղթաները, որոնք սկսեցին վերականգնվել երրորդ եռամսյակից՝ թուլացրին հումքային և պարենային ապրանաքային շուկաներում առկա գնաճային ճնշումները, մասնավորապես, </w:t>
      </w:r>
      <w:r w:rsidRPr="0073392C">
        <w:rPr>
          <w:lang w:val="hy-AM"/>
        </w:rPr>
        <w:lastRenderedPageBreak/>
        <w:t>նկատվում է  մետաղների և նավթի գների դանդաղ անկում։</w:t>
      </w:r>
      <w:r w:rsidRPr="0073392C">
        <w:rPr>
          <w:b w:val="0"/>
          <w:bCs/>
          <w:lang w:val="hy-AM"/>
        </w:rPr>
        <w:t xml:space="preserve"> 2023թ․ առաջին ութ ամիսներին նախորդ տարվա նույն ժամանակահատվածի նկատմամբ նավթի համաշխարհային գները միջինում նվազել են 23.4%-ով։ Օգոստոս ամսին նավթի գների աճը պայմանավորված է ՕՊԵԿ-ի կողմից արդյունահանման կրճատմամբ՝ հիմնականում, ի հաշիվ Սաուդյան Արաբիայի կողմից օրական 9.3 մլն բարելով նավթի արդյունահանման կրճատման։</w:t>
      </w:r>
    </w:p>
    <w:p w14:paraId="5B95D4C6" w14:textId="77777777" w:rsidR="005D1807" w:rsidRPr="00F46689" w:rsidRDefault="005D1807" w:rsidP="005D1807">
      <w:pPr>
        <w:rPr>
          <w:b w:val="0"/>
          <w:bCs/>
          <w:lang w:val="hy-AM"/>
        </w:rPr>
      </w:pPr>
      <w:r w:rsidRPr="00F46689">
        <w:rPr>
          <w:b w:val="0"/>
          <w:bCs/>
          <w:lang w:val="hy-AM"/>
        </w:rPr>
        <w:t>Պղնձի միջազգային գները նույնպես շարունակել են նվազել։ Այսպիսով, 2023թ․ առաջին ութ ամսիներին նախորդ տարվա նույն ժամանակահատվածի նկատմամբ պղնձի միջազգային գները նվազել են 6.7%-ով՝ օգոստոս ամսին կազմելով 8,349 ԱՄՆ դոլար մեկ տոննայի համար: Մոլիբդենի միջազգային գները փետրվարի կտրուկ աճից հետո նվազել են՝ մարտ ամսին կազմելով 53,149 ԱՄՆ դոլար մեկ տոննայի համար, սակայն 2023թ․ հունվար-օգոստոս ամսիներին նախորդ տարվա նույն ժամանակահատվածի համեմատ եղել են 44%-ով բարձր մակարդակում:</w:t>
      </w:r>
    </w:p>
    <w:p w14:paraId="1E10A93E" w14:textId="77777777" w:rsidR="005D1807" w:rsidRPr="00F46689" w:rsidRDefault="005D1807" w:rsidP="005D1807">
      <w:pPr>
        <w:rPr>
          <w:b w:val="0"/>
          <w:bCs/>
          <w:lang w:val="hy-AM"/>
        </w:rPr>
      </w:pPr>
      <w:r w:rsidRPr="00F46689">
        <w:rPr>
          <w:b w:val="0"/>
          <w:bCs/>
          <w:lang w:val="hy-AM"/>
        </w:rPr>
        <w:t>Պարենի միջազգային գները</w:t>
      </w:r>
      <w:r w:rsidRPr="005D1807">
        <w:rPr>
          <w:b w:val="0"/>
          <w:bCs/>
        </w:rPr>
        <w:footnoteReference w:id="10"/>
      </w:r>
      <w:r w:rsidRPr="00F46689">
        <w:rPr>
          <w:b w:val="0"/>
          <w:bCs/>
          <w:lang w:val="hy-AM"/>
        </w:rPr>
        <w:t xml:space="preserve"> 2023թ․ առաջին ութ ամիսներին շարունակաբար նվազել են․ նախորդ տարվա համապաստասխան ժամանակահատվածի նկատմամբ նվազել են 15.1%-ով՝ պայմանավորված որոշ ապրանքների (միս, կաթնամթերք, հացահատիկ, բուսական յուղեր) միջազգային գների նվազմամբ, ինչպես նաև դրամավարկային քաղաքականության բարձր տոկոսադրույքներով:</w:t>
      </w:r>
    </w:p>
    <w:p w14:paraId="003965ED" w14:textId="77777777" w:rsidR="005D1807" w:rsidRPr="00F46689" w:rsidRDefault="005D1807" w:rsidP="005D1807">
      <w:pPr>
        <w:rPr>
          <w:b w:val="0"/>
          <w:bCs/>
          <w:lang w:val="hy-AM"/>
        </w:rPr>
      </w:pPr>
      <w:r w:rsidRPr="00F46689">
        <w:rPr>
          <w:lang w:val="hy-AM"/>
        </w:rPr>
        <w:t>Գծապատկեր 1.3․</w:t>
      </w:r>
      <w:r w:rsidRPr="00F46689">
        <w:rPr>
          <w:b w:val="0"/>
          <w:bCs/>
          <w:lang w:val="hy-AM"/>
        </w:rPr>
        <w:t xml:space="preserve"> Նավթի, մետաղների և պարենի գների զարգացումներ</w:t>
      </w:r>
    </w:p>
    <w:p w14:paraId="3507E3A1" w14:textId="77777777" w:rsidR="005D1807" w:rsidRPr="005D1807" w:rsidRDefault="005D1807" w:rsidP="005D1807">
      <w:pPr>
        <w:rPr>
          <w:b w:val="0"/>
          <w:bCs/>
        </w:rPr>
      </w:pPr>
      <w:r w:rsidRPr="00F46689">
        <w:rPr>
          <w:b w:val="0"/>
          <w:bCs/>
          <w:lang w:val="hy-AM"/>
        </w:rPr>
        <w:t xml:space="preserve"> </w:t>
      </w:r>
      <w:r w:rsidRPr="005D1807">
        <w:rPr>
          <w:b w:val="0"/>
          <w:bCs/>
          <w:noProof/>
          <w:lang w:val="en-US" w:eastAsia="en-US"/>
        </w:rPr>
        <w:drawing>
          <wp:inline distT="0" distB="0" distL="0" distR="0" wp14:anchorId="133E26E4" wp14:editId="5266AA0E">
            <wp:extent cx="2543175" cy="265747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5D1807">
        <w:rPr>
          <w:b w:val="0"/>
          <w:bCs/>
        </w:rPr>
        <w:t xml:space="preserve">   </w:t>
      </w:r>
      <w:r w:rsidRPr="005D1807">
        <w:rPr>
          <w:b w:val="0"/>
          <w:bCs/>
          <w:noProof/>
          <w:lang w:val="en-US" w:eastAsia="en-US"/>
        </w:rPr>
        <w:drawing>
          <wp:inline distT="0" distB="0" distL="0" distR="0" wp14:anchorId="4796C1E3" wp14:editId="7D990365">
            <wp:extent cx="3071611" cy="2794000"/>
            <wp:effectExtent l="0" t="0" r="14605" b="63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0" w:type="auto"/>
        <w:jc w:val="center"/>
        <w:tblLook w:val="04A0" w:firstRow="1" w:lastRow="0" w:firstColumn="1" w:lastColumn="0" w:noHBand="0" w:noVBand="1"/>
      </w:tblPr>
      <w:tblGrid>
        <w:gridCol w:w="4650"/>
        <w:gridCol w:w="4825"/>
      </w:tblGrid>
      <w:tr w:rsidR="005D1807" w:rsidRPr="005D1807" w14:paraId="3D94385D" w14:textId="77777777" w:rsidTr="00E94C66">
        <w:trPr>
          <w:trHeight w:val="113"/>
          <w:jc w:val="center"/>
        </w:trPr>
        <w:tc>
          <w:tcPr>
            <w:tcW w:w="4650" w:type="dxa"/>
            <w:shd w:val="clear" w:color="auto" w:fill="auto"/>
          </w:tcPr>
          <w:p w14:paraId="0AB4699D" w14:textId="77777777" w:rsidR="005D1807" w:rsidRPr="005D1807" w:rsidRDefault="005D1807" w:rsidP="005D1807">
            <w:pPr>
              <w:rPr>
                <w:rFonts w:eastAsia="Calibri"/>
                <w:b w:val="0"/>
                <w:bCs/>
              </w:rPr>
            </w:pPr>
            <w:r w:rsidRPr="005D1807">
              <w:rPr>
                <w:rFonts w:eastAsia="Calibri"/>
                <w:b w:val="0"/>
                <w:bCs/>
              </w:rPr>
              <w:t>Աղբյուրը՝ Համաշխարհային բանկ</w:t>
            </w:r>
          </w:p>
          <w:p w14:paraId="464470E5" w14:textId="77777777" w:rsidR="005D1807" w:rsidRPr="005D1807" w:rsidRDefault="005D1807" w:rsidP="005D1807">
            <w:pPr>
              <w:rPr>
                <w:rFonts w:eastAsia="Calibri"/>
                <w:b w:val="0"/>
                <w:bCs/>
              </w:rPr>
            </w:pPr>
          </w:p>
        </w:tc>
        <w:tc>
          <w:tcPr>
            <w:tcW w:w="4825" w:type="dxa"/>
            <w:shd w:val="clear" w:color="auto" w:fill="auto"/>
          </w:tcPr>
          <w:p w14:paraId="4AABD842" w14:textId="77777777" w:rsidR="005D1807" w:rsidRPr="005D1807" w:rsidRDefault="005D1807" w:rsidP="005D1807">
            <w:pPr>
              <w:rPr>
                <w:rFonts w:eastAsia="GHEA Grapalat"/>
                <w:b w:val="0"/>
                <w:bCs/>
              </w:rPr>
            </w:pPr>
            <w:r w:rsidRPr="005D1807">
              <w:rPr>
                <w:rFonts w:eastAsia="GHEA Grapalat"/>
                <w:b w:val="0"/>
                <w:bCs/>
              </w:rPr>
              <w:t>Աղբյուրը՝ ՄԱԿ–ի պարենի և գյուղատնտեսության կազմակերպություն</w:t>
            </w:r>
          </w:p>
        </w:tc>
      </w:tr>
    </w:tbl>
    <w:p w14:paraId="7A432033" w14:textId="77777777" w:rsidR="005D1807" w:rsidRPr="005D1807" w:rsidRDefault="005D1807" w:rsidP="005D1807">
      <w:pPr>
        <w:rPr>
          <w:rFonts w:eastAsia="Calibri"/>
          <w:b w:val="0"/>
          <w:bCs/>
        </w:rPr>
      </w:pPr>
    </w:p>
    <w:p w14:paraId="7C372B40" w14:textId="77777777" w:rsidR="005D1807" w:rsidRPr="005D1807" w:rsidRDefault="005D1807" w:rsidP="005D1807">
      <w:pPr>
        <w:rPr>
          <w:rFonts w:eastAsia="Calibri"/>
          <w:b w:val="0"/>
          <w:bCs/>
        </w:rPr>
      </w:pPr>
      <w:r w:rsidRPr="005D1807">
        <w:rPr>
          <w:rFonts w:eastAsia="Calibri"/>
          <w:b w:val="0"/>
          <w:bCs/>
        </w:rPr>
        <w:br w:type="page"/>
      </w:r>
    </w:p>
    <w:p w14:paraId="23FACFD2" w14:textId="77777777" w:rsidR="005D1807" w:rsidRPr="005D1807" w:rsidRDefault="005D1807" w:rsidP="005D1807">
      <w:pPr>
        <w:rPr>
          <w:rFonts w:eastAsia="Calibri"/>
          <w:b w:val="0"/>
          <w:bCs/>
        </w:rPr>
      </w:pPr>
      <w:r w:rsidRPr="005D1807">
        <w:rPr>
          <w:b w:val="0"/>
          <w:bCs/>
        </w:rPr>
        <w:lastRenderedPageBreak/>
        <w:t>Միջազգային տնտեսական և ֆինանսական զարգացումները և կանխատեսումները</w:t>
      </w:r>
    </w:p>
    <w:tbl>
      <w:tblPr>
        <w:tblW w:w="10138" w:type="dxa"/>
        <w:tblInd w:w="-8"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ayout w:type="fixed"/>
        <w:tblLook w:val="04A0" w:firstRow="1" w:lastRow="0" w:firstColumn="1" w:lastColumn="0" w:noHBand="0" w:noVBand="1"/>
      </w:tblPr>
      <w:tblGrid>
        <w:gridCol w:w="5052"/>
        <w:gridCol w:w="5086"/>
      </w:tblGrid>
      <w:tr w:rsidR="005D1807" w:rsidRPr="005D1807" w14:paraId="6BF742C0" w14:textId="77777777" w:rsidTr="00E94C66">
        <w:trPr>
          <w:trHeight w:val="3504"/>
        </w:trPr>
        <w:tc>
          <w:tcPr>
            <w:tcW w:w="5052" w:type="dxa"/>
            <w:tcBorders>
              <w:top w:val="single" w:sz="6" w:space="0" w:color="4F81BD"/>
              <w:left w:val="single" w:sz="6" w:space="0" w:color="4F81BD"/>
              <w:bottom w:val="single" w:sz="6" w:space="0" w:color="4F81BD"/>
              <w:right w:val="single" w:sz="6" w:space="0" w:color="4F81BD"/>
            </w:tcBorders>
            <w:hideMark/>
          </w:tcPr>
          <w:p w14:paraId="68037025" w14:textId="77777777" w:rsidR="005D1807" w:rsidRPr="005D1807" w:rsidRDefault="005D1807" w:rsidP="005D1807">
            <w:pPr>
              <w:rPr>
                <w:b w:val="0"/>
                <w:bCs/>
              </w:rPr>
            </w:pPr>
            <w:r w:rsidRPr="00CC7087">
              <w:rPr>
                <w:noProof/>
                <w:lang w:val="en-US" w:eastAsia="en-US"/>
              </w:rPr>
              <w:drawing>
                <wp:anchor distT="0" distB="0" distL="114300" distR="114300" simplePos="0" relativeHeight="251761664" behindDoc="1" locked="0" layoutInCell="1" allowOverlap="1" wp14:anchorId="7224230A" wp14:editId="6F611F74">
                  <wp:simplePos x="0" y="0"/>
                  <wp:positionH relativeFrom="column">
                    <wp:posOffset>62865</wp:posOffset>
                  </wp:positionH>
                  <wp:positionV relativeFrom="paragraph">
                    <wp:posOffset>338455</wp:posOffset>
                  </wp:positionV>
                  <wp:extent cx="2790000" cy="1965325"/>
                  <wp:effectExtent l="0" t="0" r="10795" b="15875"/>
                  <wp:wrapTight wrapText="bothSides">
                    <wp:wrapPolygon edited="0">
                      <wp:start x="0" y="0"/>
                      <wp:lineTo x="0" y="21565"/>
                      <wp:lineTo x="21536" y="21565"/>
                      <wp:lineTo x="21536" y="0"/>
                      <wp:lineTo x="0" y="0"/>
                    </wp:wrapPolygon>
                  </wp:wrapTight>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CC7087">
              <w:t>Գծապատկեր 1.4.</w:t>
            </w:r>
            <w:r w:rsidRPr="005D1807">
              <w:rPr>
                <w:b w:val="0"/>
                <w:bCs/>
              </w:rPr>
              <w:t xml:space="preserve"> Համաշխարհային և գործընկեր երկրների տնտեսական աճերը (%)</w:t>
            </w:r>
          </w:p>
          <w:p w14:paraId="66F238DF" w14:textId="77777777" w:rsidR="005D1807" w:rsidRPr="005D1807" w:rsidRDefault="005D1807" w:rsidP="005D1807">
            <w:pPr>
              <w:rPr>
                <w:b w:val="0"/>
                <w:bCs/>
              </w:rPr>
            </w:pPr>
            <w:r w:rsidRPr="005D1807">
              <w:rPr>
                <w:b w:val="0"/>
                <w:bCs/>
              </w:rPr>
              <w:t>Աղբյուրը՝ ԱՄՀ</w:t>
            </w:r>
          </w:p>
        </w:tc>
        <w:tc>
          <w:tcPr>
            <w:tcW w:w="5086" w:type="dxa"/>
            <w:tcBorders>
              <w:top w:val="single" w:sz="6" w:space="0" w:color="4F81BD"/>
              <w:left w:val="single" w:sz="6" w:space="0" w:color="4F81BD"/>
              <w:bottom w:val="single" w:sz="6" w:space="0" w:color="4F81BD"/>
              <w:right w:val="single" w:sz="6" w:space="0" w:color="4F81BD"/>
            </w:tcBorders>
            <w:hideMark/>
          </w:tcPr>
          <w:p w14:paraId="757C9F65" w14:textId="77777777" w:rsidR="005D1807" w:rsidRPr="005D1807" w:rsidRDefault="005D1807" w:rsidP="005D1807">
            <w:pPr>
              <w:rPr>
                <w:b w:val="0"/>
                <w:bCs/>
              </w:rPr>
            </w:pPr>
            <w:r w:rsidRPr="00CC7087">
              <w:t>Գծապատկեր 1.5.</w:t>
            </w:r>
            <w:r w:rsidRPr="005D1807">
              <w:rPr>
                <w:b w:val="0"/>
                <w:bCs/>
              </w:rPr>
              <w:t xml:space="preserve"> Հումքային ապրանքների գները (ԱՄՆ դոլար)</w:t>
            </w:r>
          </w:p>
          <w:p w14:paraId="48FBE478" w14:textId="77777777" w:rsidR="005D1807" w:rsidRPr="005D1807" w:rsidRDefault="005D1807" w:rsidP="005D1807">
            <w:pPr>
              <w:rPr>
                <w:b w:val="0"/>
                <w:bCs/>
              </w:rPr>
            </w:pPr>
            <w:r w:rsidRPr="005D1807">
              <w:rPr>
                <w:b w:val="0"/>
                <w:bCs/>
                <w:noProof/>
                <w:lang w:val="en-US" w:eastAsia="en-US"/>
              </w:rPr>
              <w:drawing>
                <wp:inline distT="0" distB="0" distL="0" distR="0" wp14:anchorId="7C00A9D6" wp14:editId="40806AF5">
                  <wp:extent cx="2789555" cy="1965600"/>
                  <wp:effectExtent l="0" t="0" r="10795" b="1587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278B653" w14:textId="77777777" w:rsidR="005D1807" w:rsidRPr="005D1807" w:rsidRDefault="005D1807" w:rsidP="005D1807">
            <w:pPr>
              <w:rPr>
                <w:b w:val="0"/>
                <w:bCs/>
              </w:rPr>
            </w:pPr>
            <w:r w:rsidRPr="005D1807">
              <w:rPr>
                <w:b w:val="0"/>
                <w:bCs/>
              </w:rPr>
              <w:t xml:space="preserve">     Աղբյուրը՝ կանխատեսումները ըստ Բլումբերգի </w:t>
            </w:r>
          </w:p>
        </w:tc>
      </w:tr>
      <w:tr w:rsidR="005D1807" w:rsidRPr="005D1807" w14:paraId="42CFE680" w14:textId="77777777" w:rsidTr="00E94C66">
        <w:trPr>
          <w:trHeight w:val="187"/>
        </w:trPr>
        <w:tc>
          <w:tcPr>
            <w:tcW w:w="5052" w:type="dxa"/>
            <w:tcBorders>
              <w:top w:val="single" w:sz="6" w:space="0" w:color="4F81BD"/>
              <w:left w:val="single" w:sz="6" w:space="0" w:color="4F81BD"/>
              <w:bottom w:val="single" w:sz="6" w:space="0" w:color="4F81BD"/>
              <w:right w:val="single" w:sz="6" w:space="0" w:color="4F81BD"/>
            </w:tcBorders>
            <w:hideMark/>
          </w:tcPr>
          <w:p w14:paraId="07C8AD3A" w14:textId="77777777" w:rsidR="005D1807" w:rsidRPr="005D1807" w:rsidRDefault="005D1807" w:rsidP="005D1807">
            <w:pPr>
              <w:rPr>
                <w:b w:val="0"/>
                <w:bCs/>
              </w:rPr>
            </w:pPr>
            <w:r w:rsidRPr="00CC7087">
              <w:t>Գծապատկեր 1.6.</w:t>
            </w:r>
            <w:r w:rsidRPr="005D1807">
              <w:rPr>
                <w:b w:val="0"/>
                <w:bCs/>
              </w:rPr>
              <w:t xml:space="preserve"> Համաշխարհային առևտրի դոլարային </w:t>
            </w:r>
            <w:proofErr w:type="gramStart"/>
            <w:r w:rsidRPr="005D1807">
              <w:rPr>
                <w:b w:val="0"/>
                <w:bCs/>
              </w:rPr>
              <w:t>աճերը(</w:t>
            </w:r>
            <w:proofErr w:type="gramEnd"/>
            <w:r w:rsidRPr="005D1807">
              <w:rPr>
                <w:b w:val="0"/>
                <w:bCs/>
              </w:rPr>
              <w:t xml:space="preserve">%) </w:t>
            </w:r>
          </w:p>
          <w:p w14:paraId="38AA3CA6" w14:textId="77777777" w:rsidR="005D1807" w:rsidRPr="005D1807" w:rsidRDefault="005D1807" w:rsidP="005D1807">
            <w:pPr>
              <w:rPr>
                <w:b w:val="0"/>
                <w:bCs/>
              </w:rPr>
            </w:pPr>
            <w:r w:rsidRPr="005D1807">
              <w:rPr>
                <w:b w:val="0"/>
                <w:bCs/>
                <w:noProof/>
                <w:lang w:val="en-US" w:eastAsia="en-US"/>
              </w:rPr>
              <w:drawing>
                <wp:anchor distT="0" distB="0" distL="114300" distR="114300" simplePos="0" relativeHeight="251760640" behindDoc="1" locked="0" layoutInCell="1" allowOverlap="1" wp14:anchorId="1994085B" wp14:editId="5F114C3F">
                  <wp:simplePos x="0" y="0"/>
                  <wp:positionH relativeFrom="column">
                    <wp:posOffset>-5080</wp:posOffset>
                  </wp:positionH>
                  <wp:positionV relativeFrom="paragraph">
                    <wp:posOffset>181610</wp:posOffset>
                  </wp:positionV>
                  <wp:extent cx="2790000" cy="1965600"/>
                  <wp:effectExtent l="0" t="0" r="10795" b="15875"/>
                  <wp:wrapTight wrapText="bothSides">
                    <wp:wrapPolygon edited="0">
                      <wp:start x="0" y="0"/>
                      <wp:lineTo x="0" y="21565"/>
                      <wp:lineTo x="21536" y="21565"/>
                      <wp:lineTo x="21536" y="0"/>
                      <wp:lineTo x="0" y="0"/>
                    </wp:wrapPolygon>
                  </wp:wrapTight>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75E57715" w14:textId="77777777" w:rsidR="005D1807" w:rsidRPr="005D1807" w:rsidRDefault="005D1807" w:rsidP="005D1807">
            <w:pPr>
              <w:rPr>
                <w:b w:val="0"/>
                <w:bCs/>
              </w:rPr>
            </w:pPr>
            <w:r w:rsidRPr="005D1807">
              <w:rPr>
                <w:b w:val="0"/>
                <w:bCs/>
              </w:rPr>
              <w:t>Աղբյուրը՝ ԱՄՀ</w:t>
            </w:r>
          </w:p>
        </w:tc>
        <w:tc>
          <w:tcPr>
            <w:tcW w:w="5086" w:type="dxa"/>
            <w:tcBorders>
              <w:top w:val="single" w:sz="6" w:space="0" w:color="4F81BD"/>
              <w:left w:val="single" w:sz="6" w:space="0" w:color="4F81BD"/>
              <w:bottom w:val="single" w:sz="6" w:space="0" w:color="4F81BD"/>
              <w:right w:val="single" w:sz="6" w:space="0" w:color="4F81BD"/>
            </w:tcBorders>
          </w:tcPr>
          <w:p w14:paraId="7F16451B" w14:textId="77777777" w:rsidR="005D1807" w:rsidRPr="005D1807" w:rsidRDefault="005D1807" w:rsidP="005D1807">
            <w:pPr>
              <w:rPr>
                <w:b w:val="0"/>
                <w:bCs/>
              </w:rPr>
            </w:pPr>
            <w:r w:rsidRPr="00CC7087">
              <w:t>Գծապատկեր 1.7.</w:t>
            </w:r>
            <w:r w:rsidRPr="005D1807">
              <w:rPr>
                <w:b w:val="0"/>
                <w:bCs/>
              </w:rPr>
              <w:t xml:space="preserve"> Զարգացող երկրների ազգային արժույթների դոլարի նկատմամբ փոփոխությունները</w:t>
            </w:r>
            <w:r w:rsidRPr="005D1807">
              <w:rPr>
                <w:b w:val="0"/>
                <w:bCs/>
              </w:rPr>
              <w:footnoteReference w:id="11"/>
            </w:r>
          </w:p>
          <w:p w14:paraId="14660CFB" w14:textId="77777777" w:rsidR="005D1807" w:rsidRPr="005D1807" w:rsidRDefault="005D1807" w:rsidP="005D1807">
            <w:pPr>
              <w:rPr>
                <w:b w:val="0"/>
                <w:bCs/>
              </w:rPr>
            </w:pPr>
            <w:r w:rsidRPr="005D1807">
              <w:rPr>
                <w:b w:val="0"/>
                <w:bCs/>
                <w:noProof/>
                <w:lang w:val="en-US" w:eastAsia="en-US"/>
              </w:rPr>
              <w:drawing>
                <wp:anchor distT="0" distB="0" distL="114300" distR="114300" simplePos="0" relativeHeight="251762688" behindDoc="1" locked="0" layoutInCell="1" allowOverlap="1" wp14:anchorId="35A6E7C7" wp14:editId="5F167D6E">
                  <wp:simplePos x="0" y="0"/>
                  <wp:positionH relativeFrom="margin">
                    <wp:posOffset>145415</wp:posOffset>
                  </wp:positionH>
                  <wp:positionV relativeFrom="paragraph">
                    <wp:posOffset>182245</wp:posOffset>
                  </wp:positionV>
                  <wp:extent cx="2789555" cy="1965600"/>
                  <wp:effectExtent l="0" t="0" r="10795" b="15875"/>
                  <wp:wrapTight wrapText="bothSides">
                    <wp:wrapPolygon edited="0">
                      <wp:start x="0" y="0"/>
                      <wp:lineTo x="0" y="21565"/>
                      <wp:lineTo x="21536" y="21565"/>
                      <wp:lineTo x="21536" y="0"/>
                      <wp:lineTo x="0" y="0"/>
                    </wp:wrapPolygon>
                  </wp:wrapTight>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2A0CA984" w14:textId="77777777" w:rsidR="005D1807" w:rsidRPr="005D1807" w:rsidRDefault="005D1807" w:rsidP="005D1807">
            <w:pPr>
              <w:rPr>
                <w:b w:val="0"/>
                <w:bCs/>
              </w:rPr>
            </w:pPr>
            <w:r w:rsidRPr="005D1807">
              <w:rPr>
                <w:b w:val="0"/>
                <w:bCs/>
              </w:rPr>
              <w:t xml:space="preserve">     Աղբյուրը՝ Բլումբերգ, ՀՀ ԿԲ, ՀՀ ՖՆ հաշվարկներ</w:t>
            </w:r>
          </w:p>
        </w:tc>
      </w:tr>
      <w:tr w:rsidR="005D1807" w:rsidRPr="005D1807" w14:paraId="10381F13" w14:textId="77777777" w:rsidTr="00E94C66">
        <w:trPr>
          <w:trHeight w:val="52"/>
        </w:trPr>
        <w:tc>
          <w:tcPr>
            <w:tcW w:w="5052" w:type="dxa"/>
            <w:tcBorders>
              <w:top w:val="single" w:sz="6" w:space="0" w:color="4F81BD"/>
              <w:left w:val="single" w:sz="6" w:space="0" w:color="4F81BD"/>
              <w:bottom w:val="single" w:sz="6" w:space="0" w:color="4F81BD"/>
              <w:right w:val="single" w:sz="6" w:space="0" w:color="4F81BD"/>
            </w:tcBorders>
            <w:hideMark/>
          </w:tcPr>
          <w:p w14:paraId="3CCA8328" w14:textId="77777777" w:rsidR="005D1807" w:rsidRPr="005D1807" w:rsidRDefault="005D1807" w:rsidP="005D1807">
            <w:pPr>
              <w:rPr>
                <w:b w:val="0"/>
                <w:bCs/>
                <w:lang w:val="hy-AM"/>
              </w:rPr>
            </w:pPr>
            <w:r w:rsidRPr="005D1807">
              <w:rPr>
                <w:b w:val="0"/>
                <w:bCs/>
                <w:lang w:val="hy-AM"/>
              </w:rPr>
              <w:t xml:space="preserve">Գծապատկեր 1.8. Գործընկեր երկրների բաժնետոմսերի շուկաների ինդեքսները  </w:t>
            </w:r>
          </w:p>
          <w:p w14:paraId="40167A63" w14:textId="77777777" w:rsidR="005D1807" w:rsidRPr="005D1807" w:rsidRDefault="005D1807" w:rsidP="005D1807">
            <w:pPr>
              <w:rPr>
                <w:b w:val="0"/>
                <w:bCs/>
              </w:rPr>
            </w:pPr>
            <w:r w:rsidRPr="005D1807">
              <w:rPr>
                <w:b w:val="0"/>
                <w:bCs/>
                <w:noProof/>
                <w:lang w:val="en-US" w:eastAsia="en-US"/>
              </w:rPr>
              <w:lastRenderedPageBreak/>
              <w:drawing>
                <wp:inline distT="0" distB="0" distL="0" distR="0" wp14:anchorId="7CD6D161" wp14:editId="582B7012">
                  <wp:extent cx="2790000" cy="1965600"/>
                  <wp:effectExtent l="0" t="0" r="10795" b="1587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61EE2C" w14:textId="77777777" w:rsidR="005D1807" w:rsidRPr="005D1807" w:rsidRDefault="005D1807" w:rsidP="005D1807">
            <w:pPr>
              <w:rPr>
                <w:b w:val="0"/>
                <w:bCs/>
              </w:rPr>
            </w:pPr>
            <w:r w:rsidRPr="005D1807">
              <w:rPr>
                <w:b w:val="0"/>
                <w:bCs/>
              </w:rPr>
              <w:t>Աղբյուրը՝ Բլումբերգ, ՀՀ ՖՆ հաշվարկներ</w:t>
            </w:r>
          </w:p>
        </w:tc>
        <w:tc>
          <w:tcPr>
            <w:tcW w:w="5086" w:type="dxa"/>
            <w:tcBorders>
              <w:top w:val="single" w:sz="6" w:space="0" w:color="4F81BD"/>
              <w:left w:val="single" w:sz="6" w:space="0" w:color="4F81BD"/>
              <w:bottom w:val="single" w:sz="6" w:space="0" w:color="4F81BD"/>
              <w:right w:val="single" w:sz="6" w:space="0" w:color="4F81BD"/>
            </w:tcBorders>
          </w:tcPr>
          <w:p w14:paraId="7CFAEF63" w14:textId="77777777" w:rsidR="005D1807" w:rsidRPr="005D1807" w:rsidRDefault="005D1807" w:rsidP="005D1807">
            <w:pPr>
              <w:rPr>
                <w:b w:val="0"/>
                <w:bCs/>
              </w:rPr>
            </w:pPr>
            <w:r w:rsidRPr="005D1807">
              <w:rPr>
                <w:b w:val="0"/>
                <w:bCs/>
              </w:rPr>
              <w:lastRenderedPageBreak/>
              <w:t>Գծապատկեր 1.9. Զարգացող երկրների ռիսկի հավելավճարները</w:t>
            </w:r>
            <w:r w:rsidRPr="005D1807">
              <w:rPr>
                <w:b w:val="0"/>
                <w:bCs/>
              </w:rPr>
              <w:footnoteReference w:id="12"/>
            </w:r>
            <w:r w:rsidRPr="005D1807">
              <w:rPr>
                <w:b w:val="0"/>
                <w:bCs/>
              </w:rPr>
              <w:t xml:space="preserve"> </w:t>
            </w:r>
          </w:p>
          <w:p w14:paraId="41BEAE43" w14:textId="77777777" w:rsidR="005D1807" w:rsidRPr="005D1807" w:rsidRDefault="005D1807" w:rsidP="005D1807">
            <w:pPr>
              <w:rPr>
                <w:b w:val="0"/>
                <w:bCs/>
              </w:rPr>
            </w:pPr>
            <w:r w:rsidRPr="005D1807">
              <w:rPr>
                <w:b w:val="0"/>
                <w:bCs/>
                <w:noProof/>
                <w:lang w:val="en-US" w:eastAsia="en-US"/>
              </w:rPr>
              <w:lastRenderedPageBreak/>
              <w:drawing>
                <wp:inline distT="0" distB="0" distL="0" distR="0" wp14:anchorId="157749DE" wp14:editId="1C598FA2">
                  <wp:extent cx="3077155" cy="1965325"/>
                  <wp:effectExtent l="0" t="0" r="9525" b="1587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301F93" w14:textId="77777777" w:rsidR="005D1807" w:rsidRPr="005D1807" w:rsidRDefault="005D1807" w:rsidP="005D1807">
            <w:pPr>
              <w:rPr>
                <w:b w:val="0"/>
                <w:bCs/>
              </w:rPr>
            </w:pPr>
            <w:r w:rsidRPr="005D1807">
              <w:rPr>
                <w:b w:val="0"/>
                <w:bCs/>
              </w:rPr>
              <w:t>Աղբյուրը՝ Բլումբերգ</w:t>
            </w:r>
          </w:p>
        </w:tc>
      </w:tr>
    </w:tbl>
    <w:p w14:paraId="540CD91E" w14:textId="77777777" w:rsidR="005D1807" w:rsidRPr="005D1807" w:rsidRDefault="005D1807" w:rsidP="005D1807">
      <w:pPr>
        <w:rPr>
          <w:rFonts w:eastAsia="Calibri"/>
          <w:b w:val="0"/>
          <w:bCs/>
        </w:rPr>
      </w:pPr>
      <w:r w:rsidRPr="00CC7087">
        <w:rPr>
          <w:rFonts w:eastAsia="Calibri"/>
        </w:rPr>
        <w:lastRenderedPageBreak/>
        <w:t>Կանխատեսում.</w:t>
      </w:r>
      <w:r w:rsidRPr="005D1807">
        <w:rPr>
          <w:rFonts w:eastAsia="Calibri"/>
          <w:b w:val="0"/>
          <w:bCs/>
        </w:rPr>
        <w:t xml:space="preserve"> Ըստ «Բլումբերգ» միջազգային հեղինակավոր </w:t>
      </w:r>
      <w:proofErr w:type="gramStart"/>
      <w:r w:rsidRPr="005D1807">
        <w:rPr>
          <w:rFonts w:eastAsia="Calibri"/>
          <w:b w:val="0"/>
          <w:bCs/>
        </w:rPr>
        <w:t>կազմակերպության  կանխատեսումների</w:t>
      </w:r>
      <w:proofErr w:type="gramEnd"/>
      <w:r w:rsidRPr="005D1807">
        <w:rPr>
          <w:rFonts w:eastAsia="Calibri"/>
          <w:b w:val="0"/>
          <w:bCs/>
        </w:rPr>
        <w:t xml:space="preserve"> 2023թ. նավթի միջազգային գները կնվազեն 17.8 %-ով, իսկ պղնձինը գները 3.6%-ով: 2024թ. նավթի և պղնձի գները կնվազեն համապատասխանաբար՝ 0.9% և 1.8%-ով:</w:t>
      </w:r>
    </w:p>
    <w:p w14:paraId="0BF23D1A" w14:textId="77777777" w:rsidR="005D1807" w:rsidRPr="005D1807" w:rsidRDefault="005D1807" w:rsidP="005D1807">
      <w:pPr>
        <w:rPr>
          <w:rFonts w:eastAsia="Calibri"/>
          <w:b w:val="0"/>
          <w:bCs/>
        </w:rPr>
      </w:pPr>
      <w:r w:rsidRPr="00CC7087">
        <w:rPr>
          <w:rFonts w:eastAsia="Calibri"/>
        </w:rPr>
        <w:t>Միջազգային ապրանքային, արժութային և ֆինանսական շուկաները էական տատանումների են ենթարկվում:</w:t>
      </w:r>
      <w:r w:rsidRPr="005D1807">
        <w:rPr>
          <w:rFonts w:eastAsia="Calibri"/>
          <w:b w:val="0"/>
          <w:bCs/>
        </w:rPr>
        <w:t xml:space="preserve"> Համաշխարհային առևտրի տեմպերը էապես դանդաղել են, իսկ ֆինանսական շուկաներում նկատվում են բաժնետոմսերի գների վերականգնում: Զարգացող երկրների արժույթները վերականգնման միտում ունեն, մինչդեռ ռուսական ռուբլին ԱՄՆ դոլարի նկատմամբ շարունակում է արժեզրկվել: Այս պայմաններում, զարգացող երկրների, այդ թվում տարածաշրջանի երկրների ռիսկի հավելավճարները նվազում են:</w:t>
      </w:r>
    </w:p>
    <w:p w14:paraId="671EC2D1" w14:textId="77777777" w:rsidR="005D1807" w:rsidRPr="005D1807" w:rsidRDefault="005D1807" w:rsidP="005D1807">
      <w:pPr>
        <w:rPr>
          <w:rFonts w:eastAsia="Calibri"/>
          <w:b w:val="0"/>
          <w:bCs/>
        </w:rPr>
      </w:pPr>
    </w:p>
    <w:p w14:paraId="2224CADB" w14:textId="77777777" w:rsidR="005D1807" w:rsidRPr="00CC7087" w:rsidRDefault="005D1807" w:rsidP="00CC7087">
      <w:pPr>
        <w:keepNext/>
        <w:keepLines/>
        <w:spacing w:before="0"/>
        <w:outlineLvl w:val="2"/>
        <w:rPr>
          <w:rFonts w:eastAsiaTheme="majorEastAsia" w:cstheme="majorBidi"/>
          <w:bCs/>
          <w:color w:val="1F497D" w:themeColor="text2"/>
          <w:sz w:val="24"/>
          <w:lang w:val="hy-AM" w:eastAsia="en-US"/>
        </w:rPr>
      </w:pPr>
      <w:bookmarkStart w:id="39" w:name="_Toc146911024"/>
      <w:bookmarkStart w:id="40" w:name="_Toc153184463"/>
      <w:bookmarkStart w:id="41" w:name="_Toc165901454"/>
      <w:r w:rsidRPr="00CC7087">
        <w:rPr>
          <w:rFonts w:eastAsiaTheme="majorEastAsia" w:cstheme="majorBidi"/>
          <w:bCs/>
          <w:color w:val="1F497D" w:themeColor="text2"/>
          <w:sz w:val="24"/>
          <w:lang w:val="hy-AM" w:eastAsia="en-US"/>
        </w:rPr>
        <w:t>1.3. ՀՀ ՄԱԿՐՈՏՆՏԵՍԱԿԱՆ ԶԱՐԳԱՑՈՒՄՆԵՐ ԵՎ ԿԱՆԽԱՏԵՍՈՒՄՆԵՐ</w:t>
      </w:r>
      <w:bookmarkEnd w:id="34"/>
      <w:bookmarkEnd w:id="35"/>
      <w:bookmarkEnd w:id="36"/>
      <w:bookmarkEnd w:id="37"/>
      <w:bookmarkEnd w:id="39"/>
      <w:bookmarkEnd w:id="40"/>
      <w:bookmarkEnd w:id="41"/>
    </w:p>
    <w:p w14:paraId="788701DB" w14:textId="77777777" w:rsidR="005D1807" w:rsidRPr="00CC7087" w:rsidRDefault="005D1807" w:rsidP="00CC7087">
      <w:pPr>
        <w:spacing w:before="0" w:line="240" w:lineRule="auto"/>
        <w:jc w:val="left"/>
        <w:rPr>
          <w:rFonts w:eastAsiaTheme="majorEastAsia" w:cstheme="majorBidi"/>
          <w:bCs/>
          <w:color w:val="1F497D" w:themeColor="text2"/>
          <w:sz w:val="24"/>
          <w:lang w:val="hy-AM" w:eastAsia="en-US"/>
        </w:rPr>
      </w:pPr>
      <w:bookmarkStart w:id="42" w:name="_Toc45705385"/>
      <w:bookmarkStart w:id="43" w:name="_Toc51360523"/>
      <w:r w:rsidRPr="00CC7087">
        <w:rPr>
          <w:rFonts w:eastAsiaTheme="majorEastAsia" w:cstheme="majorBidi"/>
          <w:bCs/>
          <w:color w:val="1F497D" w:themeColor="text2"/>
          <w:sz w:val="24"/>
          <w:lang w:val="hy-AM" w:eastAsia="en-US"/>
        </w:rPr>
        <w:t>1.3.1. ՀՆԱ և տնտեսական աճ</w:t>
      </w:r>
      <w:bookmarkEnd w:id="42"/>
      <w:bookmarkEnd w:id="43"/>
    </w:p>
    <w:p w14:paraId="6E5F27A4" w14:textId="77777777" w:rsidR="005D1807" w:rsidRPr="0073392C" w:rsidRDefault="005D1807" w:rsidP="005D1807">
      <w:pPr>
        <w:rPr>
          <w:b w:val="0"/>
          <w:bCs/>
          <w:lang w:val="hy-AM"/>
        </w:rPr>
      </w:pPr>
      <w:bookmarkStart w:id="44" w:name="_Toc51360524"/>
      <w:r w:rsidRPr="0073392C">
        <w:rPr>
          <w:lang w:val="hy-AM"/>
        </w:rPr>
        <w:t>2021թ. տնտեսության վերականգնման տեմպերը` 2022թ. փետրվարի վերջերից սկիզբ առած ռուս-ուկրաինական հակամարտության և Ռուսաստանի դեմ կիրառված պատժամիջոցների հետևանքով դեպի Հայաստան մարդկանց ներհոսքի, զբոսաշրջության զգալի ավելացման, տեղեկատվական տեխնոլոգիաների ոլորտի ընկերությունների ՀՀ տեղափոխման, ինչպես նաև ՀՀ-ից դեպի Ռուսաստան արտահանման պահանջարկի ավելացման արդյունքում արագացան՝ 2022թ. գրանցելով 12.6% տնտեսական աճ։</w:t>
      </w:r>
      <w:r w:rsidRPr="0073392C">
        <w:rPr>
          <w:b w:val="0"/>
          <w:bCs/>
          <w:lang w:val="hy-AM"/>
        </w:rPr>
        <w:t xml:space="preserve"> Տնտեսական աճին հիմնականում նպաստել է ծառայությունների ճյուղը (նպաստումը՝ 9.4 տոկոսային կետ)։ Մյուս ճյուղերը (բացառությամբ գյուղատնտեսության) նույնպես նպաստել են տնտեսական աճին։ Պահանջարկի տեսանկյունից աճին նպաստել են ինչպես ներքին (պայմանավորված հիմնականում մասնավոր սպառման և մասնավոր ներդրումների աճով), այնպես էլ արտաքին պահանջարկը (հիմնականում պայմանավորված ծառայությունների արտահանմամբ)։</w:t>
      </w:r>
    </w:p>
    <w:p w14:paraId="5380ACCC" w14:textId="77777777" w:rsidR="005D1807" w:rsidRPr="00F46689" w:rsidRDefault="005D1807" w:rsidP="005D1807">
      <w:pPr>
        <w:rPr>
          <w:b w:val="0"/>
          <w:bCs/>
          <w:lang w:val="hy-AM"/>
        </w:rPr>
      </w:pPr>
      <w:r w:rsidRPr="00F46689">
        <w:rPr>
          <w:lang w:val="hy-AM"/>
        </w:rPr>
        <w:t>Տնտեսական աճի բարձր տեմպերը շարունակվել են նաև 2023թ.՝ իրենց վրա կրելով դեռևս նախորդ տարվանից ՀՀ տնտեսության համար ձևավորված նպաստավոր գործոնների ազդեցությունը։ Արդյունքում առաջին կիսամյակում գրանցվել է 10․5% տնտեսական աճ։</w:t>
      </w:r>
      <w:r w:rsidRPr="00F46689">
        <w:rPr>
          <w:b w:val="0"/>
          <w:bCs/>
          <w:lang w:val="hy-AM"/>
        </w:rPr>
        <w:t xml:space="preserve"> Տնտեսության բոլոր ճյուղերը (բացառությամբ՝ գյուղատնտեսության) աճել են, սակայն տնտեսական աճը պայմանավորված է եղել հիմնականում ծառայությունների աճով (նպաստումը՝ 7.7 տոկոսային կետ)։ Ծառայությունների բարձր աճը (13․4%) պայմանավորված է եղել հիմնականում տեղեկատվություն և կապ (63.1%) ու առևտուր (22․8%) ենթաճյուղերի աճերով։ </w:t>
      </w:r>
      <w:r w:rsidRPr="00F46689">
        <w:rPr>
          <w:b w:val="0"/>
          <w:bCs/>
          <w:lang w:val="hy-AM"/>
        </w:rPr>
        <w:lastRenderedPageBreak/>
        <w:t xml:space="preserve">Բարձր աճեր են գրանցվել նաև կացության և հանրային սննդի կազմակերպում (32․3%), փոխադրումներ և պահեստային տնտեսություն (24․6%), ինչպես նաև մշակույթ, զվարճություններ և հանգիստ (18․3%) ենթաճյուղերում։ </w:t>
      </w:r>
    </w:p>
    <w:tbl>
      <w:tblPr>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4838"/>
        <w:gridCol w:w="4909"/>
      </w:tblGrid>
      <w:tr w:rsidR="005D1807" w:rsidRPr="005D1807" w14:paraId="7A34A6B7" w14:textId="77777777" w:rsidTr="00E94C66">
        <w:trPr>
          <w:trHeight w:val="3430"/>
        </w:trPr>
        <w:tc>
          <w:tcPr>
            <w:tcW w:w="4963" w:type="dxa"/>
          </w:tcPr>
          <w:p w14:paraId="0A71EF72" w14:textId="77777777" w:rsidR="005D1807" w:rsidRPr="00F46689" w:rsidRDefault="005D1807" w:rsidP="005D1807">
            <w:pPr>
              <w:rPr>
                <w:rFonts w:eastAsia="Calibri"/>
                <w:b w:val="0"/>
                <w:bCs/>
                <w:lang w:val="hy-AM"/>
              </w:rPr>
            </w:pPr>
            <w:r w:rsidRPr="00F46689">
              <w:rPr>
                <w:rFonts w:eastAsia="Calibri"/>
                <w:lang w:val="hy-AM"/>
              </w:rPr>
              <w:t>Գծապատկեր 1.11</w:t>
            </w:r>
            <w:r w:rsidRPr="00F46689">
              <w:rPr>
                <w:rFonts w:eastAsia="Calibri"/>
                <w:b w:val="0"/>
                <w:bCs/>
                <w:lang w:val="hy-AM"/>
              </w:rPr>
              <w:t>. ՀՆԱ աճ (%) և ճյուղերի նպաստում- ները ՀՆԱ աճին (տ.կ.)</w:t>
            </w:r>
          </w:p>
          <w:p w14:paraId="4FFB9A04" w14:textId="77777777" w:rsidR="005D1807" w:rsidRPr="005D1807" w:rsidRDefault="005D1807" w:rsidP="005D1807">
            <w:pPr>
              <w:rPr>
                <w:b w:val="0"/>
                <w:bCs/>
              </w:rPr>
            </w:pPr>
            <w:r w:rsidRPr="005D1807">
              <w:rPr>
                <w:b w:val="0"/>
                <w:bCs/>
                <w:noProof/>
                <w:lang w:val="en-US" w:eastAsia="en-US"/>
              </w:rPr>
              <w:drawing>
                <wp:inline distT="0" distB="0" distL="0" distR="0" wp14:anchorId="32E8065B" wp14:editId="0A4895FF">
                  <wp:extent cx="2903855" cy="1781092"/>
                  <wp:effectExtent l="0" t="0" r="10795" b="10160"/>
                  <wp:docPr id="68" name="Chart 68">
                    <a:extLst xmlns:a="http://schemas.openxmlformats.org/drawingml/2006/main">
                      <a:ext uri="{FF2B5EF4-FFF2-40B4-BE49-F238E27FC236}">
                        <a16:creationId xmlns:a16="http://schemas.microsoft.com/office/drawing/2014/main" id="{B706C3B2-915B-4C24-A125-9A8A708CD2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506EBD" w14:textId="77777777" w:rsidR="005D1807" w:rsidRPr="005D1807" w:rsidRDefault="005D1807" w:rsidP="005D1807">
            <w:pPr>
              <w:rPr>
                <w:rFonts w:eastAsia="Calibri"/>
                <w:b w:val="0"/>
                <w:bCs/>
              </w:rPr>
            </w:pPr>
            <w:r w:rsidRPr="005D1807">
              <w:rPr>
                <w:rFonts w:eastAsia="Calibri"/>
                <w:b w:val="0"/>
                <w:bCs/>
              </w:rPr>
              <w:t xml:space="preserve">Աղբյուրը՝ ՀՀ ՎԿ, ՀՀ ՖՆ հաշվարկներ </w:t>
            </w:r>
          </w:p>
        </w:tc>
        <w:tc>
          <w:tcPr>
            <w:tcW w:w="4963" w:type="dxa"/>
          </w:tcPr>
          <w:p w14:paraId="62B4EF9F" w14:textId="77777777" w:rsidR="005D1807" w:rsidRPr="005D1807" w:rsidRDefault="005D1807" w:rsidP="005D1807">
            <w:pPr>
              <w:rPr>
                <w:rFonts w:eastAsia="Calibri"/>
                <w:b w:val="0"/>
                <w:bCs/>
              </w:rPr>
            </w:pPr>
            <w:r w:rsidRPr="00CC7087">
              <w:rPr>
                <w:rFonts w:eastAsia="Calibri"/>
              </w:rPr>
              <w:t>Գծապատկեր 1.12.</w:t>
            </w:r>
            <w:r w:rsidRPr="005D1807">
              <w:rPr>
                <w:rFonts w:eastAsia="Calibri"/>
                <w:b w:val="0"/>
                <w:bCs/>
              </w:rPr>
              <w:t xml:space="preserve"> ՀՆԱ աճ (%) և պահանջարկի բաղա- դրիչների նպաստումները ՀՆԱ աճին (տ.կ.)</w:t>
            </w:r>
          </w:p>
          <w:p w14:paraId="525991FC" w14:textId="77777777" w:rsidR="005D1807" w:rsidRPr="005D1807" w:rsidRDefault="005D1807" w:rsidP="005D1807">
            <w:pPr>
              <w:rPr>
                <w:rFonts w:eastAsia="Calibri"/>
                <w:b w:val="0"/>
                <w:bCs/>
              </w:rPr>
            </w:pPr>
            <w:r w:rsidRPr="005D1807">
              <w:rPr>
                <w:b w:val="0"/>
                <w:bCs/>
                <w:noProof/>
                <w:lang w:val="en-US" w:eastAsia="en-US"/>
              </w:rPr>
              <w:drawing>
                <wp:inline distT="0" distB="0" distL="0" distR="0" wp14:anchorId="1DAF0F50" wp14:editId="5FEB21F7">
                  <wp:extent cx="2962275" cy="1780540"/>
                  <wp:effectExtent l="0" t="0" r="9525" b="10160"/>
                  <wp:docPr id="40" name="Chart 40">
                    <a:extLst xmlns:a="http://schemas.openxmlformats.org/drawingml/2006/main">
                      <a:ext uri="{FF2B5EF4-FFF2-40B4-BE49-F238E27FC236}">
                        <a16:creationId xmlns:a16="http://schemas.microsoft.com/office/drawing/2014/main" id="{9315E2B3-D3AE-476A-B7C4-ACF3898E8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425E9E" w14:textId="77777777" w:rsidR="005D1807" w:rsidRPr="005D1807" w:rsidRDefault="005D1807" w:rsidP="005D1807">
            <w:pPr>
              <w:rPr>
                <w:rFonts w:eastAsia="Calibri"/>
                <w:b w:val="0"/>
                <w:bCs/>
              </w:rPr>
            </w:pPr>
            <w:r w:rsidRPr="005D1807">
              <w:rPr>
                <w:rFonts w:eastAsia="Calibri"/>
                <w:b w:val="0"/>
                <w:bCs/>
              </w:rPr>
              <w:t>Աղբյուրը՝ ՀՀ ՎԿ, ՀՀ ՖՆ հաշվարկներ</w:t>
            </w:r>
          </w:p>
        </w:tc>
      </w:tr>
    </w:tbl>
    <w:p w14:paraId="5092B1C7" w14:textId="77777777" w:rsidR="00D51898" w:rsidRDefault="00D51898" w:rsidP="005D1807">
      <w:pPr>
        <w:rPr>
          <w:b w:val="0"/>
          <w:bCs/>
          <w:lang w:val="hy-AM"/>
        </w:rPr>
      </w:pPr>
    </w:p>
    <w:p w14:paraId="50ECBA15" w14:textId="120E7B09" w:rsidR="005D1807" w:rsidRPr="005D1807" w:rsidRDefault="005D1807" w:rsidP="005D1807">
      <w:pPr>
        <w:rPr>
          <w:b w:val="0"/>
          <w:bCs/>
          <w:lang w:val="hy-AM"/>
        </w:rPr>
      </w:pPr>
      <w:r w:rsidRPr="005D1807">
        <w:rPr>
          <w:b w:val="0"/>
          <w:bCs/>
          <w:lang w:val="hy-AM"/>
        </w:rPr>
        <w:t>Հունիս ամսից տնտեսական ակտիվությունը փոքր-ինչ դանդաղել է՝ պայմանավորված հիմնականում ծառայությունների աճի տեմպի դանդաղմամբ և արդյունաբերության նվազմամբ։ Արդյունքում 2023թ. հունվար-հուլիսին արձանագրվել է տնտեսական ակտիվության (ՏԱՑ) 10.4% աճ, ինչը պայմանավորված էր հիմնականում ծառայությունների և առևտրի աճերով (համապատասխանաբար՝ 5․0 և 2․9 տոկոսային կետ</w:t>
      </w:r>
      <w:r w:rsidRPr="005D1807">
        <w:rPr>
          <w:b w:val="0"/>
          <w:bCs/>
        </w:rPr>
        <w:footnoteReference w:id="13"/>
      </w:r>
      <w:r w:rsidRPr="005D1807">
        <w:rPr>
          <w:b w:val="0"/>
          <w:bCs/>
          <w:lang w:val="hy-AM"/>
        </w:rPr>
        <w:t>)։ Մյուս ճյուղերի համախառն թողարկումների իրական աճերը ևս նպաստել են տնտեսական ակտիվությանը։</w:t>
      </w:r>
    </w:p>
    <w:tbl>
      <w:tblPr>
        <w:tblStyle w:val="TableGrid3150"/>
        <w:tblW w:w="0" w:type="auto"/>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4928"/>
        <w:gridCol w:w="4813"/>
      </w:tblGrid>
      <w:tr w:rsidR="005D1807" w:rsidRPr="005D1807" w14:paraId="4B4AB501" w14:textId="77777777" w:rsidTr="00E94C66">
        <w:trPr>
          <w:trHeight w:val="4129"/>
        </w:trPr>
        <w:tc>
          <w:tcPr>
            <w:tcW w:w="4928" w:type="dxa"/>
            <w:shd w:val="clear" w:color="auto" w:fill="auto"/>
          </w:tcPr>
          <w:p w14:paraId="24AB9E5C" w14:textId="77777777" w:rsidR="005D1807" w:rsidRPr="0073392C" w:rsidRDefault="005D1807" w:rsidP="005D1807">
            <w:pPr>
              <w:rPr>
                <w:b w:val="0"/>
                <w:bCs/>
                <w:lang w:val="hy-AM"/>
              </w:rPr>
            </w:pPr>
            <w:r w:rsidRPr="0073392C">
              <w:rPr>
                <w:lang w:val="hy-AM"/>
              </w:rPr>
              <w:lastRenderedPageBreak/>
              <w:t>Գծապատկեր 1.13.</w:t>
            </w:r>
            <w:r w:rsidRPr="0073392C">
              <w:rPr>
                <w:b w:val="0"/>
                <w:bCs/>
                <w:lang w:val="hy-AM"/>
              </w:rPr>
              <w:t xml:space="preserve"> ՏԱՑ և տնտեսության ճյուղերի իրա- կան աճերը նախորդ տարվա նույն ժամանակահատվածի նկատմամբ (կուտակային, %)</w:t>
            </w:r>
          </w:p>
          <w:p w14:paraId="66E6E405" w14:textId="77777777" w:rsidR="005D1807" w:rsidRPr="005D1807" w:rsidRDefault="005D1807" w:rsidP="005D1807">
            <w:pPr>
              <w:rPr>
                <w:b w:val="0"/>
                <w:bCs/>
              </w:rPr>
            </w:pPr>
            <w:r w:rsidRPr="005D1807">
              <w:rPr>
                <w:b w:val="0"/>
                <w:bCs/>
                <w:noProof/>
                <w:lang w:val="en-US" w:eastAsia="en-US"/>
              </w:rPr>
              <w:drawing>
                <wp:inline distT="0" distB="0" distL="0" distR="0" wp14:anchorId="5A82D985" wp14:editId="68DFA685">
                  <wp:extent cx="3064510" cy="2176145"/>
                  <wp:effectExtent l="0" t="0" r="2540" b="1460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C68149" w14:textId="77777777" w:rsidR="005D1807" w:rsidRPr="005D1807" w:rsidRDefault="005D1807" w:rsidP="005D1807">
            <w:pPr>
              <w:rPr>
                <w:b w:val="0"/>
                <w:bCs/>
                <w:highlight w:val="yellow"/>
              </w:rPr>
            </w:pPr>
            <w:r w:rsidRPr="005D1807">
              <w:rPr>
                <w:b w:val="0"/>
                <w:bCs/>
              </w:rPr>
              <w:t>Աղբյուրը՝ ՀՀ ՎԿ</w:t>
            </w:r>
          </w:p>
        </w:tc>
        <w:tc>
          <w:tcPr>
            <w:tcW w:w="4812" w:type="dxa"/>
          </w:tcPr>
          <w:p w14:paraId="545AB5D2" w14:textId="77777777" w:rsidR="005D1807" w:rsidRPr="005D1807" w:rsidRDefault="005D1807" w:rsidP="005D1807">
            <w:pPr>
              <w:rPr>
                <w:b w:val="0"/>
                <w:bCs/>
              </w:rPr>
            </w:pPr>
            <w:r w:rsidRPr="00CC7087">
              <w:rPr>
                <w:noProof/>
                <w:lang w:val="en-US" w:eastAsia="en-US"/>
              </w:rPr>
              <w:drawing>
                <wp:anchor distT="0" distB="0" distL="114300" distR="114300" simplePos="0" relativeHeight="251763712" behindDoc="1" locked="0" layoutInCell="1" allowOverlap="1" wp14:anchorId="67042909" wp14:editId="25A72D9D">
                  <wp:simplePos x="0" y="0"/>
                  <wp:positionH relativeFrom="column">
                    <wp:posOffset>-46355</wp:posOffset>
                  </wp:positionH>
                  <wp:positionV relativeFrom="paragraph">
                    <wp:posOffset>702945</wp:posOffset>
                  </wp:positionV>
                  <wp:extent cx="3028950" cy="2176145"/>
                  <wp:effectExtent l="0" t="0" r="0" b="14605"/>
                  <wp:wrapTight wrapText="bothSides">
                    <wp:wrapPolygon edited="0">
                      <wp:start x="0" y="0"/>
                      <wp:lineTo x="0" y="21556"/>
                      <wp:lineTo x="21464" y="21556"/>
                      <wp:lineTo x="21464" y="0"/>
                      <wp:lineTo x="0" y="0"/>
                    </wp:wrapPolygon>
                  </wp:wrapTight>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r w:rsidRPr="00CC7087">
              <w:t>Գծապատկեր 1.14.</w:t>
            </w:r>
            <w:r w:rsidRPr="005D1807">
              <w:rPr>
                <w:b w:val="0"/>
                <w:bCs/>
              </w:rPr>
              <w:t xml:space="preserve"> ՏԱՑ և տնտեսության ճյուղերի իրական աճերը նախորդ տարվա նույն ամսվա նկատ- մամբ (ամսական, %)</w:t>
            </w:r>
          </w:p>
          <w:p w14:paraId="36FE0D22" w14:textId="77777777" w:rsidR="005D1807" w:rsidRPr="005D1807" w:rsidRDefault="005D1807" w:rsidP="005D1807">
            <w:pPr>
              <w:rPr>
                <w:b w:val="0"/>
                <w:bCs/>
                <w:highlight w:val="yellow"/>
              </w:rPr>
            </w:pPr>
            <w:r w:rsidRPr="005D1807">
              <w:rPr>
                <w:b w:val="0"/>
                <w:bCs/>
              </w:rPr>
              <w:t>Աղբյուրը՝ ՀՀ ՎԿ</w:t>
            </w:r>
            <w:r w:rsidRPr="005D1807" w:rsidDel="00DA0563">
              <w:rPr>
                <w:b w:val="0"/>
                <w:bCs/>
              </w:rPr>
              <w:t xml:space="preserve"> </w:t>
            </w:r>
          </w:p>
        </w:tc>
      </w:tr>
      <w:tr w:rsidR="005D1807" w:rsidRPr="005D1807" w14:paraId="2948E444" w14:textId="77777777" w:rsidTr="00E94C66">
        <w:trPr>
          <w:trHeight w:val="3949"/>
        </w:trPr>
        <w:tc>
          <w:tcPr>
            <w:tcW w:w="4928" w:type="dxa"/>
          </w:tcPr>
          <w:p w14:paraId="0C0ED789" w14:textId="77777777" w:rsidR="005D1807" w:rsidRPr="005D1807" w:rsidRDefault="005D1807" w:rsidP="005D1807">
            <w:pPr>
              <w:rPr>
                <w:b w:val="0"/>
                <w:bCs/>
              </w:rPr>
            </w:pPr>
            <w:r w:rsidRPr="00CC7087">
              <w:t>Գծապատկեր 1.15.</w:t>
            </w:r>
            <w:r w:rsidRPr="005D1807">
              <w:rPr>
                <w:b w:val="0"/>
                <w:bCs/>
              </w:rPr>
              <w:t xml:space="preserve"> Տնտեսության ճյուղերի նպաստում- ները ՏԱՑ-ին (կուտակային, տ.կ.)</w:t>
            </w:r>
            <w:r w:rsidRPr="005D1807">
              <w:rPr>
                <w:b w:val="0"/>
                <w:bCs/>
              </w:rPr>
              <w:footnoteReference w:id="14"/>
            </w:r>
            <w:r w:rsidRPr="005D1807">
              <w:rPr>
                <w:b w:val="0"/>
                <w:bCs/>
              </w:rPr>
              <w:t xml:space="preserve"> </w:t>
            </w:r>
            <w:r w:rsidRPr="005D1807">
              <w:rPr>
                <w:b w:val="0"/>
                <w:bCs/>
                <w:noProof/>
                <w:lang w:val="en-US" w:eastAsia="en-US"/>
              </w:rPr>
              <w:drawing>
                <wp:inline distT="0" distB="0" distL="0" distR="0" wp14:anchorId="198DB6BB" wp14:editId="6CA7DD7A">
                  <wp:extent cx="3095625" cy="2134235"/>
                  <wp:effectExtent l="0" t="0" r="9525" b="1841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6F5306" w14:textId="77777777" w:rsidR="005D1807" w:rsidRPr="005D1807" w:rsidRDefault="005D1807" w:rsidP="005D1807">
            <w:pPr>
              <w:rPr>
                <w:b w:val="0"/>
                <w:bCs/>
                <w:highlight w:val="yellow"/>
              </w:rPr>
            </w:pPr>
            <w:r w:rsidRPr="005D1807">
              <w:rPr>
                <w:b w:val="0"/>
                <w:bCs/>
              </w:rPr>
              <w:t>Աղբյուրը՝ ՀՀ ՎԿ, ՀՀ ՖՆ հաշվարկներ</w:t>
            </w:r>
            <w:r w:rsidRPr="005D1807">
              <w:rPr>
                <w:b w:val="0"/>
                <w:bCs/>
                <w:highlight w:val="yellow"/>
              </w:rPr>
              <w:t xml:space="preserve"> </w:t>
            </w:r>
          </w:p>
        </w:tc>
        <w:tc>
          <w:tcPr>
            <w:tcW w:w="4812" w:type="dxa"/>
          </w:tcPr>
          <w:p w14:paraId="39D0E61F" w14:textId="77777777" w:rsidR="005D1807" w:rsidRPr="005D1807" w:rsidRDefault="005D1807" w:rsidP="005D1807">
            <w:pPr>
              <w:rPr>
                <w:b w:val="0"/>
                <w:bCs/>
              </w:rPr>
            </w:pPr>
            <w:r w:rsidRPr="00CC7087">
              <w:t>Գծապատկեր 1.16.</w:t>
            </w:r>
            <w:r w:rsidRPr="005D1807">
              <w:rPr>
                <w:b w:val="0"/>
                <w:bCs/>
              </w:rPr>
              <w:t xml:space="preserve"> Տնտեսության ճյուղերի նպաստում- ները ՏԱՑ-ին նախորդ տարվա նույն ամսվա նկատ- մամբ (ամսական, տ.կ.)</w:t>
            </w:r>
          </w:p>
          <w:p w14:paraId="1E18FE0B" w14:textId="77777777" w:rsidR="005D1807" w:rsidRPr="005D1807" w:rsidRDefault="005D1807" w:rsidP="005D1807">
            <w:pPr>
              <w:rPr>
                <w:b w:val="0"/>
                <w:bCs/>
              </w:rPr>
            </w:pPr>
            <w:r w:rsidRPr="005D1807">
              <w:rPr>
                <w:b w:val="0"/>
                <w:bCs/>
                <w:noProof/>
                <w:lang w:val="en-US" w:eastAsia="en-US"/>
              </w:rPr>
              <w:drawing>
                <wp:inline distT="0" distB="0" distL="0" distR="0" wp14:anchorId="7EE87E56" wp14:editId="3843B489">
                  <wp:extent cx="3019425" cy="1959429"/>
                  <wp:effectExtent l="0" t="0" r="9525" b="317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D6AA1D" w14:textId="77777777" w:rsidR="005D1807" w:rsidRPr="005D1807" w:rsidRDefault="005D1807" w:rsidP="005D1807">
            <w:pPr>
              <w:rPr>
                <w:b w:val="0"/>
                <w:bCs/>
                <w:highlight w:val="yellow"/>
              </w:rPr>
            </w:pPr>
            <w:r w:rsidRPr="005D1807">
              <w:rPr>
                <w:b w:val="0"/>
                <w:bCs/>
              </w:rPr>
              <w:t>Աղբյուրը՝ ՀՀ ՎԿ, ՀՀ ՖՆ հաշվարկներ</w:t>
            </w:r>
          </w:p>
        </w:tc>
      </w:tr>
    </w:tbl>
    <w:p w14:paraId="322099C4" w14:textId="77777777" w:rsidR="00D51898" w:rsidRDefault="00D51898" w:rsidP="005D1807">
      <w:pPr>
        <w:rPr>
          <w:rFonts w:eastAsia="Calibri"/>
          <w:lang w:val="hy-AM"/>
        </w:rPr>
      </w:pPr>
    </w:p>
    <w:p w14:paraId="6C69D459" w14:textId="004D5773" w:rsidR="005D1807" w:rsidRPr="005D1807" w:rsidRDefault="005D1807" w:rsidP="005D1807">
      <w:pPr>
        <w:rPr>
          <w:rFonts w:eastAsia="Calibri"/>
          <w:b w:val="0"/>
          <w:bCs/>
          <w:lang w:val="hy-AM"/>
        </w:rPr>
      </w:pPr>
      <w:r w:rsidRPr="00CC7087">
        <w:rPr>
          <w:rFonts w:eastAsia="Calibri"/>
          <w:lang w:val="hy-AM"/>
        </w:rPr>
        <w:t>Ներքին պահանջարկի աճը շարունակվել է նաև 2023թ. առաջին կիսամյակում։</w:t>
      </w:r>
      <w:r w:rsidRPr="00CC7087">
        <w:rPr>
          <w:lang w:val="hy-AM"/>
        </w:rPr>
        <w:t xml:space="preserve"> </w:t>
      </w:r>
      <w:r w:rsidRPr="005D1807">
        <w:rPr>
          <w:b w:val="0"/>
          <w:bCs/>
          <w:lang w:val="hy-AM"/>
        </w:rPr>
        <w:t>Ներքին պահանջարկի աճը պայմանավորված էր հիմնականում մասնավոր սպառման և մասնավոր ներդրումների աճով։ Պետական սպառումը և</w:t>
      </w:r>
      <w:r w:rsidRPr="005D1807">
        <w:rPr>
          <w:rFonts w:eastAsia="Calibri"/>
          <w:b w:val="0"/>
          <w:bCs/>
          <w:lang w:val="hy-AM"/>
        </w:rPr>
        <w:t xml:space="preserve"> պետական ներդրումները ևս աճել են։ Ներմուծման </w:t>
      </w:r>
      <w:r w:rsidRPr="005D1807">
        <w:rPr>
          <w:rFonts w:eastAsia="Calibri"/>
          <w:b w:val="0"/>
          <w:bCs/>
          <w:lang w:val="hy-AM"/>
        </w:rPr>
        <w:lastRenderedPageBreak/>
        <w:t xml:space="preserve">աճը արտահանման նկատմամբ եղել է առաջանցիկ, ինչի արդյունքում զուտ արտահանումը բացասաբար է նպաստել ՀՆԱ-ի իրական աճին։ Տնտեսության ներքին պահանջարկի աճի միտումները շարունակվել են նաև հուլիսին, մասնավորապես՝ սպառման աճի մասին են վկայում առևտրի և ծառայությունների, իսկ կապիտալ ներդրումների աճի մասին՝ շինարարության աճերը։  </w:t>
      </w:r>
    </w:p>
    <w:p w14:paraId="33045DC2" w14:textId="77777777" w:rsidR="005D1807" w:rsidRPr="0073392C" w:rsidRDefault="005D1807" w:rsidP="005D1807">
      <w:pPr>
        <w:rPr>
          <w:lang w:val="hy-AM"/>
        </w:rPr>
      </w:pPr>
      <w:r w:rsidRPr="0073392C">
        <w:rPr>
          <w:lang w:val="hy-AM"/>
        </w:rPr>
        <w:t xml:space="preserve">Կանխատեսում։ ՀՀ տնտեսության համար ձևավորված արտաքին նպաստավոր պայմանների պահպանման, պլանավորված մեծածավալ կապիտալ ծախսերի իրականացման, ՀՀ կառավարության կողմից նպատակադրված տնտեսության ներուժի բարձրացմանն ուղղված միջոցառումների </w:t>
      </w:r>
      <w:r w:rsidRPr="0073392C">
        <w:rPr>
          <w:rFonts w:eastAsia="Calibri"/>
          <w:lang w:val="hy-AM"/>
        </w:rPr>
        <w:t>պայմաններում 2023թ. սպասվում է 7.4% տնտեսական աճ</w:t>
      </w:r>
      <w:r w:rsidRPr="0073392C">
        <w:rPr>
          <w:lang w:val="hy-AM"/>
        </w:rPr>
        <w:t>:</w:t>
      </w:r>
    </w:p>
    <w:p w14:paraId="498DA608" w14:textId="77777777" w:rsidR="005D1807" w:rsidRPr="0073392C" w:rsidRDefault="005D1807" w:rsidP="005D1807">
      <w:pPr>
        <w:rPr>
          <w:highlight w:val="yellow"/>
          <w:lang w:val="hy-AM"/>
        </w:rPr>
      </w:pPr>
      <w:r w:rsidRPr="0073392C">
        <w:rPr>
          <w:lang w:val="hy-AM"/>
        </w:rPr>
        <w:t xml:space="preserve">Սպասվող արտաքին տնտեսական միջավայրի, ռուս-ուկրաինական հակամարտության արդյունքում դեպի ՀՀ մարդկանց և կապիտալի ներհոսքերի, ՏՏ ոլորտի ընկերությունների տեղափոխման արդյունքում առաջացած դրական զարգացումների որոշակի պահպանման   և ՀՀ կառավարության 2021-2026թթ. ծրագրով նախատեսված տնտեսության և տնտեսական աճի ներուժի բարձրացմանն ուղղված  քաղաքականության միջոցառումների պայմաններում 2024թ․ թիրախավորվում է 7․0% տնտեսական աճ։ </w:t>
      </w:r>
    </w:p>
    <w:p w14:paraId="5A27507B" w14:textId="77777777" w:rsidR="005D1807" w:rsidRPr="0073392C" w:rsidRDefault="005D1807" w:rsidP="005D1807">
      <w:pPr>
        <w:rPr>
          <w:rFonts w:eastAsia="GHEA Grapalat"/>
          <w:b w:val="0"/>
          <w:bCs/>
          <w:lang w:val="hy-AM"/>
        </w:rPr>
      </w:pPr>
      <w:r w:rsidRPr="0073392C">
        <w:rPr>
          <w:rFonts w:eastAsia="Calibri"/>
          <w:b w:val="0"/>
          <w:bCs/>
          <w:lang w:val="hy-AM"/>
        </w:rPr>
        <w:t>2023թ․ տ</w:t>
      </w:r>
      <w:r w:rsidRPr="0073392C">
        <w:rPr>
          <w:rFonts w:eastAsia="GHEA Grapalat"/>
          <w:b w:val="0"/>
          <w:bCs/>
          <w:lang w:val="hy-AM"/>
        </w:rPr>
        <w:t xml:space="preserve">նտեսական աճին հիմնականում կնպաստեն ծառայությունների և շինարարության ճյուղերի առաջանցիկ աճերը, իսկ 2024թ․ տնտեսական աճը պայմանավորված կլինի հիմնականում ծառայությունների և արդյունաբերության ճյուղերի աճով։ Տնտեսության մյուս ճյուղերը նույնպես դրական ազդեցություն կունենան տնտեսական աճի վրա: Ամբողջական պահանջարկը ևս կաճի՝ պայմանավորված ներքին սպառողական և ներդրումային պահանջարկի, ինչպես նաև արտահանման (հատկապես՝ ծառայությունների արտահանման մասով) աճով: </w:t>
      </w:r>
    </w:p>
    <w:p w14:paraId="314754C7" w14:textId="77777777" w:rsidR="005D1807" w:rsidRPr="00F46689" w:rsidRDefault="005D1807" w:rsidP="005D1807">
      <w:pPr>
        <w:rPr>
          <w:rFonts w:eastAsia="GHEA Grapalat"/>
          <w:lang w:val="hy-AM"/>
        </w:rPr>
      </w:pPr>
      <w:r w:rsidRPr="00F46689">
        <w:rPr>
          <w:rFonts w:eastAsia="GHEA Grapalat"/>
          <w:lang w:val="hy-AM"/>
        </w:rPr>
        <w:t>Պայմանավորված ՍԳԻ-ի և ապրանքների միջազգային գների զարգացումներով՝ 2023թ. ՀՆԱ-ի դեֆլյատորը նախորդ տարվա համեմատ կդանդաղի, իսկ 2024թ.՝ մի փոքր կաճի:</w:t>
      </w:r>
    </w:p>
    <w:p w14:paraId="188C24D2" w14:textId="69744A28" w:rsidR="005D1807" w:rsidRDefault="005D1807" w:rsidP="005D1807">
      <w:r w:rsidRPr="00F46689">
        <w:rPr>
          <w:lang w:val="hy-AM"/>
        </w:rPr>
        <w:t xml:space="preserve">Վերոնշյալ զարգացումների պայմաններում անվանական ՀՆԱ-ն 2023թ. կկազմի 9,450.1 մլրդ դրամ՝ 83.1 մլրդ դրամով պակաս լինելով 2024-2026թթ. ՄԺԾԾ-ով կանխատեսվող  ցուցանիշից, և 132.2 մլրդ դրամով ավելի` 2023թ․ բյուջեով ծրագրած ցուցանիշից: Իսկ 2024թ. անվանական ՀՆԱ-ն կկազմի 10,516.1 մլրդ դրամ՝ 92.1 մլրդ դրամով պակաս լինելով 2024-2026թթ. </w:t>
      </w:r>
      <w:r w:rsidRPr="00CC7087">
        <w:t xml:space="preserve">ՄԺԾԾ-ով </w:t>
      </w:r>
      <w:proofErr w:type="gramStart"/>
      <w:r w:rsidRPr="00CC7087">
        <w:t>կանխատեսվող  ցուցանիշից</w:t>
      </w:r>
      <w:proofErr w:type="gramEnd"/>
      <w:r w:rsidRPr="00CC7087">
        <w:t xml:space="preserve">: </w:t>
      </w:r>
    </w:p>
    <w:p w14:paraId="2D4DD499" w14:textId="77777777" w:rsidR="00D51898" w:rsidRDefault="00D51898" w:rsidP="005D1807"/>
    <w:p w14:paraId="5CD9810A" w14:textId="77777777" w:rsidR="00D51898" w:rsidRPr="00CC7087" w:rsidRDefault="00D51898" w:rsidP="005D1807"/>
    <w:tbl>
      <w:tblPr>
        <w:tblStyle w:val="TableGrid710"/>
        <w:tblW w:w="0" w:type="auto"/>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4894"/>
        <w:gridCol w:w="4847"/>
      </w:tblGrid>
      <w:tr w:rsidR="005D1807" w:rsidRPr="005D1807" w14:paraId="101E9861" w14:textId="77777777" w:rsidTr="00E94C66">
        <w:trPr>
          <w:trHeight w:val="3489"/>
        </w:trPr>
        <w:tc>
          <w:tcPr>
            <w:tcW w:w="5140" w:type="dxa"/>
            <w:tcBorders>
              <w:top w:val="single" w:sz="6" w:space="0" w:color="4472C4"/>
              <w:left w:val="single" w:sz="6" w:space="0" w:color="4472C4"/>
              <w:bottom w:val="single" w:sz="6" w:space="0" w:color="4472C4"/>
              <w:right w:val="single" w:sz="6" w:space="0" w:color="4472C4"/>
            </w:tcBorders>
          </w:tcPr>
          <w:p w14:paraId="536D4D8D" w14:textId="77777777" w:rsidR="005D1807" w:rsidRPr="005D1807" w:rsidRDefault="005D1807" w:rsidP="005D1807">
            <w:pPr>
              <w:rPr>
                <w:b w:val="0"/>
                <w:bCs/>
              </w:rPr>
            </w:pPr>
            <w:r w:rsidRPr="00CC7087">
              <w:t>Գծապատկեր 1.17.</w:t>
            </w:r>
            <w:r w:rsidRPr="005D1807">
              <w:rPr>
                <w:b w:val="0"/>
                <w:bCs/>
              </w:rPr>
              <w:t xml:space="preserve"> Անվանական ՀՆԱ և տնտեսական աճ</w:t>
            </w:r>
          </w:p>
          <w:p w14:paraId="2344FC15" w14:textId="77777777" w:rsidR="005D1807" w:rsidRPr="005D1807" w:rsidRDefault="005D1807" w:rsidP="005D1807">
            <w:pPr>
              <w:rPr>
                <w:b w:val="0"/>
                <w:bCs/>
              </w:rPr>
            </w:pPr>
          </w:p>
          <w:p w14:paraId="28876DA6" w14:textId="77777777" w:rsidR="005D1807" w:rsidRPr="005D1807" w:rsidRDefault="005D1807" w:rsidP="005D1807">
            <w:pPr>
              <w:rPr>
                <w:b w:val="0"/>
                <w:bCs/>
              </w:rPr>
            </w:pPr>
            <w:r w:rsidRPr="005D1807">
              <w:rPr>
                <w:b w:val="0"/>
                <w:bCs/>
                <w:noProof/>
                <w:lang w:val="en-US" w:eastAsia="en-US"/>
              </w:rPr>
              <w:lastRenderedPageBreak/>
              <w:drawing>
                <wp:inline distT="0" distB="0" distL="0" distR="0" wp14:anchorId="1871B906" wp14:editId="5DD3D912">
                  <wp:extent cx="2844000" cy="1852930"/>
                  <wp:effectExtent l="0" t="0" r="13970" b="1397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863FBC" w14:textId="77777777" w:rsidR="005D1807" w:rsidRPr="005D1807" w:rsidRDefault="005D1807" w:rsidP="005D1807">
            <w:pPr>
              <w:rPr>
                <w:b w:val="0"/>
                <w:bCs/>
              </w:rPr>
            </w:pPr>
          </w:p>
          <w:p w14:paraId="2F48059C" w14:textId="77777777" w:rsidR="005D1807" w:rsidRPr="005D1807" w:rsidRDefault="005D1807" w:rsidP="005D1807">
            <w:pPr>
              <w:rPr>
                <w:b w:val="0"/>
                <w:bCs/>
              </w:rPr>
            </w:pPr>
            <w:r w:rsidRPr="005D1807">
              <w:rPr>
                <w:b w:val="0"/>
                <w:bCs/>
              </w:rPr>
              <w:t>Աղբյուրը՝ ՀՀ ՎԿ, ՀՀ ՖՆ հաշվարկներ և կանխատեսումներ</w:t>
            </w:r>
          </w:p>
        </w:tc>
        <w:tc>
          <w:tcPr>
            <w:tcW w:w="5110" w:type="dxa"/>
            <w:tcBorders>
              <w:top w:val="single" w:sz="6" w:space="0" w:color="4472C4"/>
              <w:left w:val="single" w:sz="6" w:space="0" w:color="4472C4"/>
              <w:bottom w:val="single" w:sz="6" w:space="0" w:color="4472C4"/>
              <w:right w:val="single" w:sz="6" w:space="0" w:color="4472C4"/>
            </w:tcBorders>
            <w:hideMark/>
          </w:tcPr>
          <w:p w14:paraId="790C0451" w14:textId="77777777" w:rsidR="005D1807" w:rsidRPr="005D1807" w:rsidRDefault="005D1807" w:rsidP="005D1807">
            <w:pPr>
              <w:rPr>
                <w:b w:val="0"/>
                <w:bCs/>
              </w:rPr>
            </w:pPr>
            <w:r w:rsidRPr="00CC7087">
              <w:lastRenderedPageBreak/>
              <w:t>Գծապատկեր 1.18.</w:t>
            </w:r>
            <w:r w:rsidRPr="005D1807">
              <w:rPr>
                <w:b w:val="0"/>
                <w:bCs/>
              </w:rPr>
              <w:t xml:space="preserve"> Իրական ՀՆԱ անկումը/աճը տնտե- սական ճգնաժամերի և հաջորդող տարիներին </w:t>
            </w:r>
          </w:p>
          <w:p w14:paraId="5D0E7EAD" w14:textId="77777777" w:rsidR="005D1807" w:rsidRPr="005D1807" w:rsidRDefault="005D1807" w:rsidP="005D1807">
            <w:pPr>
              <w:rPr>
                <w:b w:val="0"/>
                <w:bCs/>
              </w:rPr>
            </w:pPr>
            <w:r w:rsidRPr="005D1807">
              <w:rPr>
                <w:b w:val="0"/>
                <w:bCs/>
                <w:noProof/>
                <w:lang w:val="en-US" w:eastAsia="en-US"/>
              </w:rPr>
              <w:lastRenderedPageBreak/>
              <w:drawing>
                <wp:inline distT="0" distB="0" distL="0" distR="0" wp14:anchorId="233B62BB" wp14:editId="38475595">
                  <wp:extent cx="2808000" cy="1847850"/>
                  <wp:effectExtent l="0" t="0" r="1143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5D1807">
              <w:rPr>
                <w:b w:val="0"/>
                <w:bCs/>
              </w:rPr>
              <w:t>Աղբյուրը՝ ՀՀ ՎԿ, ՀՀ ՖՆ կանխատեսում</w:t>
            </w:r>
          </w:p>
        </w:tc>
      </w:tr>
      <w:tr w:rsidR="005D1807" w:rsidRPr="005D1807" w14:paraId="50CEB3EB" w14:textId="77777777" w:rsidTr="00E94C66">
        <w:trPr>
          <w:trHeight w:val="628"/>
        </w:trPr>
        <w:tc>
          <w:tcPr>
            <w:tcW w:w="5140" w:type="dxa"/>
            <w:tcBorders>
              <w:top w:val="single" w:sz="6" w:space="0" w:color="4472C4"/>
              <w:left w:val="single" w:sz="6" w:space="0" w:color="4472C4"/>
              <w:bottom w:val="single" w:sz="6" w:space="0" w:color="4472C4"/>
              <w:right w:val="single" w:sz="6" w:space="0" w:color="4472C4"/>
            </w:tcBorders>
            <w:hideMark/>
          </w:tcPr>
          <w:p w14:paraId="00C87970" w14:textId="77777777" w:rsidR="005D1807" w:rsidRPr="005D1807" w:rsidRDefault="005D1807" w:rsidP="005D1807">
            <w:pPr>
              <w:rPr>
                <w:b w:val="0"/>
                <w:bCs/>
                <w:lang w:val="hy-AM"/>
              </w:rPr>
            </w:pPr>
            <w:r w:rsidRPr="00CC7087">
              <w:rPr>
                <w:lang w:val="hy-AM"/>
              </w:rPr>
              <w:lastRenderedPageBreak/>
              <w:t>Գծապատկեր 1.19.</w:t>
            </w:r>
            <w:r w:rsidRPr="005D1807">
              <w:rPr>
                <w:b w:val="0"/>
                <w:bCs/>
                <w:lang w:val="hy-AM"/>
              </w:rPr>
              <w:t xml:space="preserve"> Տնտեսության առանձին ճյուղերի նպաստումները տնտեսական աճին </w:t>
            </w:r>
          </w:p>
          <w:p w14:paraId="25E77A02" w14:textId="77777777" w:rsidR="005D1807" w:rsidRPr="005D1807" w:rsidRDefault="005D1807" w:rsidP="005D1807">
            <w:pPr>
              <w:rPr>
                <w:b w:val="0"/>
                <w:bCs/>
              </w:rPr>
            </w:pPr>
            <w:r w:rsidRPr="005D1807">
              <w:rPr>
                <w:b w:val="0"/>
                <w:bCs/>
                <w:noProof/>
                <w:lang w:val="en-US" w:eastAsia="en-US"/>
              </w:rPr>
              <w:drawing>
                <wp:inline distT="0" distB="0" distL="0" distR="0" wp14:anchorId="23AB1111" wp14:editId="74BA8E24">
                  <wp:extent cx="2844000" cy="1905000"/>
                  <wp:effectExtent l="0" t="0" r="1397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C405AAC" w14:textId="77777777" w:rsidR="005D1807" w:rsidRPr="005D1807" w:rsidRDefault="005D1807" w:rsidP="005D1807">
            <w:pPr>
              <w:rPr>
                <w:b w:val="0"/>
                <w:bCs/>
              </w:rPr>
            </w:pPr>
            <w:r w:rsidRPr="005D1807">
              <w:rPr>
                <w:b w:val="0"/>
                <w:bCs/>
              </w:rPr>
              <w:t>Աղբյուրը՝ ՀՀ ՎԿ, ՀՀ ՖՆ հաշվարկներ և կանխատեսումներ</w:t>
            </w:r>
          </w:p>
        </w:tc>
        <w:tc>
          <w:tcPr>
            <w:tcW w:w="5110" w:type="dxa"/>
            <w:tcBorders>
              <w:top w:val="single" w:sz="6" w:space="0" w:color="4472C4"/>
              <w:left w:val="single" w:sz="6" w:space="0" w:color="4472C4"/>
              <w:bottom w:val="single" w:sz="6" w:space="0" w:color="4472C4"/>
              <w:right w:val="single" w:sz="6" w:space="0" w:color="4472C4"/>
            </w:tcBorders>
            <w:hideMark/>
          </w:tcPr>
          <w:p w14:paraId="0BE34374" w14:textId="77777777" w:rsidR="005D1807" w:rsidRPr="005D1807" w:rsidRDefault="005D1807" w:rsidP="005D1807">
            <w:pPr>
              <w:rPr>
                <w:b w:val="0"/>
                <w:bCs/>
              </w:rPr>
            </w:pPr>
            <w:r w:rsidRPr="00CC7087">
              <w:t>Գծապատկեր 1.20.</w:t>
            </w:r>
            <w:r w:rsidRPr="005D1807">
              <w:rPr>
                <w:b w:val="0"/>
                <w:bCs/>
              </w:rPr>
              <w:t xml:space="preserve"> Տնտեսական աճին պահանջարկի բաղադրիչների նպաստումները</w:t>
            </w:r>
          </w:p>
          <w:p w14:paraId="289F7589" w14:textId="77777777" w:rsidR="005D1807" w:rsidRPr="005D1807" w:rsidRDefault="005D1807" w:rsidP="005D1807">
            <w:pPr>
              <w:rPr>
                <w:b w:val="0"/>
                <w:bCs/>
              </w:rPr>
            </w:pPr>
            <w:r w:rsidRPr="005D1807">
              <w:rPr>
                <w:b w:val="0"/>
                <w:bCs/>
                <w:noProof/>
                <w:lang w:val="en-US" w:eastAsia="en-US"/>
              </w:rPr>
              <w:drawing>
                <wp:inline distT="0" distB="0" distL="0" distR="0" wp14:anchorId="33EBFA88" wp14:editId="7EF70C31">
                  <wp:extent cx="2808000" cy="1876425"/>
                  <wp:effectExtent l="0" t="0" r="11430" b="952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86CCBAF" w14:textId="77777777" w:rsidR="005D1807" w:rsidRPr="005D1807" w:rsidRDefault="005D1807" w:rsidP="005D1807">
            <w:pPr>
              <w:rPr>
                <w:b w:val="0"/>
                <w:bCs/>
              </w:rPr>
            </w:pPr>
            <w:r w:rsidRPr="005D1807">
              <w:rPr>
                <w:b w:val="0"/>
                <w:bCs/>
              </w:rPr>
              <w:t>Աղբյուրը՝ ՀՀ ՎԿ, ՀՀ ՖՆ հաշվարկներ և կանխատեսումներ</w:t>
            </w:r>
          </w:p>
        </w:tc>
      </w:tr>
    </w:tbl>
    <w:p w14:paraId="24D912D1" w14:textId="77777777" w:rsidR="005D1807" w:rsidRPr="005D1807" w:rsidRDefault="005D1807" w:rsidP="005D1807">
      <w:pPr>
        <w:rPr>
          <w:rFonts w:eastAsia="Calibri"/>
          <w:b w:val="0"/>
          <w:bCs/>
        </w:rPr>
      </w:pPr>
      <w:r w:rsidRPr="00CC7087">
        <w:t>Համախառն առաջարկի կանխատեսում.</w:t>
      </w:r>
      <w:r w:rsidRPr="005D1807">
        <w:rPr>
          <w:b w:val="0"/>
          <w:bCs/>
        </w:rPr>
        <w:t xml:space="preserve"> </w:t>
      </w:r>
      <w:r w:rsidRPr="005D1807">
        <w:rPr>
          <w:rFonts w:eastAsia="Calibri"/>
          <w:b w:val="0"/>
          <w:bCs/>
        </w:rPr>
        <w:t>ՀՀ տեղափոխված ՏՏ ոլորտի ընկերությունների և աշխատակիցների, կապիտալի և մարդկանց ներհոսքի թողած դրական ազդեցությունների որոշակիորեն պահպանման, ՀՀ կառավարության կողմից նախատեսված մասնավոր ներդրումների խթանման, տնտեսության արդիականացման և</w:t>
      </w:r>
      <w:r w:rsidRPr="005D1807">
        <w:rPr>
          <w:b w:val="0"/>
          <w:bCs/>
        </w:rPr>
        <w:t xml:space="preserve"> գործարար միջավայրի բարելավման, տեխնոլոգիական առաջընթացի ապահովման, տնտեսության արտահանելի հատվածի և արտահանման խթանմանն ուղղված քաղաքականությունների, ինչպես նաև մեծածավալ պետական ներդրումների իրականացման պայմաններում 2023թ․ սպասվոմ է 7.4% տնտեսական աճ, ինչը հիմնականում պայմանավորված կլինի ծառայությունների (ներառյալ առևտուրը) և շինարարության, համապատասխանաբար՝ 8․6% և 17.6% առաջանցիկ աճերով։ Արդյունաբերության և գյուղատնտեսության ճյուղերը նույնպես կաճեն (համապատասխանաբար՝ 0․8% և 1.2%)` դրական նպաստելով տնտեսական աճին: </w:t>
      </w:r>
      <w:r w:rsidRPr="005D1807">
        <w:rPr>
          <w:rFonts w:eastAsia="Calibri"/>
          <w:b w:val="0"/>
          <w:bCs/>
        </w:rPr>
        <w:t>2024թ. շինարարությունը կաճի 8․9%-ով, ծառայությունները՝ 7․9%-ով</w:t>
      </w:r>
      <w:r w:rsidRPr="005D1807" w:rsidDel="004A0AAD">
        <w:rPr>
          <w:rFonts w:eastAsia="Calibri"/>
          <w:b w:val="0"/>
          <w:bCs/>
        </w:rPr>
        <w:t xml:space="preserve"> </w:t>
      </w:r>
      <w:r w:rsidRPr="005D1807">
        <w:rPr>
          <w:rFonts w:eastAsia="Calibri"/>
          <w:b w:val="0"/>
          <w:bCs/>
        </w:rPr>
        <w:t>արդյունաբերությունը՝ 4․7%-ով, իսկ գյուղատնտեսությունը՝ 3.5%-ով:</w:t>
      </w:r>
    </w:p>
    <w:p w14:paraId="36B3AA9A" w14:textId="77777777" w:rsidR="005D1807" w:rsidRPr="005D1807" w:rsidRDefault="005D1807" w:rsidP="005D1807">
      <w:pPr>
        <w:rPr>
          <w:rFonts w:eastAsia="Calibri"/>
          <w:b w:val="0"/>
          <w:bCs/>
        </w:rPr>
      </w:pPr>
    </w:p>
    <w:tbl>
      <w:tblPr>
        <w:tblStyle w:val="TableGrid810"/>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4917"/>
        <w:gridCol w:w="4830"/>
      </w:tblGrid>
      <w:tr w:rsidR="005D1807" w:rsidRPr="005D1807" w14:paraId="357FB4D1" w14:textId="77777777" w:rsidTr="00E94C66">
        <w:trPr>
          <w:trHeight w:val="3783"/>
        </w:trPr>
        <w:tc>
          <w:tcPr>
            <w:tcW w:w="5215" w:type="dxa"/>
            <w:tcBorders>
              <w:top w:val="single" w:sz="4" w:space="0" w:color="4472C4"/>
              <w:left w:val="single" w:sz="4" w:space="0" w:color="4472C4"/>
              <w:bottom w:val="single" w:sz="4" w:space="0" w:color="4472C4"/>
              <w:right w:val="single" w:sz="4" w:space="0" w:color="4472C4"/>
            </w:tcBorders>
            <w:hideMark/>
          </w:tcPr>
          <w:p w14:paraId="25A4A525" w14:textId="77777777" w:rsidR="005D1807" w:rsidRPr="005D1807" w:rsidRDefault="005D1807" w:rsidP="005D1807">
            <w:pPr>
              <w:rPr>
                <w:b w:val="0"/>
                <w:bCs/>
              </w:rPr>
            </w:pPr>
            <w:r w:rsidRPr="005D1807">
              <w:rPr>
                <w:b w:val="0"/>
                <w:bCs/>
              </w:rPr>
              <w:lastRenderedPageBreak/>
              <w:t>Գծապատկեր 1.21. Ծախսային բաղադրիչների տեսակարար կշիռները ՀՆԱ-ի կազմում</w:t>
            </w:r>
          </w:p>
          <w:p w14:paraId="3860560E" w14:textId="77777777" w:rsidR="005D1807" w:rsidRPr="005D1807" w:rsidRDefault="005D1807" w:rsidP="005D1807">
            <w:pPr>
              <w:rPr>
                <w:b w:val="0"/>
                <w:bCs/>
              </w:rPr>
            </w:pPr>
            <w:r w:rsidRPr="005D1807">
              <w:rPr>
                <w:b w:val="0"/>
                <w:bCs/>
                <w:noProof/>
                <w:lang w:val="en-US" w:eastAsia="en-US"/>
              </w:rPr>
              <w:drawing>
                <wp:inline distT="0" distB="0" distL="0" distR="0" wp14:anchorId="669BBD5E" wp14:editId="7FBCABDE">
                  <wp:extent cx="2808000" cy="1822450"/>
                  <wp:effectExtent l="0" t="0" r="11430" b="63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D23A37" w14:textId="77777777" w:rsidR="005D1807" w:rsidRPr="005D1807" w:rsidRDefault="005D1807" w:rsidP="005D1807">
            <w:pPr>
              <w:rPr>
                <w:b w:val="0"/>
                <w:bCs/>
              </w:rPr>
            </w:pPr>
            <w:r w:rsidRPr="005D1807">
              <w:rPr>
                <w:b w:val="0"/>
                <w:bCs/>
              </w:rPr>
              <w:t>Աղբյուրը՝ ՀՀ ՎԿ, ՀՀ ՖՆ հաշվարկներ և կանխատեսումներ</w:t>
            </w:r>
          </w:p>
        </w:tc>
        <w:tc>
          <w:tcPr>
            <w:tcW w:w="5030" w:type="dxa"/>
            <w:tcBorders>
              <w:top w:val="single" w:sz="4" w:space="0" w:color="4472C4"/>
              <w:left w:val="single" w:sz="4" w:space="0" w:color="4472C4"/>
              <w:bottom w:val="single" w:sz="4" w:space="0" w:color="4472C4"/>
              <w:right w:val="single" w:sz="4" w:space="0" w:color="4472C4"/>
            </w:tcBorders>
            <w:hideMark/>
          </w:tcPr>
          <w:p w14:paraId="361035BC" w14:textId="77777777" w:rsidR="005D1807" w:rsidRPr="005D1807" w:rsidRDefault="005D1807" w:rsidP="005D1807">
            <w:pPr>
              <w:rPr>
                <w:b w:val="0"/>
                <w:bCs/>
              </w:rPr>
            </w:pPr>
            <w:r w:rsidRPr="005D1807">
              <w:rPr>
                <w:b w:val="0"/>
                <w:bCs/>
              </w:rPr>
              <w:t>Գծապատկեր 1.22. Ճյուղերի տեսակարար կշիռները ՀՆԱ-ի կազմում</w:t>
            </w:r>
          </w:p>
          <w:p w14:paraId="26EA3A66" w14:textId="77777777" w:rsidR="005D1807" w:rsidRPr="005D1807" w:rsidRDefault="005D1807" w:rsidP="005D1807">
            <w:pPr>
              <w:rPr>
                <w:b w:val="0"/>
                <w:bCs/>
              </w:rPr>
            </w:pPr>
          </w:p>
          <w:p w14:paraId="02CF3160" w14:textId="77777777" w:rsidR="005D1807" w:rsidRPr="005D1807" w:rsidRDefault="005D1807" w:rsidP="005D1807">
            <w:pPr>
              <w:rPr>
                <w:b w:val="0"/>
                <w:bCs/>
              </w:rPr>
            </w:pPr>
            <w:r w:rsidRPr="005D1807">
              <w:rPr>
                <w:b w:val="0"/>
                <w:bCs/>
                <w:noProof/>
                <w:lang w:val="en-US" w:eastAsia="en-US"/>
              </w:rPr>
              <w:drawing>
                <wp:inline distT="0" distB="0" distL="0" distR="0" wp14:anchorId="041A52FF" wp14:editId="00EEB11F">
                  <wp:extent cx="2808000" cy="1822450"/>
                  <wp:effectExtent l="0" t="0" r="11430" b="63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1A5ECF1" w14:textId="77777777" w:rsidR="005D1807" w:rsidRPr="005D1807" w:rsidRDefault="005D1807" w:rsidP="005D1807">
            <w:pPr>
              <w:rPr>
                <w:b w:val="0"/>
                <w:bCs/>
              </w:rPr>
            </w:pPr>
            <w:r w:rsidRPr="005D1807">
              <w:rPr>
                <w:b w:val="0"/>
                <w:bCs/>
              </w:rPr>
              <w:t>Աղբյուրը՝ ՀՀ ՎԿ, ՀՀ ՖՆ հաշվարկներ և կանխատեսումներ</w:t>
            </w:r>
          </w:p>
        </w:tc>
      </w:tr>
    </w:tbl>
    <w:p w14:paraId="7F48898B" w14:textId="77777777" w:rsidR="005D1807" w:rsidRPr="005D1807" w:rsidRDefault="005D1807" w:rsidP="005D1807">
      <w:pPr>
        <w:rPr>
          <w:rFonts w:eastAsia="Calibri"/>
          <w:b w:val="0"/>
          <w:bCs/>
        </w:rPr>
      </w:pPr>
    </w:p>
    <w:p w14:paraId="1CD18E9D" w14:textId="77777777" w:rsidR="005D1807" w:rsidRPr="005D1807" w:rsidRDefault="005D1807" w:rsidP="005D1807">
      <w:pPr>
        <w:rPr>
          <w:rFonts w:eastAsia="Calibri"/>
          <w:b w:val="0"/>
          <w:bCs/>
        </w:rPr>
      </w:pPr>
      <w:r w:rsidRPr="005D1807">
        <w:rPr>
          <w:rFonts w:eastAsia="Calibri"/>
          <w:b w:val="0"/>
          <w:bCs/>
        </w:rPr>
        <w:t>Համախառն պահանջարկի կանխատեսում. Ընթացիկ զարգացումների պայմաններում 2023թ. վերջնական սպառումը իրական արտահայտությամբ կաճի 8.7%-ով, իսկ ներդրումները՝ 23.2%-ով։ Սպառման և ներդրումների աճին կնպաստեն տնօրինվող եկամտի աճը, օտարերկրացիների ներհոսքը, բնակարանային շինարարության շարունակվող աճը, ինչպես նաև ներդրումային միջավայրի բարելավմանն ու մասնավոր ներդրումների խթանմանն ուղղված պետական քաղաքականությունը։</w:t>
      </w:r>
    </w:p>
    <w:p w14:paraId="2E58CCEA" w14:textId="77777777" w:rsidR="005D1807" w:rsidRPr="005D1807" w:rsidRDefault="005D1807" w:rsidP="005D1807">
      <w:pPr>
        <w:rPr>
          <w:rFonts w:eastAsia="Calibri"/>
          <w:b w:val="0"/>
          <w:bCs/>
        </w:rPr>
      </w:pPr>
      <w:r w:rsidRPr="005D1807">
        <w:rPr>
          <w:rFonts w:eastAsia="Calibri"/>
          <w:b w:val="0"/>
          <w:bCs/>
        </w:rPr>
        <w:t xml:space="preserve">2024թ. սպառումը կաճի 7.7%-ով, իսկ ներդրումները՝ 11.8%-ով: Ներդրումների աճը կպայմանավորվի ինչպես պետական (15.5% աճ), այնպես էլ ՀՀ կառավարության կողմից ներդրումների խթանման քաղաքականության իրականացման արդյունքում ներքին և օտարերկրյա միջոցներով ֆինանսավորվող մասնավոր ներդրումներով (10.6% </w:t>
      </w:r>
      <w:proofErr w:type="gramStart"/>
      <w:r w:rsidRPr="005D1807">
        <w:rPr>
          <w:rFonts w:eastAsia="Calibri"/>
          <w:b w:val="0"/>
          <w:bCs/>
        </w:rPr>
        <w:t>աճ)։</w:t>
      </w:r>
      <w:proofErr w:type="gramEnd"/>
    </w:p>
    <w:p w14:paraId="1FBA0979" w14:textId="77777777" w:rsidR="005D1807" w:rsidRPr="005D1807" w:rsidRDefault="005D1807" w:rsidP="005D1807">
      <w:pPr>
        <w:rPr>
          <w:rFonts w:eastAsia="Calibri"/>
          <w:b w:val="0"/>
          <w:bCs/>
        </w:rPr>
      </w:pPr>
      <w:r w:rsidRPr="005D1807">
        <w:rPr>
          <w:rFonts w:eastAsia="Calibri"/>
          <w:b w:val="0"/>
          <w:bCs/>
        </w:rPr>
        <w:t>2023թ. արտահանումը և ներմուծումը կաճեն համապատասխանաբար 17․7%-ով և 25․6%-ով՝ պայմանավորված ներքին և արտաքին պահանջարկի (հատկապես՝ ծառայությունների արտահանման մասով), ինչպես նաև տնտեսական ակտիվության աճով։ ՀՀ և համաշխարհային տնտեսական աճերի, ՀՀ տնտեսության արտահանելի հատվածի զարգացումների, տնօրինվող եկամտի աճի, զբոսաշրջության աճի տեմպերի պահպանման, ինչպես նաև արտահանմանը և ներդրումների խրախուսմանն ուղղված ՀՀ կառավարության քաղաքականության պայմաններում 2024թ. արտահանումն ու ներմուծումը կաճեն համապատասխանաբար` 12.5%-ով և 14.9%-ով:</w:t>
      </w:r>
    </w:p>
    <w:tbl>
      <w:tblPr>
        <w:tblW w:w="9356" w:type="dxa"/>
        <w:tblLayout w:type="fixed"/>
        <w:tblLook w:val="04A0" w:firstRow="1" w:lastRow="0" w:firstColumn="1" w:lastColumn="0" w:noHBand="0" w:noVBand="1"/>
      </w:tblPr>
      <w:tblGrid>
        <w:gridCol w:w="9356"/>
      </w:tblGrid>
      <w:tr w:rsidR="005D1807" w:rsidRPr="005D1807" w14:paraId="679F706B" w14:textId="77777777" w:rsidTr="00E94C66">
        <w:trPr>
          <w:trHeight w:val="4363"/>
        </w:trPr>
        <w:tc>
          <w:tcPr>
            <w:tcW w:w="9356" w:type="dxa"/>
            <w:shd w:val="clear" w:color="auto" w:fill="E7E6E6"/>
          </w:tcPr>
          <w:p w14:paraId="3F0A1FFA" w14:textId="77777777" w:rsidR="005D1807" w:rsidRPr="005E6B5D" w:rsidRDefault="005D1807" w:rsidP="005D1807">
            <w:pPr>
              <w:rPr>
                <w:sz w:val="20"/>
                <w:szCs w:val="20"/>
              </w:rPr>
            </w:pPr>
            <w:r w:rsidRPr="005E6B5D">
              <w:rPr>
                <w:sz w:val="20"/>
                <w:szCs w:val="20"/>
              </w:rPr>
              <w:lastRenderedPageBreak/>
              <w:t>Ներդիր 1․ Տնտեսական աճի կանխատեսումները և դրանց հիքում ընկած ենթադրությունները</w:t>
            </w:r>
          </w:p>
          <w:p w14:paraId="02799C6E" w14:textId="77777777" w:rsidR="005D1807" w:rsidRPr="005E6B5D" w:rsidRDefault="005D1807" w:rsidP="005D1807">
            <w:pPr>
              <w:rPr>
                <w:b w:val="0"/>
                <w:bCs/>
                <w:sz w:val="20"/>
                <w:szCs w:val="20"/>
              </w:rPr>
            </w:pPr>
            <w:r w:rsidRPr="005E6B5D">
              <w:rPr>
                <w:b w:val="0"/>
                <w:bCs/>
                <w:sz w:val="20"/>
                <w:szCs w:val="20"/>
              </w:rPr>
              <w:t>2024թ. պետական բյուջեի հիմքում դրվող տնտեսական աճի կանխատեսումներն իրականացվել են օգտագործելով ժամանակակից տնտեսաչափական գործիքակազմ, ինչպես նաև առանձին հարկաբյուջետային միջոցառումների ազդեցությունների գնահատման համար կիրառվել է ՀՀ ՖՆ Արարատ հարկաբյուջետային ռազմավարության դինամիկ ստոխաստիկ ընդհանուր հավասարակշռության (Ararat Fiscal Strategy Model) մոդելը</w:t>
            </w:r>
            <w:r w:rsidRPr="005E6B5D">
              <w:rPr>
                <w:b w:val="0"/>
                <w:bCs/>
                <w:sz w:val="20"/>
                <w:szCs w:val="20"/>
              </w:rPr>
              <w:footnoteReference w:id="15"/>
            </w:r>
            <w:r w:rsidRPr="005E6B5D">
              <w:rPr>
                <w:b w:val="0"/>
                <w:bCs/>
                <w:sz w:val="20"/>
                <w:szCs w:val="20"/>
              </w:rPr>
              <w:t>: Տնտեսական աճի կանխատեսման համար հիմք են հանդիսացել նեքին և արտաքին ընթացիկ տնտեսական և ֆինանսական զարգացումները, ինչպես նաև ՀՀ գործընկեր երկրների տնտեսական  զարգացումների և հումքային ապրանքների համաշխարհային գների միջազգային կառույցների կողմից արված կանխատեսումները (առավել մանրամասն տե՛ս 1․4 բաժնում)։</w:t>
            </w:r>
          </w:p>
          <w:p w14:paraId="0E72DCF0" w14:textId="77777777" w:rsidR="005D1807" w:rsidRPr="005E6B5D" w:rsidRDefault="005D1807" w:rsidP="005D1807">
            <w:pPr>
              <w:rPr>
                <w:b w:val="0"/>
                <w:bCs/>
                <w:sz w:val="20"/>
                <w:szCs w:val="20"/>
              </w:rPr>
            </w:pPr>
            <w:r w:rsidRPr="005E6B5D">
              <w:rPr>
                <w:b w:val="0"/>
                <w:bCs/>
                <w:sz w:val="20"/>
                <w:szCs w:val="20"/>
              </w:rPr>
              <w:t>Մասնավորապես, տնտեսաչափական մոդելների կիրառմամբ պատմական տվյալների հիման վրա կանխատեսվել է տնտեսական աճի, այնուհետև հաշվի են առնվել տնտեսական աճի վրա կանխատեսվող հորիզոնի համար ՀՀ կառավարության ծրագրով թիրախավորած և բյուջեով նախատեսված միջոցառումների ազդեցությունները։ Վերջիններս ըստ առանձին միջոցառումների (ծախսային միջոցառումներ, հարկային քաղաքականության փոփոխություն և վարչարարություն, պարտքի կայուն մակարդակի ապահովման միջոցառումներ (առավել մանրամասն տե՛ս 1․4 բաժնում) գնահատվել են ՀՀ ՖՆ Արարատ մոդելի միջոցով։ Բացի այդ գնահատվել են նաև կառուցվածքային բարեփոխումների հնարավոր ազդեցությունները</w:t>
            </w:r>
            <w:r w:rsidRPr="005E6B5D">
              <w:rPr>
                <w:b w:val="0"/>
                <w:bCs/>
                <w:sz w:val="20"/>
                <w:szCs w:val="20"/>
              </w:rPr>
              <w:footnoteReference w:id="16"/>
            </w:r>
            <w:r w:rsidRPr="005E6B5D">
              <w:rPr>
                <w:b w:val="0"/>
                <w:bCs/>
                <w:sz w:val="20"/>
                <w:szCs w:val="20"/>
              </w:rPr>
              <w:t xml:space="preserve">։ Արդյունքում 2023թ․ համար սպասվող տնտեսական աճը գնահատվել է 7.4%, իսկ 2024թ. համար կանխատեսվել է 5․6% տնտեսական աճ: </w:t>
            </w:r>
          </w:p>
          <w:p w14:paraId="6792A6C6" w14:textId="77777777" w:rsidR="005D1807" w:rsidRPr="005E6B5D" w:rsidRDefault="005D1807" w:rsidP="005D1807">
            <w:pPr>
              <w:rPr>
                <w:b w:val="0"/>
                <w:bCs/>
                <w:sz w:val="20"/>
                <w:szCs w:val="20"/>
              </w:rPr>
            </w:pPr>
            <w:r w:rsidRPr="005E6B5D">
              <w:rPr>
                <w:b w:val="0"/>
                <w:bCs/>
                <w:sz w:val="20"/>
                <w:szCs w:val="20"/>
              </w:rPr>
              <w:t>Այնուհետև, հաշվի առնելով ՀՀ կառավարության տնտեսական աճի 7% թիրախը, առանձին գնահատվել են նշված թիրախի ապահովման համար անհրաժեշտ լրացուցիչ մասնավոր ներդրումների և արտահանման ծավալները, որոնց ապահովման համար նախանշվել են մի շարք միջոցառումներ (առավել մանրամասն տե՛ս ՄԱՍ III. Բ - Ծախսերի կանխատեսում), որոնք հնարավորություն կտան մեծացնել տնտեսական աճի ներուժը՝ նպաստելով բարձր կայուն տնտեսական աճի ապահովմանը։</w:t>
            </w:r>
          </w:p>
          <w:tbl>
            <w:tblPr>
              <w:tblW w:w="0" w:type="auto"/>
              <w:tblLayout w:type="fixed"/>
              <w:tblLook w:val="04A0" w:firstRow="1" w:lastRow="0" w:firstColumn="1" w:lastColumn="0" w:noHBand="0" w:noVBand="1"/>
            </w:tblPr>
            <w:tblGrid>
              <w:gridCol w:w="4470"/>
              <w:gridCol w:w="4986"/>
            </w:tblGrid>
            <w:tr w:rsidR="005D1807" w:rsidRPr="005E6B5D" w14:paraId="38FEC46F" w14:textId="77777777" w:rsidTr="00E94C66">
              <w:tc>
                <w:tcPr>
                  <w:tcW w:w="4470" w:type="dxa"/>
                </w:tcPr>
                <w:p w14:paraId="0014E4A2" w14:textId="77777777" w:rsidR="005D1807" w:rsidRPr="005E6B5D" w:rsidRDefault="005D1807" w:rsidP="005D1807">
                  <w:pPr>
                    <w:rPr>
                      <w:sz w:val="20"/>
                      <w:szCs w:val="20"/>
                    </w:rPr>
                  </w:pPr>
                  <w:r w:rsidRPr="005E6B5D">
                    <w:rPr>
                      <w:sz w:val="20"/>
                      <w:szCs w:val="20"/>
                    </w:rPr>
                    <w:t>Կանխատեսված և կառավարության կողմից թիրախավորված ՀՆԱ իրական աճ (%)</w:t>
                  </w:r>
                </w:p>
                <w:p w14:paraId="3C93C124" w14:textId="77777777" w:rsidR="005D1807" w:rsidRPr="005E6B5D" w:rsidRDefault="005D1807" w:rsidP="005D1807">
                  <w:pPr>
                    <w:rPr>
                      <w:b w:val="0"/>
                      <w:bCs/>
                      <w:sz w:val="20"/>
                      <w:szCs w:val="20"/>
                    </w:rPr>
                  </w:pPr>
                </w:p>
                <w:p w14:paraId="0B6554F4" w14:textId="77777777" w:rsidR="005D1807" w:rsidRPr="005E6B5D" w:rsidRDefault="005D1807" w:rsidP="005D1807">
                  <w:pPr>
                    <w:rPr>
                      <w:b w:val="0"/>
                      <w:bCs/>
                      <w:sz w:val="20"/>
                      <w:szCs w:val="20"/>
                    </w:rPr>
                  </w:pPr>
                  <w:r w:rsidRPr="005E6B5D">
                    <w:rPr>
                      <w:b w:val="0"/>
                      <w:bCs/>
                      <w:noProof/>
                      <w:sz w:val="20"/>
                      <w:szCs w:val="20"/>
                      <w:lang w:val="en-US" w:eastAsia="en-US"/>
                    </w:rPr>
                    <w:lastRenderedPageBreak/>
                    <w:drawing>
                      <wp:inline distT="0" distB="0" distL="0" distR="0" wp14:anchorId="600D9361" wp14:editId="03DBD506">
                        <wp:extent cx="2808000" cy="2148840"/>
                        <wp:effectExtent l="0" t="0" r="11430" b="381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986" w:type="dxa"/>
                </w:tcPr>
                <w:p w14:paraId="4978D1B5" w14:textId="77777777" w:rsidR="005D1807" w:rsidRPr="005E6B5D" w:rsidRDefault="005D1807" w:rsidP="005D1807">
                  <w:pPr>
                    <w:rPr>
                      <w:sz w:val="20"/>
                      <w:szCs w:val="20"/>
                    </w:rPr>
                  </w:pPr>
                  <w:r w:rsidRPr="005E6B5D">
                    <w:rPr>
                      <w:b w:val="0"/>
                      <w:bCs/>
                      <w:sz w:val="20"/>
                      <w:szCs w:val="20"/>
                    </w:rPr>
                    <w:lastRenderedPageBreak/>
                    <w:t xml:space="preserve"> </w:t>
                  </w:r>
                  <w:r w:rsidRPr="005E6B5D">
                    <w:rPr>
                      <w:sz w:val="20"/>
                      <w:szCs w:val="20"/>
                    </w:rPr>
                    <w:t>Հիմնական միջոցներում կապիտալ ներդրումների և արտահանման կշիռները ՀՆԱ-ում (%)</w:t>
                  </w:r>
                </w:p>
                <w:p w14:paraId="3B11E804" w14:textId="77777777" w:rsidR="005D1807" w:rsidRPr="005E6B5D" w:rsidRDefault="005D1807" w:rsidP="005D1807">
                  <w:pPr>
                    <w:rPr>
                      <w:b w:val="0"/>
                      <w:bCs/>
                      <w:sz w:val="20"/>
                      <w:szCs w:val="20"/>
                    </w:rPr>
                  </w:pPr>
                  <w:r w:rsidRPr="005E6B5D">
                    <w:rPr>
                      <w:b w:val="0"/>
                      <w:bCs/>
                      <w:noProof/>
                      <w:sz w:val="20"/>
                      <w:szCs w:val="20"/>
                      <w:lang w:val="en-US" w:eastAsia="en-US"/>
                    </w:rPr>
                    <w:lastRenderedPageBreak/>
                    <w:drawing>
                      <wp:inline distT="0" distB="0" distL="0" distR="0" wp14:anchorId="2387EB86" wp14:editId="30632AD4">
                        <wp:extent cx="2808000" cy="2148840"/>
                        <wp:effectExtent l="0" t="0" r="11430" b="381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20C2AE24" w14:textId="77777777" w:rsidR="005D1807" w:rsidRPr="005D1807" w:rsidRDefault="005D1807" w:rsidP="005D1807">
            <w:pPr>
              <w:rPr>
                <w:b w:val="0"/>
                <w:bCs/>
                <w:highlight w:val="yellow"/>
              </w:rPr>
            </w:pPr>
          </w:p>
        </w:tc>
      </w:tr>
    </w:tbl>
    <w:p w14:paraId="6AA8B4CD" w14:textId="77777777" w:rsidR="005D1807" w:rsidRPr="005D1807" w:rsidRDefault="005D1807" w:rsidP="005D1807">
      <w:pPr>
        <w:rPr>
          <w:b w:val="0"/>
          <w:bCs/>
        </w:rPr>
      </w:pPr>
    </w:p>
    <w:p w14:paraId="652D06F2" w14:textId="77777777" w:rsidR="005D1807" w:rsidRPr="005D1807" w:rsidRDefault="005D1807" w:rsidP="005D1807">
      <w:pPr>
        <w:rPr>
          <w:rFonts w:eastAsia="Calibri"/>
          <w:b w:val="0"/>
          <w:bCs/>
        </w:rPr>
      </w:pPr>
    </w:p>
    <w:p w14:paraId="0B705007" w14:textId="77777777" w:rsidR="005D1807" w:rsidRPr="005E6B5D" w:rsidRDefault="005D1807" w:rsidP="005E6B5D">
      <w:pPr>
        <w:spacing w:before="0" w:line="240" w:lineRule="auto"/>
        <w:jc w:val="left"/>
        <w:rPr>
          <w:rFonts w:eastAsiaTheme="majorEastAsia" w:cstheme="majorBidi"/>
          <w:bCs/>
          <w:color w:val="1F497D" w:themeColor="text2"/>
          <w:sz w:val="24"/>
          <w:lang w:val="hy-AM" w:eastAsia="en-US"/>
        </w:rPr>
      </w:pPr>
      <w:r w:rsidRPr="005E6B5D">
        <w:rPr>
          <w:rFonts w:eastAsiaTheme="majorEastAsia" w:cstheme="majorBidi"/>
          <w:bCs/>
          <w:color w:val="1F497D" w:themeColor="text2"/>
          <w:sz w:val="24"/>
          <w:lang w:val="hy-AM" w:eastAsia="en-US"/>
        </w:rPr>
        <w:t>1.3.2. Աշխատանքի շուկա</w:t>
      </w:r>
      <w:bookmarkEnd w:id="44"/>
    </w:p>
    <w:p w14:paraId="6EBAD569" w14:textId="77777777" w:rsidR="005D1807" w:rsidRPr="005D1807" w:rsidRDefault="005D1807" w:rsidP="005D1807">
      <w:pPr>
        <w:rPr>
          <w:b w:val="0"/>
          <w:bCs/>
          <w:highlight w:val="yellow"/>
        </w:rPr>
      </w:pPr>
      <w:r w:rsidRPr="005E6B5D">
        <w:t xml:space="preserve">Տնտեսական բարձր աճի պայմաններում 2022թ. գործազրկության մակարդակը նվազել է, իսկ աշխատուժի մասնակցության մակարդակն՝ աճել: Աճել է նաև միջին ամսական աշխատավարձը։ </w:t>
      </w:r>
      <w:r w:rsidRPr="005D1807">
        <w:rPr>
          <w:b w:val="0"/>
          <w:bCs/>
        </w:rPr>
        <w:t>2022թ. գործազրկության մակարդակը 15.5%-ից նվազել է 13.0%-ի, իսկ աշխատուժի մասնակցության մակարդակը 57.8%-ից բարձրացել` 58.8%-ի: Նույն ժամանակաշրջանում զբաղվածների թիվն աճել է 4.7%-ով, իսկ գործազուրկների թիվը՝ նվազել 14.5%-ով: Գործազրկության մակարդակի նվազումը հիմնականում պայմանավորված է եղել զբաղվածության աճով։ Միջին ամսական անվանական աշխատավարձը 2022թ. աճել է 15.5%-ով, միաժամանակ իրական աշխատավարձը` 8.6% միջին գնաճի պայմաններում ավելացել է 6.3%-ով:</w:t>
      </w:r>
    </w:p>
    <w:p w14:paraId="109A182E" w14:textId="77777777" w:rsidR="005D1807" w:rsidRPr="005D1807" w:rsidRDefault="005D1807" w:rsidP="005D1807">
      <w:pPr>
        <w:rPr>
          <w:b w:val="0"/>
          <w:bCs/>
        </w:rPr>
      </w:pPr>
      <w:r w:rsidRPr="005E6B5D">
        <w:t>Աշխատանքի շուկայի դրական զարգացումները շարունակվել են նաև 2023</w:t>
      </w:r>
      <w:proofErr w:type="gramStart"/>
      <w:r w:rsidRPr="005E6B5D">
        <w:t>թ.։</w:t>
      </w:r>
      <w:proofErr w:type="gramEnd"/>
      <w:r w:rsidRPr="005D1807">
        <w:rPr>
          <w:b w:val="0"/>
          <w:bCs/>
        </w:rPr>
        <w:t xml:space="preserve"> 2023թ. առաջին եռամսյակում գործազրկության մակարդակը կազմել է 13.7%` նախորդ տարվա նույն ժամանակահատվածի նկատմամբ նվազելով 1.1 տոկոսային կետով, իսկ աշխատուժի մասնակցության մակարդակն աճել է՝ 56.8%-ից հասնելով 59.0%-ի: Նույն ժամանակաշրջանում զբաղվածների թիվն աճել է 5.5%-ով՝ կազմելով 1129.7 հազ, մարդ, իսկ գործազուրկների թիվը նվազել է 3.6%-ով և կազմել՝ 179.6 հազ. մարդ:</w:t>
      </w:r>
    </w:p>
    <w:p w14:paraId="029E5A15" w14:textId="77777777" w:rsidR="005D1807" w:rsidRPr="005D1807" w:rsidRDefault="005D1807" w:rsidP="005D1807">
      <w:pPr>
        <w:rPr>
          <w:b w:val="0"/>
          <w:bCs/>
          <w:highlight w:val="yellow"/>
        </w:rPr>
      </w:pPr>
      <w:r w:rsidRPr="005D1807">
        <w:rPr>
          <w:rFonts w:eastAsiaTheme="majorEastAsia"/>
          <w:b w:val="0"/>
          <w:bCs/>
        </w:rPr>
        <w:t xml:space="preserve">2023թ. հունվար-հուլիսին պաշտոնապես գրանցված գործազուրկների միջին ամսական թիվը նախորդ տարվա նույն ժամանակահատվածի նկատմամբ նվազել է 16.2%-ով՝ կազմելով 46,436 մարդ: Նշենք, նաև, որ նշված ժամանակահատվածում 5.8%-ով աճել է վարձու աշխատողների թիվը, որին </w:t>
      </w:r>
      <w:r w:rsidRPr="005D1807">
        <w:rPr>
          <w:b w:val="0"/>
          <w:bCs/>
        </w:rPr>
        <w:t>հիմնականում նպաստել են մշակող արդյունաբերության, տեղեկատվության և կապի, կացության և հանրային սննդի կազմակերպման, շինարարության, ինչպես նաև մշակույթ, զվարճություններ և հանգիստ</w:t>
      </w:r>
      <w:r w:rsidRPr="005D1807" w:rsidDel="0004524D">
        <w:rPr>
          <w:b w:val="0"/>
          <w:bCs/>
        </w:rPr>
        <w:t xml:space="preserve"> </w:t>
      </w:r>
      <w:r w:rsidRPr="005D1807">
        <w:rPr>
          <w:b w:val="0"/>
          <w:bCs/>
        </w:rPr>
        <w:t>ոլորտներում աշխատողների թվի աճը։ Սա իր հերթին հիմնականում պայմանավորված է ՀՀ ժամանած զբոսաշրջիկների և աշխատանքային միգրանտների թվի ավելացմամբ, ինչպես նաև մշակող արդյունաբերության արտադրանքի նկատմամբ պահանջարկի աճով և շինարարության ոլորտի դրական զարգացումներով։</w:t>
      </w:r>
    </w:p>
    <w:p w14:paraId="0FF2820B" w14:textId="77777777" w:rsidR="005D1807" w:rsidRPr="005D1807" w:rsidRDefault="005D1807" w:rsidP="005D1807">
      <w:pPr>
        <w:rPr>
          <w:b w:val="0"/>
          <w:bCs/>
        </w:rPr>
      </w:pPr>
      <w:r w:rsidRPr="005D1807">
        <w:rPr>
          <w:b w:val="0"/>
          <w:bCs/>
        </w:rPr>
        <w:lastRenderedPageBreak/>
        <w:t xml:space="preserve">2023թ. տնտեսական աճի պայմաններում աշխատանքի շուկայում կդրսևորվեն դրական զարգացումներ։ Այս պայմաններում ակնկալվում է զբաղվածության աճ և գործազրկության ավելի ցածր մակարդակ։ </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869"/>
        <w:gridCol w:w="4878"/>
      </w:tblGrid>
      <w:tr w:rsidR="005D1807" w:rsidRPr="005D1807" w14:paraId="5AA3187A" w14:textId="77777777" w:rsidTr="00E94C66">
        <w:trPr>
          <w:trHeight w:val="4161"/>
        </w:trPr>
        <w:tc>
          <w:tcPr>
            <w:tcW w:w="5004" w:type="dxa"/>
          </w:tcPr>
          <w:p w14:paraId="65738C21" w14:textId="77777777" w:rsidR="005D1807" w:rsidRPr="005D1807" w:rsidRDefault="005D1807" w:rsidP="005D1807">
            <w:pPr>
              <w:rPr>
                <w:b w:val="0"/>
                <w:bCs/>
              </w:rPr>
            </w:pPr>
            <w:r w:rsidRPr="005D1807">
              <w:rPr>
                <w:b w:val="0"/>
                <w:bCs/>
              </w:rPr>
              <w:t>Գծապատկեր 1.23. Գործազրկություն, զբաղվածներ, վարձու աշխատողներ</w:t>
            </w:r>
          </w:p>
          <w:p w14:paraId="1CD3BE4F" w14:textId="77777777" w:rsidR="005D1807" w:rsidRPr="005D1807" w:rsidRDefault="005D1807" w:rsidP="005D1807">
            <w:pPr>
              <w:rPr>
                <w:b w:val="0"/>
                <w:bCs/>
              </w:rPr>
            </w:pPr>
            <w:r w:rsidRPr="005D1807">
              <w:rPr>
                <w:b w:val="0"/>
                <w:bCs/>
              </w:rPr>
              <w:t xml:space="preserve"> </w:t>
            </w:r>
            <w:r w:rsidRPr="005D1807">
              <w:rPr>
                <w:b w:val="0"/>
                <w:bCs/>
                <w:noProof/>
                <w:lang w:val="en-US" w:eastAsia="en-US"/>
              </w:rPr>
              <w:drawing>
                <wp:inline distT="0" distB="0" distL="0" distR="0" wp14:anchorId="676ED4DD" wp14:editId="21E917ED">
                  <wp:extent cx="2808000" cy="2003398"/>
                  <wp:effectExtent l="0" t="0" r="11430" b="16510"/>
                  <wp:docPr id="87"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2389AE5" w14:textId="77777777" w:rsidR="005D1807" w:rsidRPr="005D1807" w:rsidRDefault="005D1807" w:rsidP="005D1807">
            <w:pPr>
              <w:rPr>
                <w:b w:val="0"/>
                <w:bCs/>
                <w:highlight w:val="yellow"/>
              </w:rPr>
            </w:pPr>
            <w:r w:rsidRPr="005D1807">
              <w:rPr>
                <w:b w:val="0"/>
                <w:bCs/>
              </w:rPr>
              <w:t>Աղբյուրը՝ ՀՀ ՎԿ</w:t>
            </w:r>
          </w:p>
        </w:tc>
        <w:tc>
          <w:tcPr>
            <w:tcW w:w="5020" w:type="dxa"/>
          </w:tcPr>
          <w:p w14:paraId="509AED86" w14:textId="77777777" w:rsidR="005D1807" w:rsidRPr="005D1807" w:rsidRDefault="005D1807" w:rsidP="005D1807">
            <w:pPr>
              <w:rPr>
                <w:b w:val="0"/>
                <w:bCs/>
              </w:rPr>
            </w:pPr>
            <w:r w:rsidRPr="005D1807">
              <w:rPr>
                <w:b w:val="0"/>
                <w:bCs/>
              </w:rPr>
              <w:t xml:space="preserve">Գծապատկեր 1.24. Աշխատուժի մասնակցության մակարդակ և աշխատավարձ </w:t>
            </w:r>
            <w:r w:rsidRPr="005D1807">
              <w:rPr>
                <w:b w:val="0"/>
                <w:bCs/>
                <w:noProof/>
                <w:lang w:val="en-US" w:eastAsia="en-US"/>
              </w:rPr>
              <w:drawing>
                <wp:inline distT="0" distB="0" distL="0" distR="0" wp14:anchorId="06479952" wp14:editId="03D19770">
                  <wp:extent cx="2808000" cy="2019300"/>
                  <wp:effectExtent l="0" t="0" r="11430" b="0"/>
                  <wp:docPr id="88"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2971F92" w14:textId="77777777" w:rsidR="005D1807" w:rsidRPr="005D1807" w:rsidRDefault="005D1807" w:rsidP="005D1807">
            <w:pPr>
              <w:rPr>
                <w:b w:val="0"/>
                <w:bCs/>
                <w:highlight w:val="yellow"/>
              </w:rPr>
            </w:pPr>
            <w:r w:rsidRPr="005D1807">
              <w:rPr>
                <w:b w:val="0"/>
                <w:bCs/>
              </w:rPr>
              <w:t>Աղբյուրը՝ ՀՀ ՎԿ</w:t>
            </w:r>
          </w:p>
        </w:tc>
      </w:tr>
    </w:tbl>
    <w:p w14:paraId="3DEEE480" w14:textId="77777777" w:rsidR="005D1807" w:rsidRPr="005D1807" w:rsidRDefault="005D1807" w:rsidP="005D1807">
      <w:pPr>
        <w:rPr>
          <w:b w:val="0"/>
          <w:bCs/>
        </w:rPr>
      </w:pPr>
      <w:r w:rsidRPr="005D1807">
        <w:rPr>
          <w:b w:val="0"/>
          <w:bCs/>
        </w:rPr>
        <w:t>2023թ. տարեսկզբից տնտեսական աճի պայմաններում միջին ամսական անվանական աշխատավարձի աճի բարձր տեմպը (հիմնականում մասնավոր հատվածում) պահպանվել է, սակայն վերջին ամիսներին նկատվում է աճի տեմպի դանդաղում: 2023թ. հունվար-հուլիսին միջին ամսական անվանական աշխատավարձն աճել է 18.5%-ով՝ կազմելով 262,591 դրամ, ինչը հիմնականում պայմանավորված է եղել տեղեկատվական տեխնոլոգիաների, մշակող արդյունաբերության, մեծածախ և մանրածախ առևտրի, ինչպես նաև մշակույթ, զվարճություններ և հանգիստ ոլորտների աշխատավարձերի աճով:</w:t>
      </w:r>
    </w:p>
    <w:p w14:paraId="10C0D6B9" w14:textId="77777777" w:rsidR="005D1807" w:rsidRPr="005D1807" w:rsidRDefault="005D1807" w:rsidP="005D1807">
      <w:pPr>
        <w:rPr>
          <w:b w:val="0"/>
          <w:bCs/>
        </w:rPr>
      </w:pPr>
      <w:r w:rsidRPr="005D1807">
        <w:rPr>
          <w:b w:val="0"/>
          <w:bCs/>
        </w:rPr>
        <w:t>Միաժամանակ, սպառողական գների ինդեքսի 3.6% աճի պայմաններում իրական աշխատավարձն աճել է շուրջ 14.4%-ով: Պետական հատվածում միջին ամսական անվանական աշխատավարձն աճել է 9.3%-ով՝ կազմելով 195,749 դրամ, իսկ մասնավոր հատվածում՝ 20.6%-ով՝ կազմելով 290,140 դրամ:</w:t>
      </w:r>
    </w:p>
    <w:p w14:paraId="50FA30FA" w14:textId="77777777" w:rsidR="005D1807" w:rsidRPr="005D1807" w:rsidRDefault="005D1807" w:rsidP="005D1807">
      <w:pPr>
        <w:rPr>
          <w:b w:val="0"/>
          <w:bCs/>
        </w:rPr>
      </w:pPr>
    </w:p>
    <w:p w14:paraId="2935C262" w14:textId="77777777" w:rsidR="005D1807" w:rsidRPr="005E6B5D" w:rsidRDefault="005D1807" w:rsidP="005E6B5D">
      <w:pPr>
        <w:spacing w:before="0" w:line="240" w:lineRule="auto"/>
        <w:jc w:val="left"/>
        <w:rPr>
          <w:rFonts w:eastAsiaTheme="majorEastAsia" w:cstheme="majorBidi"/>
          <w:bCs/>
          <w:color w:val="1F497D" w:themeColor="text2"/>
          <w:sz w:val="24"/>
          <w:lang w:val="hy-AM" w:eastAsia="en-US"/>
        </w:rPr>
      </w:pPr>
      <w:r w:rsidRPr="005E6B5D">
        <w:rPr>
          <w:rFonts w:eastAsiaTheme="majorEastAsia" w:cstheme="majorBidi"/>
          <w:bCs/>
          <w:color w:val="1F497D" w:themeColor="text2"/>
          <w:sz w:val="24"/>
          <w:lang w:val="hy-AM" w:eastAsia="en-US"/>
        </w:rPr>
        <w:t xml:space="preserve">1.3.3. ՀՀ վճարային հաշվեկշիռ, արտահանում և ներմուծում </w:t>
      </w:r>
    </w:p>
    <w:p w14:paraId="0E6F0218" w14:textId="77777777" w:rsidR="005D1807" w:rsidRPr="0073392C" w:rsidRDefault="005D1807" w:rsidP="005D1807">
      <w:pPr>
        <w:rPr>
          <w:b w:val="0"/>
          <w:bCs/>
          <w:lang w:val="hy-AM"/>
        </w:rPr>
      </w:pPr>
      <w:r w:rsidRPr="0073392C">
        <w:rPr>
          <w:lang w:val="hy-AM"/>
        </w:rPr>
        <w:t>2022թ</w:t>
      </w:r>
      <w:r w:rsidRPr="0073392C">
        <w:rPr>
          <w:rFonts w:eastAsia="Calibri"/>
          <w:lang w:val="hy-AM"/>
        </w:rPr>
        <w:t>․ ընթացիկ հաշիվը նախորդ տարվա համեմատ բարելավվել է՝ կազմելով ՀՆԱ-ի 0.8%-ը:</w:t>
      </w:r>
      <w:r w:rsidRPr="0073392C">
        <w:rPr>
          <w:rFonts w:eastAsia="Calibri"/>
          <w:b w:val="0"/>
          <w:bCs/>
          <w:lang w:val="hy-AM"/>
        </w:rPr>
        <w:t xml:space="preserve"> Ընթացիկ հաշվի բարելավումը հիմնականում պայմանավորված է եղել ծառայությունների արտահանման բարձր աճով, ինչպես նաև արտաքին որոշ շուկաներում (հատկապես՝ ՌԴ-ում) ՀՀ ապրանքների նկատմամբ պահանջարկի ավելացմամբ: Դոլարային արտահայտությամբ ապրանքների և ծառայությունների բացասական հաշվեկշիռը կազմել է ՀՆԱ-ի 0.8%-ը` նախորդ տարվա համեմատ բարելավվելով 7.2 տոկոսային կետով, ինչը հիմնականում պայմանավորված է ծառայությունների հաշվեկշռի՝ ՀՆԱ-ում 5.9 տոկոսային կետով բարելավմամբ: Տնտեսություն ներհոսող դրամական զուտ փոխանցումները 2022թ. աճել են մոտ 21%-ով` հիմնականում պայմանավորված ինչպես տրանսֆերտների ներհոսքով, այնպես էլ ռուս-ուկրաինական հակամարտության արդյունքում ՌԴ-ից դեպի ՀՀ փոխանցվող այլ դրամական հոսքերով: 2022թ. </w:t>
      </w:r>
      <w:r w:rsidRPr="0073392C">
        <w:rPr>
          <w:rFonts w:eastAsia="Calibri"/>
          <w:b w:val="0"/>
          <w:bCs/>
          <w:lang w:val="hy-AM"/>
        </w:rPr>
        <w:lastRenderedPageBreak/>
        <w:t>նշված զարգացումների արդյունքում արձանագվել է ՀՆԱ-ում ընթացիկ հաշվի հավելուրդ՝ նախորդ տարվա համեմատ բարելավվելով 4.3 տոկոսային կետով:</w:t>
      </w:r>
    </w:p>
    <w:p w14:paraId="53B01A0D" w14:textId="77777777" w:rsidR="005D1807" w:rsidRPr="0073392C" w:rsidRDefault="005D1807" w:rsidP="005D1807">
      <w:pPr>
        <w:rPr>
          <w:b w:val="0"/>
          <w:bCs/>
          <w:lang w:val="hy-AM"/>
        </w:rPr>
      </w:pPr>
      <w:r w:rsidRPr="0073392C">
        <w:rPr>
          <w:lang w:val="hy-AM"/>
        </w:rPr>
        <w:t>2023թ. հունվար-հուլիս ամիսներին առևտրային հաշվեկշիռը վատթարացել է, ծառայությունների հաշվեկշիռը բարելավվել, իսկ զուտ դրամական փոխանցումների դերը նվազել:</w:t>
      </w:r>
      <w:r w:rsidRPr="0073392C">
        <w:rPr>
          <w:b w:val="0"/>
          <w:bCs/>
          <w:lang w:val="hy-AM"/>
        </w:rPr>
        <w:t xml:space="preserve"> Ծառայությունների հաշվեկշռի բարելավումը հիմնականում պայմանավորվել է ՀՀ այցելած զբոսաշրջիկների բարձր աճով: Բացի այդ, ՀՀ բանկերի միջոցով ֆիզիկական անձանց անունով առևտրային և ոչ առևտրային բնույթի դրամական փոխանցումներին զուտ ներհոսքը նվազել է, որում ոչ առևտրային բնույթի դրամական փոխանցումների նվազումն ավելի խորն է: Մ</w:t>
      </w:r>
      <w:r w:rsidRPr="0073392C">
        <w:rPr>
          <w:rFonts w:eastAsia="Calibri"/>
          <w:b w:val="0"/>
          <w:bCs/>
          <w:lang w:val="hy-AM"/>
        </w:rPr>
        <w:t xml:space="preserve">ասնավորապես՝ </w:t>
      </w:r>
      <w:r w:rsidRPr="0073392C">
        <w:rPr>
          <w:b w:val="0"/>
          <w:bCs/>
          <w:lang w:val="hy-AM"/>
        </w:rPr>
        <w:t>ընթացիկ տարվա հունվար-հուլիս ամիսներին տեղի է ունեցել արտերկրից ստացված ոչ առևտրային բնույթի զուտ դրամական փոխանցումների շուրջ 33 % նվազում</w:t>
      </w:r>
      <w:r w:rsidRPr="00D51898">
        <w:rPr>
          <w:b w:val="0"/>
          <w:bCs/>
          <w:sz w:val="16"/>
          <w:szCs w:val="16"/>
        </w:rPr>
        <w:footnoteReference w:id="17"/>
      </w:r>
      <w:r w:rsidRPr="0073392C">
        <w:rPr>
          <w:b w:val="0"/>
          <w:bCs/>
          <w:lang w:val="hy-AM"/>
        </w:rPr>
        <w:t>։</w:t>
      </w:r>
    </w:p>
    <w:tbl>
      <w:tblPr>
        <w:tblW w:w="10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5"/>
        <w:gridCol w:w="4611"/>
      </w:tblGrid>
      <w:tr w:rsidR="005D1807" w:rsidRPr="005D1807" w14:paraId="157888DC" w14:textId="77777777" w:rsidTr="00E94C66">
        <w:trPr>
          <w:trHeight w:val="6112"/>
        </w:trPr>
        <w:tc>
          <w:tcPr>
            <w:tcW w:w="5395" w:type="dxa"/>
            <w:shd w:val="clear" w:color="auto" w:fill="auto"/>
          </w:tcPr>
          <w:p w14:paraId="25E43B91" w14:textId="77777777" w:rsidR="005D1807" w:rsidRPr="0073392C" w:rsidRDefault="005D1807" w:rsidP="005D1807">
            <w:pPr>
              <w:rPr>
                <w:rFonts w:eastAsia="Calibri"/>
                <w:b w:val="0"/>
                <w:bCs/>
                <w:lang w:val="hy-AM"/>
              </w:rPr>
            </w:pPr>
            <w:r w:rsidRPr="0073392C">
              <w:rPr>
                <w:rFonts w:eastAsia="Calibri"/>
                <w:lang w:val="hy-AM"/>
              </w:rPr>
              <w:t>Գծապատկեր 1.25.</w:t>
            </w:r>
            <w:r w:rsidRPr="0073392C">
              <w:rPr>
                <w:rFonts w:eastAsia="Calibri"/>
                <w:b w:val="0"/>
                <w:bCs/>
                <w:lang w:val="hy-AM"/>
              </w:rPr>
              <w:t xml:space="preserve"> Ընթացիկ հաշվի և դրա բաղադրատարրերի դինամիկան, % ՀՆԱ-ում</w:t>
            </w:r>
          </w:p>
          <w:p w14:paraId="3FCDF128" w14:textId="77777777" w:rsidR="005D1807" w:rsidRPr="0073392C" w:rsidRDefault="005D1807" w:rsidP="005D1807">
            <w:pPr>
              <w:rPr>
                <w:rFonts w:eastAsia="Calibri"/>
                <w:b w:val="0"/>
                <w:bCs/>
                <w:lang w:val="hy-AM"/>
              </w:rPr>
            </w:pPr>
            <w:r w:rsidRPr="005D1807">
              <w:rPr>
                <w:b w:val="0"/>
                <w:bCs/>
                <w:noProof/>
                <w:lang w:val="en-US" w:eastAsia="en-US"/>
              </w:rPr>
              <w:drawing>
                <wp:inline distT="0" distB="0" distL="0" distR="0" wp14:anchorId="1AAB6374" wp14:editId="3C1322B9">
                  <wp:extent cx="2860040" cy="2519680"/>
                  <wp:effectExtent l="0" t="0" r="16510" b="13970"/>
                  <wp:docPr id="16120835"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73392C">
              <w:rPr>
                <w:rFonts w:eastAsia="Calibri"/>
                <w:b w:val="0"/>
                <w:bCs/>
                <w:lang w:val="hy-AM"/>
              </w:rPr>
              <w:t>Աղբյուրը՝ ՀՀ ՎԿ, ՀՀ ՖՆ հաշվարկներ</w:t>
            </w:r>
          </w:p>
          <w:p w14:paraId="5AA9704F" w14:textId="77777777" w:rsidR="005D1807" w:rsidRPr="0073392C" w:rsidRDefault="005D1807" w:rsidP="005D1807">
            <w:pPr>
              <w:rPr>
                <w:rFonts w:eastAsia="Calibri"/>
                <w:b w:val="0"/>
                <w:bCs/>
                <w:lang w:val="hy-AM"/>
              </w:rPr>
            </w:pPr>
            <w:r w:rsidRPr="0073392C">
              <w:rPr>
                <w:rFonts w:eastAsia="Calibri"/>
                <w:lang w:val="hy-AM"/>
              </w:rPr>
              <w:t>Գծապատկեր 1.27.</w:t>
            </w:r>
            <w:r w:rsidRPr="0073392C">
              <w:rPr>
                <w:rFonts w:eastAsia="Calibri"/>
                <w:b w:val="0"/>
                <w:bCs/>
                <w:lang w:val="hy-AM"/>
              </w:rPr>
              <w:t xml:space="preserve"> Ծառայությունների արտահանում, ներմուծում և հաշվեկշռի դինամիկան, մլն ԱՄՆ դոլար</w:t>
            </w:r>
          </w:p>
          <w:p w14:paraId="31466C4E" w14:textId="77777777" w:rsidR="005D1807" w:rsidRPr="005D1807" w:rsidRDefault="005D1807" w:rsidP="005D1807">
            <w:pPr>
              <w:rPr>
                <w:rFonts w:eastAsia="GHEA Grapalat"/>
                <w:b w:val="0"/>
                <w:bCs/>
              </w:rPr>
            </w:pPr>
            <w:r w:rsidRPr="005D1807">
              <w:rPr>
                <w:b w:val="0"/>
                <w:bCs/>
                <w:noProof/>
                <w:lang w:val="en-US" w:eastAsia="en-US"/>
              </w:rPr>
              <w:lastRenderedPageBreak/>
              <w:drawing>
                <wp:inline distT="0" distB="0" distL="0" distR="0" wp14:anchorId="4527D4EB" wp14:editId="242020AD">
                  <wp:extent cx="2840990" cy="2355850"/>
                  <wp:effectExtent l="0" t="0" r="16510" b="6350"/>
                  <wp:docPr id="16120836"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5B5AB7F" w14:textId="77777777" w:rsidR="005D1807" w:rsidRPr="005D1807" w:rsidRDefault="005D1807" w:rsidP="005D1807">
            <w:pPr>
              <w:rPr>
                <w:rFonts w:eastAsia="GHEA Grapalat"/>
                <w:b w:val="0"/>
                <w:bCs/>
              </w:rPr>
            </w:pPr>
            <w:r w:rsidRPr="005D1807">
              <w:rPr>
                <w:rFonts w:eastAsia="Calibri"/>
                <w:b w:val="0"/>
                <w:bCs/>
              </w:rPr>
              <w:t>Աղբյուրը՝ ՀՀ ՎԿ, ՀՀ ՖՆ հաշվարկներ</w:t>
            </w:r>
          </w:p>
        </w:tc>
        <w:tc>
          <w:tcPr>
            <w:tcW w:w="4611" w:type="dxa"/>
            <w:shd w:val="clear" w:color="auto" w:fill="auto"/>
          </w:tcPr>
          <w:p w14:paraId="55812C0F" w14:textId="77777777" w:rsidR="005D1807" w:rsidRPr="005D1807" w:rsidRDefault="005D1807" w:rsidP="005D1807">
            <w:pPr>
              <w:rPr>
                <w:rFonts w:eastAsia="Calibri"/>
                <w:b w:val="0"/>
                <w:bCs/>
              </w:rPr>
            </w:pPr>
            <w:r w:rsidRPr="005E6B5D">
              <w:rPr>
                <w:rFonts w:eastAsia="Calibri"/>
              </w:rPr>
              <w:lastRenderedPageBreak/>
              <w:t>Գծապատկեր 1.26.</w:t>
            </w:r>
            <w:r w:rsidRPr="005D1807">
              <w:rPr>
                <w:rFonts w:eastAsia="Calibri"/>
                <w:b w:val="0"/>
                <w:bCs/>
              </w:rPr>
              <w:t xml:space="preserve"> Ապրանքների արտահանման, ներմուծման և առևտրային հաշվի դինամիկան, մլն ԱՄՆ դոլար </w:t>
            </w:r>
            <w:r w:rsidRPr="005D1807">
              <w:rPr>
                <w:rFonts w:eastAsia="Calibri"/>
                <w:b w:val="0"/>
                <w:bCs/>
                <w:noProof/>
                <w:lang w:val="en-US" w:eastAsia="en-US"/>
              </w:rPr>
              <w:drawing>
                <wp:inline distT="0" distB="0" distL="0" distR="0" wp14:anchorId="7F925680" wp14:editId="2C0D5B8C">
                  <wp:extent cx="2772461" cy="2519680"/>
                  <wp:effectExtent l="0" t="0" r="8890" b="13970"/>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5D1807">
              <w:rPr>
                <w:rFonts w:eastAsia="Calibri"/>
                <w:b w:val="0"/>
                <w:bCs/>
              </w:rPr>
              <w:t>Աղբյուրը՝ ՀՀ ՎԿ, ՀՀ ՖՆ հաշվարկներ</w:t>
            </w:r>
          </w:p>
          <w:p w14:paraId="57841E47" w14:textId="77777777" w:rsidR="005D1807" w:rsidRPr="005D1807" w:rsidRDefault="005D1807" w:rsidP="005D1807">
            <w:pPr>
              <w:rPr>
                <w:rFonts w:eastAsia="Calibri"/>
                <w:b w:val="0"/>
                <w:bCs/>
              </w:rPr>
            </w:pPr>
            <w:r w:rsidRPr="005E6B5D">
              <w:rPr>
                <w:rFonts w:eastAsia="Calibri"/>
              </w:rPr>
              <w:t>Գծապատկեր 1.28.</w:t>
            </w:r>
            <w:r w:rsidRPr="005D1807">
              <w:rPr>
                <w:rFonts w:eastAsia="Calibri"/>
                <w:b w:val="0"/>
                <w:bCs/>
              </w:rPr>
              <w:t xml:space="preserve"> Զուտ դրամական փոխանցումների դինամիկան, մլն ԱՄՆ </w:t>
            </w:r>
            <w:r w:rsidRPr="005D1807">
              <w:rPr>
                <w:rFonts w:eastAsia="Calibri"/>
                <w:b w:val="0"/>
                <w:bCs/>
              </w:rPr>
              <w:lastRenderedPageBreak/>
              <w:t>դոլար</w:t>
            </w:r>
            <w:r w:rsidRPr="005D1807">
              <w:rPr>
                <w:rFonts w:eastAsia="Calibri"/>
                <w:b w:val="0"/>
                <w:bCs/>
                <w:noProof/>
                <w:lang w:val="en-US" w:eastAsia="en-US"/>
              </w:rPr>
              <w:drawing>
                <wp:inline distT="0" distB="0" distL="0" distR="0" wp14:anchorId="177DC4D5" wp14:editId="4EF4D0FB">
                  <wp:extent cx="2772410" cy="2353945"/>
                  <wp:effectExtent l="0" t="0" r="8890" b="8255"/>
                  <wp:docPr id="45" name="Chart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28A7A0A" w14:textId="77777777" w:rsidR="005D1807" w:rsidRPr="005D1807" w:rsidRDefault="005D1807" w:rsidP="005D1807">
            <w:pPr>
              <w:rPr>
                <w:rFonts w:eastAsia="Calibri"/>
                <w:b w:val="0"/>
                <w:bCs/>
              </w:rPr>
            </w:pPr>
            <w:r w:rsidRPr="005D1807">
              <w:rPr>
                <w:rFonts w:eastAsia="Calibri"/>
                <w:b w:val="0"/>
                <w:bCs/>
              </w:rPr>
              <w:t>Աղբյուրը՝ ՀՀ ՎԿ, ՀՀ ՖՆ հաշվարկներ</w:t>
            </w:r>
          </w:p>
        </w:tc>
      </w:tr>
    </w:tbl>
    <w:p w14:paraId="4C270E61" w14:textId="77777777" w:rsidR="005D1807" w:rsidRPr="005D1807" w:rsidRDefault="005D1807" w:rsidP="005D1807">
      <w:pPr>
        <w:rPr>
          <w:rFonts w:eastAsia="Calibri"/>
          <w:b w:val="0"/>
          <w:bCs/>
        </w:rPr>
      </w:pPr>
      <w:r w:rsidRPr="005D1807">
        <w:rPr>
          <w:b w:val="0"/>
          <w:bCs/>
        </w:rPr>
        <w:lastRenderedPageBreak/>
        <w:t xml:space="preserve"> </w:t>
      </w:r>
      <w:r w:rsidRPr="005D1807">
        <w:rPr>
          <w:rFonts w:eastAsia="Calibri"/>
          <w:b w:val="0"/>
          <w:bCs/>
        </w:rPr>
        <w:t xml:space="preserve">      </w:t>
      </w:r>
    </w:p>
    <w:p w14:paraId="115F8166" w14:textId="77777777" w:rsidR="005D1807" w:rsidRPr="005D1807" w:rsidRDefault="005D1807" w:rsidP="005D1807">
      <w:pPr>
        <w:rPr>
          <w:b w:val="0"/>
          <w:bCs/>
        </w:rPr>
      </w:pPr>
      <w:r w:rsidRPr="005D1807">
        <w:rPr>
          <w:rFonts w:eastAsia="Calibri"/>
          <w:b w:val="0"/>
          <w:bCs/>
        </w:rPr>
        <w:t xml:space="preserve">  </w:t>
      </w:r>
      <w:r w:rsidRPr="00FE6EF4">
        <w:rPr>
          <w:rFonts w:eastAsia="Calibri"/>
        </w:rPr>
        <w:t>Կանխատեսում։</w:t>
      </w:r>
      <w:r w:rsidRPr="005D1807">
        <w:rPr>
          <w:rFonts w:eastAsia="Calibri"/>
          <w:b w:val="0"/>
          <w:bCs/>
        </w:rPr>
        <w:t xml:space="preserve"> Ա</w:t>
      </w:r>
      <w:r w:rsidRPr="005D1807">
        <w:rPr>
          <w:b w:val="0"/>
          <w:bCs/>
        </w:rPr>
        <w:t>ռևտրային հաշվեկշռի և ոչ առևտրային բնույթի (աշխատավարձ և տրասնֆերտներ) դրամական փոխանցումների ՀՆԱ-ի նկատմամբ դերի վատթարացմամբ պայմանավորված ընթացիկ հաշվի պակասուրդը կխորանա և 2023թ․</w:t>
      </w:r>
      <w:r w:rsidRPr="005D1807">
        <w:rPr>
          <w:rFonts w:eastAsiaTheme="majorEastAsia"/>
          <w:b w:val="0"/>
          <w:bCs/>
        </w:rPr>
        <w:t xml:space="preserve"> կկազմի ՀՆԱ-ի 4.0%-ը</w:t>
      </w:r>
      <w:r w:rsidRPr="005D1807">
        <w:rPr>
          <w:b w:val="0"/>
          <w:bCs/>
        </w:rPr>
        <w:t xml:space="preserve">: Առևտրային հաշվեկշռի որոշակի վատթարացման և դրամական փոխանցումների դերի շարունակվող նվազման պայմաններում </w:t>
      </w:r>
      <w:r w:rsidRPr="005D1807">
        <w:rPr>
          <w:rFonts w:eastAsiaTheme="majorEastAsia"/>
          <w:b w:val="0"/>
          <w:bCs/>
        </w:rPr>
        <w:t>2024թ․ ընթացիկ հաշվի պակասուրդը կշարունակի խորանալ:</w:t>
      </w:r>
    </w:p>
    <w:p w14:paraId="17F3D796" w14:textId="77777777" w:rsidR="005D1807" w:rsidRPr="005D1807" w:rsidRDefault="005D1807" w:rsidP="005D1807">
      <w:pPr>
        <w:rPr>
          <w:rFonts w:eastAsia="Calibri"/>
          <w:b w:val="0"/>
          <w:bCs/>
        </w:rPr>
      </w:pPr>
      <w:r w:rsidRPr="00FE6EF4">
        <w:rPr>
          <w:rFonts w:eastAsia="Calibri"/>
        </w:rPr>
        <w:t>Արտահանում: 2022թ․ արձանագրվել է արտահանման երկնիշ դոլարային (100.3%) աճ` հիմնականում պայմանավորված ծառայությունների արտահանման (զբոսաշրջության) աճով, ինչպես նաև արտաքին որոշ շուկաներում (հատկապես՝ ՌԴ-ում) ՀՀ ապրանքների նկատմամբ պահանջարկի ավելացմամբ:</w:t>
      </w:r>
      <w:r w:rsidRPr="005D1807">
        <w:rPr>
          <w:rFonts w:eastAsia="Calibri"/>
          <w:b w:val="0"/>
          <w:bCs/>
        </w:rPr>
        <w:t xml:space="preserve"> 2022թ. ապրանքների արտահանումն աճել է 74.5%-ով՝ պայմանավորված արտաքին որոշ շուկաներում (հատկապես՝ ՌԴ-ում Ռուս-ուկրաինական հակամարտության և ՌԴ-ի նկատմամբ կիրառվող աննախադեպ պատժամիջոցների հետևանքով) ՀՀ ապրանքների նկատմամբ պահանջարկի աճով, ինչպես նաև արտահանման առաջարկի ավելացմամբ։ Ծառայությունների արտահանման շուրջ 2.5 անգամ աճին հիմնական նպաստում է ունեցել զբոսաշրջության կտրուկ աճը (ճանապարհորդության նպաստումը դոլարային աճին՝ 95.4 տոկոսային կետ): 2022թ. ՀՀ այցելած զբոսաշրջիկների թիվը կազմել է շուրջ 1666 հազար մարդ՝ նախորդ տարվա համեմատ ավելանալով շուրջ 2 անգամ (շուրջ 790 հազար մարդով): Ռուս-ուկրաինական հակամարտության, ՌԴ դեմ կիրառված աննախադեպ պատժամիջոցների և ՌԴ կողմից սեպտեմբերին հայտարարված մասնակի մոբիլիզացիայի արդյունքում 2022թ. ընթացքում ՀՀ այցելած ՌԴ զբոսաշրջիկների թվաքանակը կազմել է շուրջ 790 հազար՝ աճելով 2.2 անգամ (շուրջ 439 հազար մարդով): </w:t>
      </w:r>
    </w:p>
    <w:p w14:paraId="00A24B72" w14:textId="77777777" w:rsidR="005D1807" w:rsidRPr="005D1807" w:rsidRDefault="005D1807" w:rsidP="005D1807">
      <w:pPr>
        <w:rPr>
          <w:rFonts w:eastAsia="Calibri"/>
          <w:b w:val="0"/>
          <w:bCs/>
        </w:rPr>
      </w:pPr>
      <w:r w:rsidRPr="00FE6EF4">
        <w:rPr>
          <w:rFonts w:eastAsiaTheme="majorEastAsia"/>
        </w:rPr>
        <w:lastRenderedPageBreak/>
        <w:t>2023թ. հունվար-օգոստոս ամիսներին ՀՀ ապրանքների արտահանումը գրանցել է բարձր աճ՝ շուրջ 52%, սակայն հունիս ամսից սկսած նկատվել է արտահանման աճի տեմպի կտրուկ դանդաղում:</w:t>
      </w:r>
      <w:r w:rsidRPr="005D1807">
        <w:rPr>
          <w:rFonts w:eastAsiaTheme="majorEastAsia"/>
          <w:b w:val="0"/>
          <w:bCs/>
        </w:rPr>
        <w:t xml:space="preserve"> </w:t>
      </w:r>
      <w:r w:rsidRPr="005D1807">
        <w:rPr>
          <w:rFonts w:eastAsia="Calibri"/>
          <w:b w:val="0"/>
          <w:bCs/>
        </w:rPr>
        <w:t>Աճի տեմպի դանդաղումը պայմանավորված է այն հանգամանքով, որ 2022թ. հունիս ամսից ՀՀ արտահանման ծավալները կտրուկ ավելացել էին՝ արտաքին որոշ շուկաներում (հատկապես՝ ՌԴ-ում) ՀՀ ապրանքների նկատմամբ բարձր պահանջարկի արդյունքում: Ուստի 2023թ. արտահանման բարձր ծավալների պահպանման պայմաններում, բարձր բազայի առկայության պայմաններում աճի տեմպերը կտրուկ դանդաղում են:</w:t>
      </w:r>
    </w:p>
    <w:p w14:paraId="6D34FF7F" w14:textId="77777777" w:rsidR="005D1807" w:rsidRPr="005D1807" w:rsidRDefault="005D1807" w:rsidP="005D1807">
      <w:pPr>
        <w:rPr>
          <w:rFonts w:eastAsia="Calibri"/>
          <w:b w:val="0"/>
          <w:bCs/>
        </w:rPr>
      </w:pPr>
      <w:r w:rsidRPr="00FE6EF4">
        <w:rPr>
          <w:rFonts w:eastAsia="Calibri"/>
          <w:noProof/>
          <w:lang w:val="en-US" w:eastAsia="en-US"/>
        </w:rPr>
        <w:drawing>
          <wp:anchor distT="0" distB="0" distL="114300" distR="114300" simplePos="0" relativeHeight="251769856" behindDoc="1" locked="0" layoutInCell="1" allowOverlap="1" wp14:anchorId="21021077" wp14:editId="673E728E">
            <wp:simplePos x="0" y="0"/>
            <wp:positionH relativeFrom="margin">
              <wp:posOffset>3181350</wp:posOffset>
            </wp:positionH>
            <wp:positionV relativeFrom="paragraph">
              <wp:posOffset>354330</wp:posOffset>
            </wp:positionV>
            <wp:extent cx="3015615" cy="2070100"/>
            <wp:effectExtent l="0" t="0" r="13335" b="6350"/>
            <wp:wrapTight wrapText="bothSides">
              <wp:wrapPolygon edited="0">
                <wp:start x="0" y="0"/>
                <wp:lineTo x="0" y="21467"/>
                <wp:lineTo x="21559" y="21467"/>
                <wp:lineTo x="21559" y="0"/>
                <wp:lineTo x="0" y="0"/>
              </wp:wrapPolygon>
            </wp:wrapTight>
            <wp:docPr id="16120837" name="Chart 161208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Pr="00FE6EF4">
        <w:rPr>
          <w:rFonts w:eastAsia="Calibri"/>
          <w:noProof/>
          <w:lang w:val="en-US" w:eastAsia="en-US"/>
        </w:rPr>
        <w:drawing>
          <wp:anchor distT="0" distB="0" distL="114300" distR="114300" simplePos="0" relativeHeight="251768832" behindDoc="1" locked="0" layoutInCell="1" allowOverlap="1" wp14:anchorId="61BD9CCE" wp14:editId="42358844">
            <wp:simplePos x="0" y="0"/>
            <wp:positionH relativeFrom="margin">
              <wp:align>left</wp:align>
            </wp:positionH>
            <wp:positionV relativeFrom="paragraph">
              <wp:posOffset>365125</wp:posOffset>
            </wp:positionV>
            <wp:extent cx="3124835" cy="2084705"/>
            <wp:effectExtent l="0" t="0" r="18415" b="10795"/>
            <wp:wrapTight wrapText="bothSides">
              <wp:wrapPolygon edited="0">
                <wp:start x="0" y="0"/>
                <wp:lineTo x="0" y="21514"/>
                <wp:lineTo x="21596" y="21514"/>
                <wp:lineTo x="21596" y="0"/>
                <wp:lineTo x="0" y="0"/>
              </wp:wrapPolygon>
            </wp:wrapTight>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FE6EF4">
        <w:rPr>
          <w:rFonts w:eastAsia="Calibri"/>
        </w:rPr>
        <w:t>Գծապատկեր 1.29</w:t>
      </w:r>
      <w:r w:rsidRPr="00FE6EF4">
        <w:rPr>
          <w:rFonts w:eastAsia="MS Gothic"/>
        </w:rPr>
        <w:t>․</w:t>
      </w:r>
      <w:r w:rsidRPr="005D1807">
        <w:rPr>
          <w:rFonts w:eastAsia="Calibri"/>
          <w:b w:val="0"/>
          <w:bCs/>
        </w:rPr>
        <w:t xml:space="preserve"> 2023թ. ապրանքների արտահանման միտումները, %</w:t>
      </w:r>
    </w:p>
    <w:p w14:paraId="253A95FD" w14:textId="77777777" w:rsidR="005D1807" w:rsidRPr="00FE6EF4" w:rsidRDefault="005D1807" w:rsidP="005D1807">
      <w:pPr>
        <w:rPr>
          <w:rFonts w:eastAsia="GHEA Grapalat"/>
          <w:b w:val="0"/>
          <w:bCs/>
          <w:sz w:val="20"/>
          <w:szCs w:val="20"/>
        </w:rPr>
      </w:pPr>
      <w:r w:rsidRPr="00FE6EF4">
        <w:rPr>
          <w:rFonts w:eastAsia="Calibri"/>
          <w:b w:val="0"/>
          <w:bCs/>
          <w:sz w:val="20"/>
          <w:szCs w:val="20"/>
        </w:rPr>
        <w:t>Աղբյուրը՝ ՀՀ ՎԿ և ՀՀ ՖՆ հաշվարկներ</w:t>
      </w:r>
    </w:p>
    <w:p w14:paraId="5398CAAC" w14:textId="77777777" w:rsidR="005D1807" w:rsidRPr="005D1807" w:rsidRDefault="005D1807" w:rsidP="005D1807">
      <w:pPr>
        <w:rPr>
          <w:rFonts w:eastAsia="Calibri"/>
          <w:b w:val="0"/>
          <w:bCs/>
        </w:rPr>
      </w:pPr>
      <w:r w:rsidRPr="00FE6EF4">
        <w:rPr>
          <w:rFonts w:eastAsia="GHEA Grapalat"/>
        </w:rPr>
        <w:t xml:space="preserve">2023 թվականի հունվար-հունիս ամիսներին ՀՀ այցելած զբոսաշրջիկների թվաքանակը նախորդ տարվա նույն ժամանակահատվածի համեմատ կտրուկ ավելացել </w:t>
      </w:r>
      <w:proofErr w:type="gramStart"/>
      <w:r w:rsidRPr="00FE6EF4">
        <w:rPr>
          <w:rFonts w:eastAsia="GHEA Grapalat"/>
        </w:rPr>
        <w:t xml:space="preserve">է: </w:t>
      </w:r>
      <w:r w:rsidRPr="005D1807">
        <w:rPr>
          <w:rFonts w:eastAsia="Calibri"/>
          <w:b w:val="0"/>
          <w:bCs/>
        </w:rPr>
        <w:t xml:space="preserve"> 2023</w:t>
      </w:r>
      <w:proofErr w:type="gramEnd"/>
      <w:r w:rsidRPr="005D1807">
        <w:rPr>
          <w:rFonts w:eastAsia="Calibri"/>
          <w:b w:val="0"/>
          <w:bCs/>
        </w:rPr>
        <w:t xml:space="preserve">թ. առաջին կիսամյակում ՀՀ այցելած զբոսաշրջիկների թվաքանակը հատել է մեկ միլիոնի շեմը,  նախորդ տարվա նույն կիսամյակի նկատմամբ աճելով 70.3% (շուրջ 414 հազար մարդով)`, որին ՌԴ զբոսաշրջիկների (շուրջ 518 հազար մարդ) նպաստումը կազմել է շուրջ 45.4%-ային կետ: </w:t>
      </w:r>
    </w:p>
    <w:p w14:paraId="27A4186E" w14:textId="77777777" w:rsidR="005D1807" w:rsidRPr="005D1807" w:rsidRDefault="005D1807" w:rsidP="005D1807">
      <w:pPr>
        <w:rPr>
          <w:rFonts w:eastAsia="GHEA Grapalat"/>
          <w:b w:val="0"/>
          <w:bCs/>
        </w:rPr>
      </w:pPr>
    </w:p>
    <w:p w14:paraId="5D49F5AC" w14:textId="77777777" w:rsidR="005D1807" w:rsidRPr="005D1807" w:rsidRDefault="005D1807" w:rsidP="005D1807">
      <w:pPr>
        <w:rPr>
          <w:rFonts w:eastAsia="GHEA Grapalat"/>
          <w:b w:val="0"/>
          <w:bCs/>
        </w:rPr>
      </w:pPr>
      <w:r w:rsidRPr="00FE6EF4">
        <w:rPr>
          <w:rFonts w:eastAsia="GHEA Grapalat"/>
        </w:rPr>
        <w:t>Գծապատկեր 1.30.</w:t>
      </w:r>
      <w:r w:rsidRPr="005D1807">
        <w:rPr>
          <w:rFonts w:eastAsia="GHEA Grapalat"/>
          <w:b w:val="0"/>
          <w:bCs/>
        </w:rPr>
        <w:t xml:space="preserve"> ՀՀ այցելած </w:t>
      </w:r>
      <w:proofErr w:type="gramStart"/>
      <w:r w:rsidRPr="005D1807">
        <w:rPr>
          <w:rFonts w:eastAsia="GHEA Grapalat"/>
          <w:b w:val="0"/>
          <w:bCs/>
        </w:rPr>
        <w:t>զբոսաշրջիկների  դինամիկան</w:t>
      </w:r>
      <w:proofErr w:type="gramEnd"/>
      <w:r w:rsidRPr="005D1807">
        <w:rPr>
          <w:rFonts w:eastAsia="GHEA Grapalat"/>
          <w:b w:val="0"/>
          <w:bCs/>
        </w:rPr>
        <w:t xml:space="preserve"> 2019-2022թթ. հունվար-հունիս ամիսներին, հազար մարդ</w:t>
      </w:r>
    </w:p>
    <w:p w14:paraId="7962ACC9" w14:textId="77777777" w:rsidR="005D1807" w:rsidRPr="005D1807" w:rsidRDefault="005D1807" w:rsidP="005D1807">
      <w:pPr>
        <w:rPr>
          <w:rFonts w:eastAsia="GHEA Grapalat"/>
          <w:b w:val="0"/>
          <w:bCs/>
        </w:rPr>
      </w:pPr>
      <w:r w:rsidRPr="005D1807">
        <w:rPr>
          <w:rFonts w:eastAsia="GHEA Grapalat"/>
          <w:b w:val="0"/>
          <w:bCs/>
          <w:noProof/>
          <w:lang w:val="en-US" w:eastAsia="en-US"/>
        </w:rPr>
        <w:drawing>
          <wp:inline distT="0" distB="0" distL="0" distR="0" wp14:anchorId="1AB97518" wp14:editId="57CDCBC5">
            <wp:extent cx="6486525" cy="2171700"/>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98B8B09" w14:textId="77777777" w:rsidR="005D1807" w:rsidRPr="00FE6EF4" w:rsidRDefault="005D1807" w:rsidP="005D1807">
      <w:pPr>
        <w:rPr>
          <w:rFonts w:eastAsia="GHEA Grapalat"/>
          <w:b w:val="0"/>
          <w:bCs/>
          <w:sz w:val="20"/>
          <w:szCs w:val="20"/>
        </w:rPr>
      </w:pPr>
      <w:r w:rsidRPr="00FE6EF4">
        <w:rPr>
          <w:rFonts w:eastAsia="GHEA Grapalat"/>
          <w:b w:val="0"/>
          <w:bCs/>
          <w:sz w:val="20"/>
          <w:szCs w:val="20"/>
        </w:rPr>
        <w:t>Աղբյուրը՝ ՀՀ ՎԿ</w:t>
      </w:r>
    </w:p>
    <w:p w14:paraId="5961C763" w14:textId="77777777" w:rsidR="005D1807" w:rsidRPr="005D1807" w:rsidRDefault="005D1807" w:rsidP="005D1807">
      <w:pPr>
        <w:rPr>
          <w:rFonts w:eastAsia="Calibri"/>
          <w:b w:val="0"/>
          <w:bCs/>
        </w:rPr>
      </w:pPr>
      <w:r w:rsidRPr="00FE6EF4">
        <w:rPr>
          <w:rFonts w:eastAsiaTheme="majorEastAsia"/>
        </w:rPr>
        <w:lastRenderedPageBreak/>
        <w:t>Կանխատեսում։</w:t>
      </w:r>
      <w:r w:rsidRPr="005D1807">
        <w:rPr>
          <w:rFonts w:eastAsiaTheme="majorEastAsia"/>
          <w:b w:val="0"/>
          <w:bCs/>
        </w:rPr>
        <w:t xml:space="preserve"> Վերոնշյալ արտաքին և ներքին տնտեսական զարգացումների պայմաններում 2023թ. սպասվում է մոտ 31.9% արտահանման աճ։ Իսկ 2024թ. դեպի ՀՀ տուրզմի բարձր ներհոսքի պահպանման, արտահանման ու ներդրումների խրախուսմանն ուղղված ՀՀ կառավարության քաղաքականությանը համահունչ ակնկալվում է ապրանքների և ծառայությունների արտահանման 8.5% աճ:</w:t>
      </w:r>
    </w:p>
    <w:p w14:paraId="172B091E" w14:textId="77777777" w:rsidR="005D1807" w:rsidRPr="005D1807" w:rsidRDefault="005D1807" w:rsidP="005D1807">
      <w:pPr>
        <w:rPr>
          <w:rFonts w:eastAsia="Calibri"/>
          <w:b w:val="0"/>
          <w:bCs/>
        </w:rPr>
      </w:pPr>
      <w:r w:rsidRPr="00FE6EF4">
        <w:rPr>
          <w:rFonts w:eastAsia="Calibri"/>
        </w:rPr>
        <w:t xml:space="preserve">Ներմուծում: </w:t>
      </w:r>
      <w:r w:rsidRPr="00FE6EF4">
        <w:rPr>
          <w:rFonts w:eastAsiaTheme="majorEastAsia"/>
        </w:rPr>
        <w:t>2022թ․ արձանագրվել է ապրանքների ներմուծման բարձր երկնիշ աճ (66.5%)։</w:t>
      </w:r>
      <w:r w:rsidRPr="005D1807">
        <w:rPr>
          <w:rFonts w:eastAsiaTheme="majorEastAsia"/>
          <w:b w:val="0"/>
          <w:bCs/>
        </w:rPr>
        <w:t xml:space="preserve"> Ներմուծման բարձր աճը պայմանավորվել է բարձր տնտեսական ակտիվությամբ, պահանջարկի բարձր աճով և արտահանման հնարավորությունների մեծացման պայմաններում ներմուծվող ապրանքների բարձր պահանջարկով: Ծառայությունների ներմուծման աճը 2022թ. կազմել է 95% և հիմնականում պայմանավորվել է համավարկի հետ կապված սահմանափակումների վերացման հետևանքով զբոսաշրջության կտրուկ աճով:</w:t>
      </w:r>
    </w:p>
    <w:p w14:paraId="690989CE" w14:textId="77777777" w:rsidR="005D1807" w:rsidRPr="005D1807" w:rsidRDefault="005D1807" w:rsidP="005D1807">
      <w:pPr>
        <w:rPr>
          <w:rFonts w:eastAsia="Calibri"/>
          <w:b w:val="0"/>
          <w:bCs/>
        </w:rPr>
      </w:pPr>
      <w:r w:rsidRPr="00FE6EF4">
        <w:rPr>
          <w:rFonts w:eastAsia="Calibri"/>
        </w:rPr>
        <w:t xml:space="preserve">2023թ. հունվար-օգոստոս ամիսներին արձանագրվել է ապրանքների ներմուծման շուրջ 54% աճ, </w:t>
      </w:r>
      <w:r w:rsidRPr="00FE6EF4">
        <w:rPr>
          <w:rFonts w:eastAsiaTheme="majorEastAsia"/>
        </w:rPr>
        <w:t>սակայն վերջին ամիսներին շարունակաբար նկատվում է աճի տեմպի դանդաղում:</w:t>
      </w:r>
      <w:r w:rsidRPr="005D1807">
        <w:rPr>
          <w:rFonts w:eastAsia="Calibri"/>
          <w:b w:val="0"/>
          <w:bCs/>
        </w:rPr>
        <w:t xml:space="preserve"> Ներմուծման բարձր աճը պայմանավորված է բարձր տնտեսական ակտիվության, պահանջարկի բարձր աճի և արտահանման հնարավորությունների մեծացման պայմաններում ներմուծվող ապրանքների բարձր պահանջարկով:</w:t>
      </w:r>
      <w:r w:rsidRPr="005D1807">
        <w:rPr>
          <w:rFonts w:eastAsiaTheme="majorEastAsia"/>
          <w:b w:val="0"/>
          <w:bCs/>
        </w:rPr>
        <w:t xml:space="preserve"> </w:t>
      </w:r>
    </w:p>
    <w:p w14:paraId="2DF88FBC" w14:textId="77777777" w:rsidR="005D1807" w:rsidRPr="005D1807" w:rsidRDefault="005D1807" w:rsidP="005D1807">
      <w:pPr>
        <w:rPr>
          <w:rFonts w:eastAsia="Calibri"/>
          <w:b w:val="0"/>
          <w:bCs/>
        </w:rPr>
      </w:pPr>
      <w:r w:rsidRPr="00FE6EF4">
        <w:rPr>
          <w:rFonts w:eastAsia="Calibri"/>
          <w:noProof/>
          <w:lang w:val="en-US" w:eastAsia="en-US"/>
        </w:rPr>
        <w:drawing>
          <wp:anchor distT="0" distB="0" distL="114300" distR="114300" simplePos="0" relativeHeight="251764736" behindDoc="1" locked="0" layoutInCell="1" allowOverlap="1" wp14:anchorId="0D0F2B4C" wp14:editId="19FCB736">
            <wp:simplePos x="0" y="0"/>
            <wp:positionH relativeFrom="margin">
              <wp:posOffset>47625</wp:posOffset>
            </wp:positionH>
            <wp:positionV relativeFrom="paragraph">
              <wp:posOffset>372110</wp:posOffset>
            </wp:positionV>
            <wp:extent cx="2962275" cy="2201545"/>
            <wp:effectExtent l="0" t="0" r="9525" b="8255"/>
            <wp:wrapTight wrapText="bothSides">
              <wp:wrapPolygon edited="0">
                <wp:start x="0" y="0"/>
                <wp:lineTo x="0" y="21494"/>
                <wp:lineTo x="21531" y="21494"/>
                <wp:lineTo x="21531" y="0"/>
                <wp:lineTo x="0" y="0"/>
              </wp:wrapPolygon>
            </wp:wrapTight>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FE6EF4">
        <w:rPr>
          <w:rFonts w:eastAsia="Calibri"/>
          <w:noProof/>
          <w:lang w:val="en-US" w:eastAsia="en-US"/>
        </w:rPr>
        <w:drawing>
          <wp:anchor distT="0" distB="0" distL="114300" distR="114300" simplePos="0" relativeHeight="251765760" behindDoc="1" locked="0" layoutInCell="1" allowOverlap="1" wp14:anchorId="0F0D59BA" wp14:editId="0E37F683">
            <wp:simplePos x="0" y="0"/>
            <wp:positionH relativeFrom="margin">
              <wp:posOffset>3112770</wp:posOffset>
            </wp:positionH>
            <wp:positionV relativeFrom="paragraph">
              <wp:posOffset>372110</wp:posOffset>
            </wp:positionV>
            <wp:extent cx="3257550" cy="2201545"/>
            <wp:effectExtent l="0" t="0" r="0" b="8255"/>
            <wp:wrapTight wrapText="bothSides">
              <wp:wrapPolygon edited="0">
                <wp:start x="0" y="0"/>
                <wp:lineTo x="0" y="21494"/>
                <wp:lineTo x="21474" y="21494"/>
                <wp:lineTo x="21474" y="0"/>
                <wp:lineTo x="0" y="0"/>
              </wp:wrapPolygon>
            </wp:wrapTight>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FE6EF4">
        <w:rPr>
          <w:rFonts w:eastAsia="Calibri"/>
        </w:rPr>
        <w:t>Գծապատկեր 1.31</w:t>
      </w:r>
      <w:r w:rsidRPr="00FE6EF4">
        <w:rPr>
          <w:rFonts w:eastAsia="MS Gothic"/>
        </w:rPr>
        <w:t>․</w:t>
      </w:r>
      <w:r w:rsidRPr="005D1807">
        <w:rPr>
          <w:rFonts w:eastAsia="Calibri"/>
          <w:b w:val="0"/>
          <w:bCs/>
        </w:rPr>
        <w:t xml:space="preserve"> 2023թ. ապրանքների ներմուծման միտումները, %</w:t>
      </w:r>
    </w:p>
    <w:p w14:paraId="33AEE85A" w14:textId="77777777" w:rsidR="005D1807" w:rsidRPr="00FE6EF4" w:rsidRDefault="005D1807" w:rsidP="005D1807">
      <w:pPr>
        <w:rPr>
          <w:rFonts w:eastAsia="Calibri"/>
          <w:b w:val="0"/>
          <w:bCs/>
          <w:sz w:val="20"/>
          <w:szCs w:val="20"/>
        </w:rPr>
      </w:pPr>
      <w:r w:rsidRPr="00FE6EF4">
        <w:rPr>
          <w:rFonts w:eastAsia="Calibri"/>
          <w:b w:val="0"/>
          <w:bCs/>
          <w:sz w:val="20"/>
          <w:szCs w:val="20"/>
        </w:rPr>
        <w:t xml:space="preserve">Աղբյուրը՝ ՀՀ ՎԿ և ՀՀ ՖՆ հաշվարկներ:  </w:t>
      </w:r>
    </w:p>
    <w:p w14:paraId="5814A25B" w14:textId="77777777" w:rsidR="005D1807" w:rsidRPr="005D1807" w:rsidRDefault="005D1807" w:rsidP="005D1807">
      <w:pPr>
        <w:rPr>
          <w:rFonts w:eastAsiaTheme="majorEastAsia"/>
          <w:b w:val="0"/>
          <w:bCs/>
        </w:rPr>
      </w:pPr>
    </w:p>
    <w:p w14:paraId="2AA558D9" w14:textId="77777777" w:rsidR="005D1807" w:rsidRPr="005D1807" w:rsidRDefault="005D1807" w:rsidP="005D1807">
      <w:pPr>
        <w:rPr>
          <w:rFonts w:eastAsia="Calibri"/>
          <w:b w:val="0"/>
          <w:bCs/>
        </w:rPr>
      </w:pPr>
      <w:r w:rsidRPr="005D1807">
        <w:rPr>
          <w:rFonts w:eastAsiaTheme="majorEastAsia"/>
          <w:b w:val="0"/>
          <w:bCs/>
        </w:rPr>
        <w:t xml:space="preserve">Կանխատեսում։ Սպասվող բարձր տնտեսական աճի և ապրանքների ու ծառայությունների նկատմամբ ներքին պահանջարկի աճով պայմանավորված 2023թ. սպասվում է շուրջ 35.2% ներմուծման աճ: ՀՀ տնտեսական ակտիվության և ներքին պահանջարկի, զբոսաշրջության աճին զուգընթաց, ինչպես նաև ՀՀ կառավարության կողմից նախատեսվող պետական ներդրումների իրականացման և մասնավոր ներդրումների խթանման միջոցառումների ազդեցության </w:t>
      </w:r>
      <w:proofErr w:type="gramStart"/>
      <w:r w:rsidRPr="005D1807">
        <w:rPr>
          <w:rFonts w:eastAsiaTheme="majorEastAsia"/>
          <w:b w:val="0"/>
          <w:bCs/>
        </w:rPr>
        <w:t>պայմաններում  2024</w:t>
      </w:r>
      <w:proofErr w:type="gramEnd"/>
      <w:r w:rsidRPr="005D1807">
        <w:rPr>
          <w:rFonts w:eastAsiaTheme="majorEastAsia"/>
          <w:b w:val="0"/>
          <w:bCs/>
        </w:rPr>
        <w:t>թ.  կանխատեսվում է 8.8% ներմուծման աճ:</w:t>
      </w:r>
    </w:p>
    <w:p w14:paraId="698E569D" w14:textId="77777777" w:rsidR="005D1807" w:rsidRPr="00FE6EF4" w:rsidRDefault="005D1807" w:rsidP="00FE6EF4">
      <w:pPr>
        <w:spacing w:before="0" w:line="240" w:lineRule="auto"/>
        <w:jc w:val="left"/>
        <w:rPr>
          <w:rFonts w:eastAsiaTheme="majorEastAsia" w:cstheme="majorBidi"/>
          <w:bCs/>
          <w:color w:val="1F497D" w:themeColor="text2"/>
          <w:sz w:val="24"/>
          <w:lang w:val="hy-AM" w:eastAsia="en-US"/>
        </w:rPr>
      </w:pPr>
      <w:r w:rsidRPr="00FE6EF4">
        <w:rPr>
          <w:rFonts w:eastAsiaTheme="majorEastAsia" w:cstheme="majorBidi"/>
          <w:bCs/>
          <w:color w:val="1F497D" w:themeColor="text2"/>
          <w:sz w:val="24"/>
          <w:lang w:val="hy-AM" w:eastAsia="en-US"/>
        </w:rPr>
        <w:t>1.3.4. Փոխարժեքներ</w:t>
      </w:r>
    </w:p>
    <w:p w14:paraId="149DC35E" w14:textId="77777777" w:rsidR="005D1807" w:rsidRPr="005D1807" w:rsidRDefault="005D1807" w:rsidP="005D1807">
      <w:pPr>
        <w:rPr>
          <w:rFonts w:eastAsia="Calibri"/>
          <w:b w:val="0"/>
          <w:bCs/>
        </w:rPr>
      </w:pPr>
      <w:bookmarkStart w:id="45" w:name="_Toc46760406"/>
      <w:bookmarkStart w:id="46" w:name="_Toc51947415"/>
      <w:bookmarkStart w:id="47" w:name="_Toc52452088"/>
      <w:bookmarkStart w:id="48" w:name="_Toc57559415"/>
      <w:bookmarkStart w:id="49" w:name="_Toc83663897"/>
      <w:bookmarkStart w:id="50" w:name="_Toc83972833"/>
      <w:bookmarkStart w:id="51" w:name="_Toc115686019"/>
      <w:bookmarkEnd w:id="38"/>
      <w:r w:rsidRPr="00FE6EF4">
        <w:rPr>
          <w:rFonts w:eastAsia="Calibri"/>
          <w:u w:val="single"/>
        </w:rPr>
        <w:t>Ֆիզիկական անձանց փոխանցումներ։</w:t>
      </w:r>
      <w:r w:rsidRPr="00FE6EF4">
        <w:rPr>
          <w:rFonts w:eastAsia="Calibri"/>
        </w:rPr>
        <w:t xml:space="preserve"> Դեպի ՀՀ ֆիզիկական անձանց փոխանցումները</w:t>
      </w:r>
      <w:r w:rsidRPr="00FE6EF4">
        <w:rPr>
          <w:rFonts w:eastAsia="GHEA Grapalat"/>
        </w:rPr>
        <w:t xml:space="preserve"> 2022թ. հասել են աննախադեպ մակարդակի՝ զգալիորեն ավելացնելով ՀՀ-ում արտարժույթի առաջարկը։</w:t>
      </w:r>
      <w:r w:rsidRPr="005D1807">
        <w:rPr>
          <w:rFonts w:eastAsia="GHEA Grapalat"/>
          <w:b w:val="0"/>
          <w:bCs/>
        </w:rPr>
        <w:t xml:space="preserve"> 2022թ. երկրորդ եռամսյակից նկատվել է զուտ փոխանցումների կտրուկ աճ ի հաշիվ </w:t>
      </w:r>
      <w:r w:rsidRPr="005D1807">
        <w:rPr>
          <w:rFonts w:eastAsia="GHEA Grapalat"/>
          <w:b w:val="0"/>
          <w:bCs/>
        </w:rPr>
        <w:lastRenderedPageBreak/>
        <w:t>Ռուսաստանի Դաշնությունից փոխանցումների կտրուկ աճի։ Այլ երկրներից փոխանցումների ներհոսքը դեպի ՀՀ նվազել է, արտահոսքը՝ աճել։ 2022թ. զուտ փոխանցումները հասել են 2.6 մլրդ դոլարի՝ 2021թ. համեմատ աճելով 2.9 անգամ: Ընդ որում՝ ՌԴ-ից զուտ փոխանցումները 2022թ. կազմել են 3.1 մլրդ դոլար՝ նախորդ տարվա համեմատ աճելով շուրջ 6.8 անգամ։ Արդյունքում 2022թ. ՀՀ-ում արտարժույթի ծավալները կտրուկ ավելացել են:</w:t>
      </w:r>
    </w:p>
    <w:p w14:paraId="035CAA12" w14:textId="77777777" w:rsidR="005D1807" w:rsidRPr="005D1807" w:rsidRDefault="005D1807" w:rsidP="005D1807">
      <w:pPr>
        <w:rPr>
          <w:rFonts w:eastAsia="GHEA Grapalat"/>
          <w:b w:val="0"/>
          <w:bCs/>
        </w:rPr>
      </w:pPr>
      <w:r w:rsidRPr="00FE6EF4">
        <w:rPr>
          <w:rFonts w:eastAsia="GHEA Grapalat"/>
        </w:rPr>
        <w:t>2023թ. առաջին յոթ ամիսներին դեպի ՀՀ ֆիզիկական անձանց փոխանցումների ծավալները նախորդ տարվա համապատասխան ժամանակահատվածի նկատմամբ նվազել են։</w:t>
      </w:r>
      <w:r w:rsidRPr="005D1807">
        <w:rPr>
          <w:rFonts w:eastAsia="GHEA Grapalat"/>
          <w:b w:val="0"/>
          <w:bCs/>
        </w:rPr>
        <w:t xml:space="preserve">  2023 թվականի առաջին յոթ ամիսներին զուտ փոխանցումները կազմել են 1031 մլն դոլար, նախորդ տարվա նույն ժամանակահատվածի համեմատ արձանագրելով 8.7 տոկոս անկում: Ընդ որում՝ ՌԴ-ից զուտ փոխանցումները 2023 թվականի առաջին յոթ ամիսներին կազմել են շուրջ 2 մլրդ դոլար, նախորդ տարվա նույն ժամանակահատվածի համեմատ աճելով շուրջ 45.3 տոկոսով։ Արդյունքում՝ տարեսկզբին ավելացած արտարժույթի ծավալները սկսել են նվազել, դեռևս մնալով բարձր մակարդակի վրա՝ պահպանելով ՀՀ-ում արտարժույթի բարձր առաջարկը:</w:t>
      </w:r>
    </w:p>
    <w:p w14:paraId="14F51B81" w14:textId="77777777" w:rsidR="005D1807" w:rsidRPr="005D1807" w:rsidRDefault="005D1807" w:rsidP="005D1807">
      <w:pPr>
        <w:rPr>
          <w:rFonts w:eastAsia="GHEA Grapalat"/>
          <w:b w:val="0"/>
          <w:bCs/>
        </w:rPr>
      </w:pPr>
    </w:p>
    <w:p w14:paraId="1A2CE8BA" w14:textId="77777777" w:rsidR="005D1807" w:rsidRPr="005D1807" w:rsidRDefault="005D1807" w:rsidP="005D1807">
      <w:pPr>
        <w:rPr>
          <w:rFonts w:eastAsia="Calibri"/>
          <w:b w:val="0"/>
          <w:bCs/>
        </w:rPr>
      </w:pPr>
      <w:r w:rsidRPr="00FE6EF4">
        <w:rPr>
          <w:rFonts w:eastAsia="Calibri"/>
        </w:rPr>
        <w:t>Գծապատկեր 1.32․</w:t>
      </w:r>
      <w:r w:rsidRPr="005D1807">
        <w:rPr>
          <w:rFonts w:eastAsia="Calibri"/>
          <w:b w:val="0"/>
          <w:bCs/>
        </w:rPr>
        <w:t xml:space="preserve"> ՀՀ բանկերի միջոցով ֆիզիկական անձանց անունով արտերկրներից մուտք եղած և ՀՀ-ից ֆիզիկական անձանց կողմից արտերկիր կատարված զուտ փոխանցումներ, մլն ԱՄՆ դոլար </w:t>
      </w:r>
    </w:p>
    <w:p w14:paraId="47E8D846" w14:textId="77777777" w:rsidR="005D1807" w:rsidRPr="005D1807" w:rsidRDefault="005D1807" w:rsidP="005D1807">
      <w:pPr>
        <w:rPr>
          <w:rFonts w:eastAsia="Calibri"/>
          <w:b w:val="0"/>
          <w:bCs/>
        </w:rPr>
      </w:pPr>
      <w:r w:rsidRPr="005D1807">
        <w:rPr>
          <w:b w:val="0"/>
          <w:bCs/>
          <w:noProof/>
          <w:lang w:val="en-US" w:eastAsia="en-US"/>
        </w:rPr>
        <w:drawing>
          <wp:inline distT="0" distB="0" distL="0" distR="0" wp14:anchorId="13F8AD13" wp14:editId="46146F32">
            <wp:extent cx="5619750" cy="2162175"/>
            <wp:effectExtent l="0" t="0" r="0" b="952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ABDD1D1" w14:textId="77777777" w:rsidR="005D1807" w:rsidRPr="00FE6EF4" w:rsidRDefault="005D1807" w:rsidP="005D1807">
      <w:pPr>
        <w:rPr>
          <w:b w:val="0"/>
          <w:bCs/>
          <w:sz w:val="20"/>
          <w:szCs w:val="20"/>
        </w:rPr>
      </w:pPr>
      <w:r w:rsidRPr="00FE6EF4">
        <w:rPr>
          <w:b w:val="0"/>
          <w:bCs/>
          <w:sz w:val="20"/>
          <w:szCs w:val="20"/>
        </w:rPr>
        <w:t>Աղբյուրը՝ ՀՀ ԿԲ, ՀՀ ՖՆ հաշվարկներ</w:t>
      </w:r>
    </w:p>
    <w:p w14:paraId="6F271757" w14:textId="77777777" w:rsidR="005D1807" w:rsidRPr="005D1807" w:rsidRDefault="005D1807" w:rsidP="005D1807">
      <w:pPr>
        <w:rPr>
          <w:rFonts w:eastAsia="Calibri"/>
          <w:b w:val="0"/>
          <w:bCs/>
        </w:rPr>
      </w:pPr>
    </w:p>
    <w:p w14:paraId="49B74B55" w14:textId="77777777" w:rsidR="005D1807" w:rsidRPr="005D1807" w:rsidRDefault="005D1807" w:rsidP="005D1807">
      <w:pPr>
        <w:rPr>
          <w:rFonts w:eastAsia="GHEA Grapalat"/>
          <w:b w:val="0"/>
          <w:bCs/>
        </w:rPr>
      </w:pPr>
      <w:r w:rsidRPr="00A64D05">
        <w:rPr>
          <w:u w:val="single"/>
        </w:rPr>
        <w:t>Արժութային շուկա։</w:t>
      </w:r>
      <w:r w:rsidRPr="00A64D05">
        <w:rPr>
          <w:rFonts w:eastAsia="GHEA Grapalat"/>
        </w:rPr>
        <w:t xml:space="preserve"> Մինչև 2022թ. ՀՀ արժութային շուկայի շրջանառության ծավալները եղել են կայուն, սակայն 2022թ. մարտից սկսած մինչև տարեվերջ մեծ տեմպերով ավելացել են: </w:t>
      </w:r>
      <w:r w:rsidRPr="005D1807">
        <w:rPr>
          <w:rFonts w:eastAsia="GHEA Grapalat"/>
          <w:b w:val="0"/>
          <w:bCs/>
        </w:rPr>
        <w:t>Ընդ որում՝ 2022թ․ մարտ և ապրիլ ամիսներին բանկերի կողմից առքի ծավալները գերազանցել են վաճառքի ծավալները, իսկ մայիս, հունիս և հուլիս ամիսներին առքի և վաճառքի ծավալներն իրար ավելի մոտ են եղել: Սկսած օգոստոսից՝ առքի ծավալները նորից սկսել են գերազանցել վաճառքի ծավալներին։ Միաժամանակ, եթե մարտ և ապրիլ ամիսներին բանկերի կողմից լրացուցիչ ձեռքբերումները եղել են ԱՄՆ դոլարով, ապա մայիս ամսից սկսած՝ կտրուկ աճել է ռուսական ռուբլու առքի ծավալը՝ զգալիորեն գերազանցելով վաճառքի ծավալները։ Նշված զարգացումներով պայմանավորված՝ 2022 թվականին ՀՀ ԿԲ-ն արժութային շուկայում իրականացրել է արտարժույթի ձեռքբերումներ 573.8 մլն դոլարի չափով:</w:t>
      </w:r>
    </w:p>
    <w:p w14:paraId="17D1D6EB" w14:textId="77777777" w:rsidR="005D1807" w:rsidRPr="005D1807" w:rsidRDefault="005D1807" w:rsidP="005D1807">
      <w:pPr>
        <w:rPr>
          <w:rFonts w:eastAsia="GHEA Grapalat"/>
          <w:b w:val="0"/>
          <w:bCs/>
        </w:rPr>
      </w:pPr>
      <w:r w:rsidRPr="00A64D05">
        <w:rPr>
          <w:rFonts w:eastAsia="GHEA Grapalat"/>
        </w:rPr>
        <w:lastRenderedPageBreak/>
        <w:t xml:space="preserve">2023թ․ ՀՀ արժութային շուկայի շրջանառության ծավալները նախորդ տարվա աննախադեպ բարձր ծավալների համեմատ սկսել են </w:t>
      </w:r>
      <w:proofErr w:type="gramStart"/>
      <w:r w:rsidRPr="00A64D05">
        <w:rPr>
          <w:rFonts w:eastAsia="GHEA Grapalat"/>
        </w:rPr>
        <w:t xml:space="preserve">կրճատվել: </w:t>
      </w:r>
      <w:r w:rsidRPr="005D1807">
        <w:rPr>
          <w:rFonts w:eastAsia="GHEA Grapalat"/>
          <w:b w:val="0"/>
          <w:bCs/>
        </w:rPr>
        <w:t xml:space="preserve"> Եթե</w:t>
      </w:r>
      <w:proofErr w:type="gramEnd"/>
      <w:r w:rsidRPr="005D1807">
        <w:rPr>
          <w:rFonts w:eastAsia="GHEA Grapalat"/>
          <w:b w:val="0"/>
          <w:bCs/>
        </w:rPr>
        <w:t xml:space="preserve"> հունվար ամսին արտարժույթի ներբանկային առքի և վաճառքի ծավալներն իրար ավելի մոտ են եղել, ապա, սկսած փետրվարից, առքը գերազանցել է վաճառքը՝ հիմնականում պայմանավորված ռուբլու ձեռքբերումներով, իսկ ապրիլից օգոստոս ամիսներին դոլարի զուտ առքը եղել է չնչին։  Նույն ժամանակահատվածում ՀՀ ԿԲ-ն արժութային շուկայում հունիսի դրությամբ իրականացրել է միջամտություններ շուրջ 781 մլն ԱՄՆ դոլարի չափով՝ ավելորդ տատանողականությունը չեզոքացնելու նպատակով։</w:t>
      </w:r>
    </w:p>
    <w:p w14:paraId="682EC372" w14:textId="77777777" w:rsidR="005D1807" w:rsidRPr="005D1807" w:rsidRDefault="005D1807" w:rsidP="005D1807">
      <w:pPr>
        <w:rPr>
          <w:rFonts w:eastAsia="GHEA Grapalat"/>
          <w:b w:val="0"/>
          <w:bCs/>
        </w:rPr>
      </w:pPr>
    </w:p>
    <w:tbl>
      <w:tblPr>
        <w:tblW w:w="5093"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4966"/>
        <w:gridCol w:w="4962"/>
      </w:tblGrid>
      <w:tr w:rsidR="005D1807" w:rsidRPr="005D1807" w14:paraId="3CAE47D2" w14:textId="77777777" w:rsidTr="00E94C66">
        <w:trPr>
          <w:trHeight w:val="901"/>
        </w:trPr>
        <w:tc>
          <w:tcPr>
            <w:tcW w:w="2501" w:type="pct"/>
            <w:shd w:val="clear" w:color="auto" w:fill="auto"/>
          </w:tcPr>
          <w:p w14:paraId="650CD097" w14:textId="77777777" w:rsidR="005D1807" w:rsidRPr="005D1807" w:rsidRDefault="005D1807" w:rsidP="005D1807">
            <w:pPr>
              <w:rPr>
                <w:rFonts w:eastAsia="GHEA Grapalat"/>
                <w:b w:val="0"/>
                <w:bCs/>
              </w:rPr>
            </w:pPr>
            <w:r w:rsidRPr="00A64D05">
              <w:rPr>
                <w:rFonts w:eastAsia="Calibri"/>
              </w:rPr>
              <w:t>Գծապատկեր 1.33.</w:t>
            </w:r>
            <w:r w:rsidRPr="005D1807">
              <w:rPr>
                <w:rFonts w:eastAsia="Calibri"/>
                <w:b w:val="0"/>
                <w:bCs/>
              </w:rPr>
              <w:t xml:space="preserve"> ՀՀ արժութային (ներբանկային) շուկայի շրջանառության տվյալներն ըստ դրամային համարժեքների, զուտ մլրդ դրամ</w:t>
            </w:r>
          </w:p>
        </w:tc>
        <w:tc>
          <w:tcPr>
            <w:tcW w:w="2499" w:type="pct"/>
            <w:shd w:val="clear" w:color="auto" w:fill="auto"/>
          </w:tcPr>
          <w:p w14:paraId="37AB2B70" w14:textId="77777777" w:rsidR="005D1807" w:rsidRPr="005D1807" w:rsidRDefault="005D1807" w:rsidP="005D1807">
            <w:pPr>
              <w:rPr>
                <w:rFonts w:eastAsia="Calibri"/>
                <w:b w:val="0"/>
                <w:bCs/>
              </w:rPr>
            </w:pPr>
            <w:r w:rsidRPr="00A64D05">
              <w:rPr>
                <w:rFonts w:eastAsia="Calibri"/>
              </w:rPr>
              <w:t>Գծապատկեր 1.34.</w:t>
            </w:r>
            <w:r w:rsidRPr="005D1807">
              <w:rPr>
                <w:rFonts w:eastAsia="Calibri"/>
                <w:b w:val="0"/>
                <w:bCs/>
              </w:rPr>
              <w:t xml:space="preserve"> Փոխարժեք և ԿԲ արձագանք</w:t>
            </w:r>
          </w:p>
        </w:tc>
      </w:tr>
      <w:tr w:rsidR="005D1807" w:rsidRPr="005D1807" w14:paraId="14154C46" w14:textId="77777777" w:rsidTr="00E94C66">
        <w:trPr>
          <w:trHeight w:val="3912"/>
        </w:trPr>
        <w:tc>
          <w:tcPr>
            <w:tcW w:w="2501" w:type="pct"/>
            <w:shd w:val="clear" w:color="auto" w:fill="auto"/>
          </w:tcPr>
          <w:p w14:paraId="05061EDB" w14:textId="77777777" w:rsidR="005D1807" w:rsidRPr="005D1807" w:rsidRDefault="005D1807" w:rsidP="005D1807">
            <w:pPr>
              <w:rPr>
                <w:rFonts w:eastAsia="GHEA Grapalat"/>
                <w:b w:val="0"/>
                <w:bCs/>
              </w:rPr>
            </w:pPr>
            <w:r w:rsidRPr="005D1807">
              <w:rPr>
                <w:rFonts w:eastAsia="GHEA Grapalat"/>
                <w:b w:val="0"/>
                <w:bCs/>
                <w:noProof/>
                <w:lang w:val="en-US" w:eastAsia="en-US"/>
              </w:rPr>
              <w:drawing>
                <wp:anchor distT="0" distB="0" distL="114300" distR="114300" simplePos="0" relativeHeight="251767808" behindDoc="0" locked="0" layoutInCell="1" allowOverlap="1" wp14:anchorId="18FA9AF9" wp14:editId="6117F2B6">
                  <wp:simplePos x="0" y="0"/>
                  <wp:positionH relativeFrom="column">
                    <wp:posOffset>-4445</wp:posOffset>
                  </wp:positionH>
                  <wp:positionV relativeFrom="paragraph">
                    <wp:posOffset>6350</wp:posOffset>
                  </wp:positionV>
                  <wp:extent cx="2808000" cy="2413635"/>
                  <wp:effectExtent l="0" t="0" r="11430" b="5715"/>
                  <wp:wrapNone/>
                  <wp:docPr id="16120843" name="Chart 161208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tc>
        <w:tc>
          <w:tcPr>
            <w:tcW w:w="2499" w:type="pct"/>
            <w:shd w:val="clear" w:color="auto" w:fill="auto"/>
          </w:tcPr>
          <w:p w14:paraId="56DA69AF" w14:textId="77777777" w:rsidR="005D1807" w:rsidRPr="005D1807" w:rsidRDefault="005D1807" w:rsidP="005D1807">
            <w:pPr>
              <w:rPr>
                <w:rFonts w:eastAsia="GHEA Grapalat"/>
                <w:b w:val="0"/>
                <w:bCs/>
              </w:rPr>
            </w:pPr>
            <w:r w:rsidRPr="005D1807">
              <w:rPr>
                <w:rFonts w:eastAsia="GHEA Grapalat"/>
                <w:b w:val="0"/>
                <w:bCs/>
                <w:noProof/>
                <w:lang w:val="en-US" w:eastAsia="en-US"/>
              </w:rPr>
              <w:drawing>
                <wp:anchor distT="0" distB="0" distL="114300" distR="114300" simplePos="0" relativeHeight="251766784" behindDoc="0" locked="0" layoutInCell="1" allowOverlap="1" wp14:anchorId="6EC7090E" wp14:editId="64B34F3A">
                  <wp:simplePos x="0" y="0"/>
                  <wp:positionH relativeFrom="column">
                    <wp:posOffset>-35560</wp:posOffset>
                  </wp:positionH>
                  <wp:positionV relativeFrom="paragraph">
                    <wp:posOffset>22225</wp:posOffset>
                  </wp:positionV>
                  <wp:extent cx="2808000" cy="2413635"/>
                  <wp:effectExtent l="0" t="0" r="11430" b="5715"/>
                  <wp:wrapNone/>
                  <wp:docPr id="16120844" name="Chart 161208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tc>
      </w:tr>
      <w:tr w:rsidR="005D1807" w:rsidRPr="00522278" w14:paraId="30072B68" w14:textId="77777777" w:rsidTr="00E94C66">
        <w:trPr>
          <w:trHeight w:val="306"/>
        </w:trPr>
        <w:tc>
          <w:tcPr>
            <w:tcW w:w="2501" w:type="pct"/>
            <w:shd w:val="clear" w:color="auto" w:fill="auto"/>
          </w:tcPr>
          <w:p w14:paraId="101BC9E9" w14:textId="77777777" w:rsidR="005D1807" w:rsidRPr="005D1807" w:rsidRDefault="005D1807" w:rsidP="005D1807">
            <w:pPr>
              <w:rPr>
                <w:rFonts w:eastAsia="GHEA Grapalat"/>
                <w:b w:val="0"/>
                <w:bCs/>
                <w:lang w:val="hy-AM"/>
              </w:rPr>
            </w:pPr>
            <w:r w:rsidRPr="005D1807">
              <w:rPr>
                <w:b w:val="0"/>
                <w:bCs/>
                <w:lang w:val="hy-AM"/>
              </w:rPr>
              <w:t>Աղբյուրը՝ ՀՀ ԿԲ, ՀՀ ՖՆ հաշվարկներ</w:t>
            </w:r>
          </w:p>
        </w:tc>
        <w:tc>
          <w:tcPr>
            <w:tcW w:w="2499" w:type="pct"/>
            <w:shd w:val="clear" w:color="auto" w:fill="auto"/>
          </w:tcPr>
          <w:p w14:paraId="151DB721" w14:textId="77777777" w:rsidR="005D1807" w:rsidRPr="005D1807" w:rsidRDefault="005D1807" w:rsidP="005D1807">
            <w:pPr>
              <w:rPr>
                <w:rFonts w:eastAsia="GHEA Grapalat"/>
                <w:b w:val="0"/>
                <w:bCs/>
                <w:lang w:val="hy-AM"/>
              </w:rPr>
            </w:pPr>
            <w:r w:rsidRPr="005D1807">
              <w:rPr>
                <w:b w:val="0"/>
                <w:bCs/>
                <w:lang w:val="hy-AM"/>
              </w:rPr>
              <w:t>Աղբյուրը՝ ՀՀ ԿԲ, ՀՀ ՖՆ հաշվարկներ</w:t>
            </w:r>
          </w:p>
        </w:tc>
      </w:tr>
    </w:tbl>
    <w:p w14:paraId="1E18F406" w14:textId="77777777" w:rsidR="005D1807" w:rsidRPr="0073392C" w:rsidRDefault="005D1807" w:rsidP="005D1807">
      <w:pPr>
        <w:rPr>
          <w:rFonts w:eastAsia="Calibri"/>
          <w:b w:val="0"/>
          <w:bCs/>
          <w:lang w:val="hy-AM"/>
        </w:rPr>
      </w:pPr>
      <w:r w:rsidRPr="0073392C">
        <w:rPr>
          <w:u w:val="single"/>
          <w:lang w:val="hy-AM"/>
        </w:rPr>
        <w:t>Երկկողմանի փոխարժեքներ</w:t>
      </w:r>
      <w:r w:rsidRPr="0073392C">
        <w:rPr>
          <w:lang w:val="hy-AM"/>
        </w:rPr>
        <w:t>։</w:t>
      </w:r>
      <w:r w:rsidRPr="0073392C">
        <w:rPr>
          <w:rFonts w:eastAsia="Calibri"/>
          <w:lang w:val="hy-AM"/>
        </w:rPr>
        <w:t xml:space="preserve"> </w:t>
      </w:r>
      <w:r w:rsidRPr="0073392C">
        <w:rPr>
          <w:lang w:val="hy-AM"/>
        </w:rPr>
        <w:t xml:space="preserve">2022թ. ՀՀ դրամը արժևորվել է հիմնական արժույթների նկատմամաբ հիմնականում պայմանավորված </w:t>
      </w:r>
      <w:r w:rsidRPr="0073392C">
        <w:rPr>
          <w:rFonts w:eastAsia="GHEA Grapalat"/>
          <w:lang w:val="hy-AM"/>
        </w:rPr>
        <w:t>արտարժույթի նշանակալի ներհոսքի հետևանքով արժույթի շուկայում ՀՀ դրամի վրա ի հայտ եկած ճնշումներով:</w:t>
      </w:r>
      <w:r w:rsidRPr="0073392C">
        <w:rPr>
          <w:lang w:val="hy-AM"/>
        </w:rPr>
        <w:t xml:space="preserve"> </w:t>
      </w:r>
      <w:r w:rsidRPr="0073392C">
        <w:rPr>
          <w:b w:val="0"/>
          <w:bCs/>
          <w:lang w:val="hy-AM"/>
        </w:rPr>
        <w:t xml:space="preserve">Նախորդ տարվա միջինի համեմատ ԱՄՆ դոլարի նկատմամբ դրամը արժևորվել է՝ 15․6%, եվրոյի նկատմամբ` 29.4% և ռուբլու նկատմամբ՝ 5․6%-ով։ </w:t>
      </w:r>
    </w:p>
    <w:p w14:paraId="3E564958" w14:textId="77777777" w:rsidR="005D1807" w:rsidRPr="0073392C" w:rsidRDefault="005D1807" w:rsidP="005D1807">
      <w:pPr>
        <w:rPr>
          <w:b w:val="0"/>
          <w:bCs/>
          <w:lang w:val="hy-AM"/>
        </w:rPr>
      </w:pPr>
      <w:r w:rsidRPr="0073392C">
        <w:rPr>
          <w:lang w:val="hy-AM"/>
        </w:rPr>
        <w:t>2023թ․ հունվար-օգոստոս ամիսներին ՀՀ դրամի արժևորման միտումները պահպանվել են:</w:t>
      </w:r>
      <w:r w:rsidRPr="0073392C">
        <w:rPr>
          <w:b w:val="0"/>
          <w:bCs/>
          <w:lang w:val="hy-AM"/>
        </w:rPr>
        <w:t xml:space="preserve"> 2023թ. հունվար-օգոստոս ամիսներին ՀՀ դրամի միջին փոխարժեքը կազմել է մոտ 388․9 ՀՀ դրամ ԱՄՆ դոլարի դիմաց՝ նախորդ տարվա նույն ժամանակահատվածի միջինի նկատմամբ արժևորվելով 16.5%-ով: 2023թ. հունվար-օգոստոս ամիսներին ՀՀ դրամը եվրոյի նկատմամբ արժևորվել է շուրջ 15.7%-ով՝ կազմելով 422․3 դրամ մեկ եվրոյի նկատմամբ, իսկ ռուսական ռուբլու նկատմամբ՝ 33.6%-ով՝ կազմելով 4․8 դրամ մեկ ռուբլու նկատմամբ </w:t>
      </w:r>
    </w:p>
    <w:p w14:paraId="0F489388" w14:textId="77777777" w:rsidR="005D1807" w:rsidRPr="0073392C" w:rsidRDefault="005D1807" w:rsidP="005D1807">
      <w:pPr>
        <w:rPr>
          <w:b w:val="0"/>
          <w:bCs/>
          <w:lang w:val="hy-AM"/>
        </w:rPr>
      </w:pPr>
      <w:r w:rsidRPr="0073392C">
        <w:rPr>
          <w:b w:val="0"/>
          <w:bCs/>
          <w:lang w:val="hy-AM"/>
        </w:rPr>
        <w:t xml:space="preserve"> </w:t>
      </w:r>
      <w:r w:rsidRPr="0073392C">
        <w:rPr>
          <w:lang w:val="hy-AM"/>
        </w:rPr>
        <w:t>Անվանական և իրական արդյունավետ փոխարժեքները նույնպես արժևորվում են։</w:t>
      </w:r>
      <w:r w:rsidRPr="0073392C">
        <w:rPr>
          <w:b w:val="0"/>
          <w:bCs/>
          <w:lang w:val="hy-AM"/>
        </w:rPr>
        <w:t xml:space="preserve"> Այսպես, ՀՀ արտաքին առևտրի տեսանկյունից առավել կարևոր արժույթներից բաղկացած զամբյուղի նկատմամբ ՀՀ ազգային արժույթն իրական արտահայտությամբ 2022թ. արժևորվել է 33.5%-ով, իսկ անվանական արտահայտությամբ՝ 40.0%-ով: 2023թ. հունվար-հուլիս ամիսներին ՀՀ դրամի իրական արդյունավետ փոխարժեքի արժևորումը կազմել է 33.6%, իսկ անվանականի </w:t>
      </w:r>
      <w:r w:rsidRPr="0073392C">
        <w:rPr>
          <w:b w:val="0"/>
          <w:bCs/>
          <w:lang w:val="hy-AM"/>
        </w:rPr>
        <w:lastRenderedPageBreak/>
        <w:t>արժևորումը՝ 41.1%՝ իր բացասական ազդեցությունը թողնելով տեղական ապրանքների արտաքին մրցունակության վրա:</w:t>
      </w:r>
    </w:p>
    <w:tbl>
      <w:tblPr>
        <w:tblW w:w="9923" w:type="dxa"/>
        <w:tblInd w:w="-28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firstRow="1" w:lastRow="0" w:firstColumn="1" w:lastColumn="0" w:noHBand="0" w:noVBand="1"/>
      </w:tblPr>
      <w:tblGrid>
        <w:gridCol w:w="4962"/>
        <w:gridCol w:w="4961"/>
      </w:tblGrid>
      <w:tr w:rsidR="005D1807" w:rsidRPr="005D1807" w14:paraId="619349B3" w14:textId="77777777" w:rsidTr="00E94C66">
        <w:trPr>
          <w:cantSplit/>
          <w:trHeight w:val="1134"/>
        </w:trPr>
        <w:tc>
          <w:tcPr>
            <w:tcW w:w="4962" w:type="dxa"/>
            <w:vAlign w:val="center"/>
          </w:tcPr>
          <w:p w14:paraId="6E5084B9" w14:textId="77777777" w:rsidR="005D1807" w:rsidRPr="0073392C" w:rsidRDefault="005D1807" w:rsidP="005D1807">
            <w:pPr>
              <w:rPr>
                <w:b w:val="0"/>
                <w:bCs/>
                <w:lang w:val="hy-AM"/>
              </w:rPr>
            </w:pPr>
            <w:r w:rsidRPr="0073392C">
              <w:rPr>
                <w:lang w:val="hy-AM"/>
              </w:rPr>
              <w:t>Գծապատկեր 1.35.</w:t>
            </w:r>
            <w:r w:rsidRPr="0073392C">
              <w:rPr>
                <w:b w:val="0"/>
                <w:bCs/>
                <w:lang w:val="hy-AM"/>
              </w:rPr>
              <w:t xml:space="preserve"> ՀՀ դրամի անվանական</w:t>
            </w:r>
          </w:p>
          <w:p w14:paraId="22008F84" w14:textId="77777777" w:rsidR="005D1807" w:rsidRPr="0073392C" w:rsidRDefault="005D1807" w:rsidP="005D1807">
            <w:pPr>
              <w:rPr>
                <w:b w:val="0"/>
                <w:bCs/>
                <w:lang w:val="hy-AM"/>
              </w:rPr>
            </w:pPr>
            <w:r w:rsidRPr="0073392C">
              <w:rPr>
                <w:b w:val="0"/>
                <w:bCs/>
                <w:lang w:val="hy-AM"/>
              </w:rPr>
              <w:t>փոխարժեքի դինամիկան հիմնական արժույթների</w:t>
            </w:r>
          </w:p>
          <w:p w14:paraId="0A8E7A6C" w14:textId="77777777" w:rsidR="005D1807" w:rsidRPr="005D1807" w:rsidRDefault="005D1807" w:rsidP="005D1807">
            <w:pPr>
              <w:rPr>
                <w:b w:val="0"/>
                <w:bCs/>
              </w:rPr>
            </w:pPr>
            <w:r w:rsidRPr="005D1807">
              <w:rPr>
                <w:b w:val="0"/>
                <w:bCs/>
              </w:rPr>
              <w:t>նկատմամբ (աճ՝ դրամի արժևորում)</w:t>
            </w:r>
          </w:p>
          <w:p w14:paraId="16FB2EF2" w14:textId="77777777" w:rsidR="005D1807" w:rsidRPr="005D1807" w:rsidRDefault="005D1807" w:rsidP="005D1807">
            <w:pPr>
              <w:rPr>
                <w:b w:val="0"/>
                <w:bCs/>
                <w:highlight w:val="yellow"/>
              </w:rPr>
            </w:pPr>
            <w:r w:rsidRPr="005D1807">
              <w:rPr>
                <w:b w:val="0"/>
                <w:bCs/>
                <w:noProof/>
                <w:lang w:val="en-US" w:eastAsia="en-US"/>
              </w:rPr>
              <w:drawing>
                <wp:inline distT="0" distB="0" distL="0" distR="0" wp14:anchorId="4DF348B3" wp14:editId="0938D2B2">
                  <wp:extent cx="2988000" cy="2340000"/>
                  <wp:effectExtent l="0" t="0" r="3175" b="3175"/>
                  <wp:docPr id="6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D44A5BF" w14:textId="77777777" w:rsidR="005D1807" w:rsidRPr="005D1807" w:rsidRDefault="005D1807" w:rsidP="005D1807">
            <w:pPr>
              <w:rPr>
                <w:b w:val="0"/>
                <w:bCs/>
                <w:highlight w:val="yellow"/>
              </w:rPr>
            </w:pPr>
            <w:r w:rsidRPr="005D1807">
              <w:rPr>
                <w:b w:val="0"/>
                <w:bCs/>
              </w:rPr>
              <w:t>Աղբյուրը՝ ՀՀ ԿԲ, ՀՀ ՖՆ հաշվարկներ</w:t>
            </w:r>
          </w:p>
        </w:tc>
        <w:tc>
          <w:tcPr>
            <w:tcW w:w="4961" w:type="dxa"/>
            <w:vAlign w:val="center"/>
          </w:tcPr>
          <w:p w14:paraId="0D977432" w14:textId="77777777" w:rsidR="005D1807" w:rsidRPr="005D1807" w:rsidRDefault="005D1807" w:rsidP="005D1807">
            <w:pPr>
              <w:rPr>
                <w:b w:val="0"/>
                <w:bCs/>
              </w:rPr>
            </w:pPr>
            <w:r w:rsidRPr="00A64D05">
              <w:t>Գծապատկեր 1.36.</w:t>
            </w:r>
            <w:r w:rsidRPr="005D1807">
              <w:rPr>
                <w:b w:val="0"/>
                <w:bCs/>
              </w:rPr>
              <w:t xml:space="preserve"> ՀՀ իրական և անվանական արդյունավետ փոխարժեքների կուտակային տ/տ աճերի դինամիկան (աճ՝ դրամի արժևորում)</w:t>
            </w:r>
          </w:p>
          <w:p w14:paraId="0651538C" w14:textId="77777777" w:rsidR="005D1807" w:rsidRPr="005D1807" w:rsidRDefault="005D1807" w:rsidP="005D1807">
            <w:pPr>
              <w:rPr>
                <w:b w:val="0"/>
                <w:bCs/>
              </w:rPr>
            </w:pPr>
            <w:r w:rsidRPr="005D1807">
              <w:rPr>
                <w:b w:val="0"/>
                <w:bCs/>
                <w:noProof/>
                <w:lang w:val="en-US" w:eastAsia="en-US"/>
              </w:rPr>
              <w:drawing>
                <wp:inline distT="0" distB="0" distL="0" distR="0" wp14:anchorId="63F7BE12" wp14:editId="3243965A">
                  <wp:extent cx="3024000" cy="2340000"/>
                  <wp:effectExtent l="0" t="0" r="5080" b="3175"/>
                  <wp:docPr id="1802460672" name="Chart 1802460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8FEC9DE" w14:textId="77777777" w:rsidR="005D1807" w:rsidRPr="005D1807" w:rsidRDefault="005D1807" w:rsidP="005D1807">
            <w:pPr>
              <w:rPr>
                <w:b w:val="0"/>
                <w:bCs/>
                <w:highlight w:val="yellow"/>
              </w:rPr>
            </w:pPr>
            <w:r w:rsidRPr="005D1807">
              <w:rPr>
                <w:b w:val="0"/>
                <w:bCs/>
              </w:rPr>
              <w:t>Աղբյուրը՝ ՀՀ ԿԲ, ՀՀ ՖՆ հաշվարկներ</w:t>
            </w:r>
          </w:p>
        </w:tc>
      </w:tr>
    </w:tbl>
    <w:p w14:paraId="6A7F4233" w14:textId="77777777" w:rsidR="005D1807" w:rsidRPr="005D1807" w:rsidRDefault="005D1807" w:rsidP="005D1807">
      <w:pPr>
        <w:rPr>
          <w:b w:val="0"/>
          <w:bCs/>
        </w:rPr>
      </w:pPr>
    </w:p>
    <w:p w14:paraId="2F1B8721" w14:textId="77777777" w:rsidR="005D1807" w:rsidRPr="00A64D05" w:rsidRDefault="005D1807" w:rsidP="00A64D05">
      <w:pPr>
        <w:spacing w:before="0" w:line="240" w:lineRule="auto"/>
        <w:jc w:val="left"/>
        <w:rPr>
          <w:rFonts w:eastAsiaTheme="majorEastAsia" w:cstheme="majorBidi"/>
          <w:bCs/>
          <w:color w:val="1F497D" w:themeColor="text2"/>
          <w:sz w:val="24"/>
          <w:lang w:val="hy-AM" w:eastAsia="en-US"/>
        </w:rPr>
      </w:pPr>
      <w:r w:rsidRPr="00A64D05">
        <w:rPr>
          <w:rFonts w:eastAsiaTheme="majorEastAsia" w:cstheme="majorBidi"/>
          <w:bCs/>
          <w:color w:val="1F497D" w:themeColor="text2"/>
          <w:sz w:val="24"/>
          <w:lang w:val="hy-AM" w:eastAsia="en-US"/>
        </w:rPr>
        <w:t xml:space="preserve">1.3.5. Գնաճ և դրամավարկային քաղաքականություն </w:t>
      </w:r>
    </w:p>
    <w:p w14:paraId="4E1BC658" w14:textId="77777777" w:rsidR="005D1807" w:rsidRPr="005D1807" w:rsidRDefault="005D1807" w:rsidP="005D1807">
      <w:pPr>
        <w:rPr>
          <w:b w:val="0"/>
          <w:bCs/>
        </w:rPr>
      </w:pPr>
      <w:r w:rsidRPr="00A64D05">
        <w:t>2022թ. ընթացքում գնաճի տեմպերն արագացել են, որի պայմաններում ՀՀ ԿԲ-ն շարունակել է խստացնել դրամավարկային պայմանները՝ բարձրացնելով վերաֆինանսավորման տոկոսադրույքը:</w:t>
      </w:r>
      <w:r w:rsidRPr="005D1807">
        <w:rPr>
          <w:b w:val="0"/>
          <w:bCs/>
        </w:rPr>
        <w:t xml:space="preserve"> Տարեսկզբին դիտվել է 12</w:t>
      </w:r>
      <w:r w:rsidRPr="005D1807">
        <w:rPr>
          <w:b w:val="0"/>
          <w:bCs/>
        </w:rPr>
        <w:noBreakHyphen/>
        <w:t>ամսյա գնաճի տեմպերի դանդաղման գործընթաց, մինչդեռ մարտ ամսից սկսած, պայմանավորված նախ ռուս-ուկրաինական հակամարտության սրման արդյունքում միջազգային ապրանքահումքային շուկաներում դիտված գների կտրուկ աճով և ՀՀ դրամի փոխարժեքի կարճատև արժեզրկմամբ, ապա՝ համախառն պահանջարկի զգալի աճով (այդ թվում՝ օտարերկյա այցելուների կտրուկ ավելացմամբ պայմանավորված), 12-ամսյա գնաճը զգալիորեն արագացել է՝ հունիսին հասնելով մինչև 10.3%, ապա նվազել՝ դեկտեմբերին կազմելով 8.3%։ Իսկ միջին գնաճը տարվա համար կազմել է 8.6%: Գնաճի տեմպերի լրացուցիչ արագացումը որոշակիորեն զսպվել է ՀՀ դրամի փոխարժեքի արժևորմամբ, որի ազդեցությունն աստիճանաբար արտացոլվել է ներմուծվող ապրանքների գներում։</w:t>
      </w:r>
    </w:p>
    <w:p w14:paraId="1A94F124" w14:textId="77777777" w:rsidR="005D1807" w:rsidRPr="005D1807" w:rsidRDefault="005D1807" w:rsidP="005D1807">
      <w:pPr>
        <w:rPr>
          <w:rFonts w:eastAsia="GHEA Grapalat"/>
          <w:b w:val="0"/>
          <w:bCs/>
        </w:rPr>
      </w:pPr>
      <w:r w:rsidRPr="00A64D05">
        <w:rPr>
          <w:rFonts w:eastAsia="GHEA Grapalat"/>
        </w:rPr>
        <w:t xml:space="preserve">2023թ. Հունվար-օգոստոս ամիսներին գնաճի տեմպերը կտրուկ դանդաղել են՝ հունիս ամսից մտնելով բացասական տիրույթ, որի պայմաններում ՀՀ ԿԲ-ն նվազեցրել է քաղաքականության տոկոսադրույքը՝ օգոստոսին այն սահմանելով 10.25%: </w:t>
      </w:r>
      <w:r w:rsidRPr="005D1807">
        <w:rPr>
          <w:rFonts w:eastAsia="GHEA Grapalat"/>
          <w:b w:val="0"/>
          <w:bCs/>
        </w:rPr>
        <w:t xml:space="preserve">Գնաճի տեմպերի զգալի դանդաղումը պայմանավորվել է արտաքին հատվածից գնաճային ճնշումների թուլացման, փոխարժեքի արժևորման և դրա լագային ազդեցությունների, ինչպես նաև իրականացված հետևողական զսպող դրամավարկային քաղաքականության ազդեցությամբ՝ միաժամանակ օժանդակություն ստանալով նախորդ տարվա գների բարձր բազայի գործոնից, որոնց, սակայն, որոշակիորեն հակակշռել է պահպանվող բարձր պահանջարկը։ Արդյունքում 12-ամսյա գնաճը օգոստոսին կազմել է -0.2%`, իսկ միջին գնաճը հունվար-օգոստոսին՝ 3.1%:  </w:t>
      </w:r>
    </w:p>
    <w:p w14:paraId="5EF3BD61" w14:textId="77777777" w:rsidR="005D1807" w:rsidRPr="005D1807" w:rsidRDefault="005D1807" w:rsidP="005D1807">
      <w:pPr>
        <w:rPr>
          <w:rFonts w:eastAsia="Calibri"/>
          <w:b w:val="0"/>
          <w:bCs/>
        </w:rPr>
      </w:pPr>
      <w:r w:rsidRPr="00A64D05">
        <w:rPr>
          <w:rFonts w:eastAsia="Calibri"/>
        </w:rPr>
        <w:lastRenderedPageBreak/>
        <w:t>Գծապատկեր 1.37.</w:t>
      </w:r>
      <w:r w:rsidRPr="005D1807">
        <w:rPr>
          <w:rFonts w:eastAsia="Calibri"/>
          <w:b w:val="0"/>
          <w:bCs/>
        </w:rPr>
        <w:t xml:space="preserve"> Գնաճի տեմպերը և ԿԲ տոկոսադրույքը ըստ ամիսների, 2020-2023թ</w:t>
      </w:r>
      <w:r w:rsidRPr="005D1807">
        <w:rPr>
          <w:rFonts w:eastAsia="MS Gothic"/>
          <w:b w:val="0"/>
          <w:bCs/>
        </w:rPr>
        <w:t xml:space="preserve">․ </w:t>
      </w:r>
      <w:r w:rsidRPr="005D1807">
        <w:rPr>
          <w:rFonts w:eastAsia="MS Mincho"/>
          <w:b w:val="0"/>
          <w:bCs/>
        </w:rPr>
        <w:t>օգոստոս,</w:t>
      </w:r>
      <w:r w:rsidRPr="005D1807">
        <w:rPr>
          <w:rFonts w:eastAsia="Calibri"/>
          <w:b w:val="0"/>
          <w:bCs/>
        </w:rPr>
        <w:t xml:space="preserve"> %</w:t>
      </w:r>
    </w:p>
    <w:p w14:paraId="47B52122" w14:textId="77777777" w:rsidR="005D1807" w:rsidRPr="005D1807" w:rsidRDefault="005D1807" w:rsidP="005D1807">
      <w:pPr>
        <w:rPr>
          <w:rFonts w:eastAsia="GHEA Grapalat"/>
          <w:b w:val="0"/>
          <w:bCs/>
        </w:rPr>
      </w:pPr>
      <w:r w:rsidRPr="005D1807">
        <w:rPr>
          <w:rFonts w:eastAsia="GHEA Grapalat"/>
          <w:b w:val="0"/>
          <w:bCs/>
          <w:noProof/>
          <w:lang w:val="en-US" w:eastAsia="en-US"/>
        </w:rPr>
        <w:drawing>
          <wp:inline distT="0" distB="0" distL="0" distR="0" wp14:anchorId="65EBBE0E" wp14:editId="1FE7043E">
            <wp:extent cx="5600700" cy="2371725"/>
            <wp:effectExtent l="0" t="0" r="0" b="9525"/>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AC4E89A" w14:textId="77777777" w:rsidR="005D1807" w:rsidRPr="00A64D05" w:rsidRDefault="005D1807" w:rsidP="005D1807">
      <w:pPr>
        <w:rPr>
          <w:rFonts w:eastAsia="GHEA Grapalat"/>
          <w:b w:val="0"/>
          <w:bCs/>
          <w:sz w:val="20"/>
          <w:szCs w:val="20"/>
        </w:rPr>
      </w:pPr>
      <w:r w:rsidRPr="00A64D05">
        <w:rPr>
          <w:rFonts w:eastAsia="GHEA Grapalat"/>
          <w:b w:val="0"/>
          <w:bCs/>
          <w:sz w:val="20"/>
          <w:szCs w:val="20"/>
        </w:rPr>
        <w:t>Աղբյուրը՝ ՀՀ ԿԲ</w:t>
      </w:r>
    </w:p>
    <w:p w14:paraId="3F1C07DB" w14:textId="77777777" w:rsidR="005D1807" w:rsidRPr="005D1807" w:rsidRDefault="005D1807" w:rsidP="005D1807">
      <w:pPr>
        <w:rPr>
          <w:rFonts w:eastAsia="Calibri"/>
          <w:b w:val="0"/>
          <w:bCs/>
        </w:rPr>
      </w:pPr>
      <w:r w:rsidRPr="00A64D05">
        <w:rPr>
          <w:rFonts w:eastAsia="Calibri"/>
        </w:rPr>
        <w:t>Գծապատկեր 1.38.</w:t>
      </w:r>
      <w:r w:rsidRPr="005D1807">
        <w:rPr>
          <w:rFonts w:eastAsia="Calibri"/>
          <w:b w:val="0"/>
          <w:bCs/>
        </w:rPr>
        <w:t xml:space="preserve"> Գնաճի նպաստումները խոշոր ապրանքախմբերով, ըստ եռամսյակների, տոկոսային կետ</w:t>
      </w:r>
    </w:p>
    <w:p w14:paraId="316620F8" w14:textId="77777777" w:rsidR="005D1807" w:rsidRPr="005D1807" w:rsidRDefault="005D1807" w:rsidP="005D1807">
      <w:pPr>
        <w:rPr>
          <w:rFonts w:eastAsia="GHEA Grapalat"/>
          <w:b w:val="0"/>
          <w:bCs/>
        </w:rPr>
      </w:pPr>
      <w:r w:rsidRPr="005D1807">
        <w:rPr>
          <w:b w:val="0"/>
          <w:bCs/>
          <w:noProof/>
          <w:lang w:val="en-US" w:eastAsia="en-US"/>
        </w:rPr>
        <w:drawing>
          <wp:inline distT="0" distB="0" distL="0" distR="0" wp14:anchorId="7C9A7A3D" wp14:editId="4D506D72">
            <wp:extent cx="2876550" cy="2105025"/>
            <wp:effectExtent l="0" t="0" r="0" b="9525"/>
            <wp:docPr id="16120845" name="Chart 161208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5D1807">
        <w:rPr>
          <w:b w:val="0"/>
          <w:bCs/>
          <w:noProof/>
          <w:lang w:val="en-US" w:eastAsia="en-US"/>
        </w:rPr>
        <w:drawing>
          <wp:inline distT="0" distB="0" distL="0" distR="0" wp14:anchorId="21838ED9" wp14:editId="4F0BEBE7">
            <wp:extent cx="2714625" cy="2114550"/>
            <wp:effectExtent l="0" t="0" r="952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5D1807">
        <w:rPr>
          <w:b w:val="0"/>
          <w:bCs/>
          <w:noProof/>
          <w:lang w:val="en-US" w:eastAsia="en-US"/>
        </w:rPr>
        <w:drawing>
          <wp:inline distT="0" distB="0" distL="0" distR="0" wp14:anchorId="1765EB4A" wp14:editId="3C003EB7">
            <wp:extent cx="6029325" cy="59055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60B9DB7" w14:textId="77777777" w:rsidR="005D1807" w:rsidRPr="00A64D05" w:rsidRDefault="005D1807" w:rsidP="005D1807">
      <w:pPr>
        <w:rPr>
          <w:rFonts w:eastAsia="GHEA Grapalat"/>
          <w:b w:val="0"/>
          <w:bCs/>
          <w:sz w:val="20"/>
          <w:szCs w:val="20"/>
        </w:rPr>
      </w:pPr>
      <w:r w:rsidRPr="00A64D05">
        <w:rPr>
          <w:rFonts w:eastAsia="GHEA Grapalat"/>
          <w:b w:val="0"/>
          <w:bCs/>
          <w:sz w:val="20"/>
          <w:szCs w:val="20"/>
        </w:rPr>
        <w:t>Աղբյուրը՝ ՀՀ ՎԿ և ՀՀ ՖՆ հաշվարկներ</w:t>
      </w:r>
    </w:p>
    <w:p w14:paraId="76AE443A" w14:textId="77777777" w:rsidR="005D1807" w:rsidRPr="005D1807" w:rsidRDefault="005D1807" w:rsidP="005D1807">
      <w:pPr>
        <w:rPr>
          <w:rFonts w:eastAsia="GHEA Grapalat"/>
          <w:b w:val="0"/>
          <w:bCs/>
        </w:rPr>
      </w:pPr>
    </w:p>
    <w:p w14:paraId="167C619B" w14:textId="77777777" w:rsidR="005D1807" w:rsidRPr="005D1807" w:rsidRDefault="005D1807" w:rsidP="005D1807">
      <w:pPr>
        <w:rPr>
          <w:rFonts w:eastAsia="GHEA Grapalat"/>
          <w:b w:val="0"/>
          <w:bCs/>
        </w:rPr>
      </w:pPr>
      <w:r w:rsidRPr="00A64D05">
        <w:t>Դրամավարկային քաղաքականության փոխանցումային մեխանիզմը համեմատաբար արդյունավետ է գործել պետական պարտատոմսերի, և պակաս արդյունավետ՝ վարկերի և ավանդների շուկաներում՝ պայմանավորված նաև դեպի ՀՀ բանկային համակարգ տեղի ունեցած լրացուցիչ ներհոսքերով։</w:t>
      </w:r>
      <w:r w:rsidRPr="005D1807">
        <w:rPr>
          <w:b w:val="0"/>
          <w:bCs/>
        </w:rPr>
        <w:t xml:space="preserve"> 2022թ. ընթացքում, նախ հաշվի առնելով միջազգային պարենային շուկաներում գնաճային զարգացումները, ապա՝ տնտեսությունում պահանջարկի և հատկապես ծառայությունների նկատմամբ արտաքին պահանջարկի բարձր աճը, ՀՀ ԿԲ-ն բարձրացրել է վերաֆինանսավորման տոկոսադրույքն ընդհանուր առմամբ 3.0 տոկոսային կետով՝ սահմանելով այն 10.75%: Այնուամենայնիվ, դրա ազդեցության ներքո ֆինանսական շուկաներում վարկերի և ավանդների տոկոսադրույքներն անհամաչափորեն են ճշգրտվել միջբանկային ռեպոյի և կարճաժամկետ պետական պարտատոմսերի շուկաների համեմատ, որոնք ավելի զգայուն են </w:t>
      </w:r>
      <w:r w:rsidRPr="005D1807">
        <w:rPr>
          <w:b w:val="0"/>
          <w:bCs/>
        </w:rPr>
        <w:lastRenderedPageBreak/>
        <w:t xml:space="preserve">եղել դրամավարկային քաղաքականության տոկոսադրույքների նկատմամբ։ Ավելին, ավանդների տոկոսադրույքներն անգամ նվազման միտումներ են ունեցել՝ պայմանավորված դեպի բանկային համակարգ ֆինանսական էական հոսքերով։ </w:t>
      </w:r>
      <w:r w:rsidRPr="005D1807">
        <w:rPr>
          <w:rFonts w:eastAsia="GHEA Grapalat"/>
          <w:b w:val="0"/>
          <w:bCs/>
        </w:rPr>
        <w:t>2023թ․ ընթացիկ ամիսներին ֆինանսական շուկայում պետական պարտատոմսերի տոկոսադրույքները նախորդ տարվա ընթացքում գրանցած աճից հետո սկսել են որոշակի նվազել, իսկ վարկերի և ավանդների տոկոսադրույքներն ընդհանուր առմամբ շարունակել են պահպանվել իրենց միջին մակարդակների շրջակայքում։</w:t>
      </w:r>
    </w:p>
    <w:p w14:paraId="3CB92697" w14:textId="77777777" w:rsidR="005D1807" w:rsidRPr="005D1807" w:rsidRDefault="005D1807" w:rsidP="005D1807">
      <w:pPr>
        <w:rPr>
          <w:b w:val="0"/>
          <w:bCs/>
        </w:rPr>
      </w:pPr>
      <w:r w:rsidRPr="005D1807">
        <w:rPr>
          <w:b w:val="0"/>
          <w:bCs/>
        </w:rPr>
        <w:t>Կանխատեսում: 2023թ․ վերջին 12 ամսյա գնաճը կձևավորվի նպատակային ցուցանիշից ցածր և աստիճանաբար արագանալով՝ 2024թ․-ի վերջին կհասնի նպատակային 4% ցուցանիշին: Նախանշված ուղեգծից գնաճի շեղման հավանականային ռիսկերը հիմնականում հավասարակշռված են</w:t>
      </w:r>
      <w:r w:rsidRPr="005D1807">
        <w:rPr>
          <w:b w:val="0"/>
          <w:bCs/>
        </w:rPr>
        <w:footnoteReference w:id="18"/>
      </w:r>
      <w:r w:rsidRPr="005D1807">
        <w:rPr>
          <w:b w:val="0"/>
          <w:bCs/>
        </w:rPr>
        <w:t>:</w:t>
      </w:r>
    </w:p>
    <w:p w14:paraId="260A39EF" w14:textId="77777777" w:rsidR="005D1807" w:rsidRPr="005D1807" w:rsidRDefault="005D1807" w:rsidP="005D1807">
      <w:pPr>
        <w:rPr>
          <w:b w:val="0"/>
          <w:bCs/>
        </w:rPr>
      </w:pPr>
    </w:p>
    <w:p w14:paraId="715D5FCF" w14:textId="77777777" w:rsidR="005D1807" w:rsidRPr="005D1807" w:rsidRDefault="005D1807" w:rsidP="005D1807">
      <w:pPr>
        <w:rPr>
          <w:rFonts w:eastAsia="Calibri"/>
          <w:b w:val="0"/>
          <w:bCs/>
        </w:rPr>
      </w:pPr>
      <w:r w:rsidRPr="00A64D05">
        <w:rPr>
          <w:rFonts w:eastAsia="Calibri"/>
        </w:rPr>
        <w:t>Գծապատկեր 1.39.</w:t>
      </w:r>
      <w:r w:rsidRPr="005D1807">
        <w:rPr>
          <w:rFonts w:eastAsia="Calibri"/>
          <w:b w:val="0"/>
          <w:bCs/>
        </w:rPr>
        <w:t xml:space="preserve"> Դրամավարկային քաղաքականության ազդեցությունները ֆինանսական շուկայում և գնաճի կանխատեսումները</w:t>
      </w:r>
    </w:p>
    <w:p w14:paraId="26318E2C" w14:textId="77777777" w:rsidR="005D1807" w:rsidRPr="005D1807" w:rsidRDefault="005D1807" w:rsidP="005D1807">
      <w:pPr>
        <w:rPr>
          <w:b w:val="0"/>
          <w:bCs/>
        </w:rPr>
      </w:pPr>
      <w:r w:rsidRPr="005D1807">
        <w:rPr>
          <w:b w:val="0"/>
          <w:bCs/>
          <w:noProof/>
          <w:lang w:val="en-US" w:eastAsia="en-US"/>
        </w:rPr>
        <w:drawing>
          <wp:inline distT="0" distB="0" distL="0" distR="0" wp14:anchorId="7072BB3C" wp14:editId="7C85D4F2">
            <wp:extent cx="2828925" cy="2828925"/>
            <wp:effectExtent l="0" t="0" r="9525" b="9525"/>
            <wp:docPr id="16120846" name="Chart 161208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5D1807">
        <w:rPr>
          <w:b w:val="0"/>
          <w:bCs/>
          <w:noProof/>
          <w:lang w:val="en-US" w:eastAsia="en-US"/>
        </w:rPr>
        <w:drawing>
          <wp:inline distT="0" distB="0" distL="0" distR="0" wp14:anchorId="35473456" wp14:editId="07AF9ACA">
            <wp:extent cx="2895600" cy="2828925"/>
            <wp:effectExtent l="0" t="0" r="0" b="9525"/>
            <wp:docPr id="16120847" name="Chart 161208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627FF21" w14:textId="77777777" w:rsidR="005D1807" w:rsidRPr="005D1807" w:rsidRDefault="005D1807" w:rsidP="005D1807">
      <w:pPr>
        <w:rPr>
          <w:b w:val="0"/>
          <w:bCs/>
        </w:rPr>
      </w:pPr>
      <w:r w:rsidRPr="005D1807">
        <w:rPr>
          <w:b w:val="0"/>
          <w:bCs/>
        </w:rPr>
        <w:t>Աղբյուրը՝ ՀՀ ԿԲ</w:t>
      </w:r>
    </w:p>
    <w:p w14:paraId="068E7D3B" w14:textId="77777777" w:rsidR="005D1807" w:rsidRPr="00A64D05" w:rsidRDefault="005D1807" w:rsidP="00A64D05">
      <w:pPr>
        <w:keepNext/>
        <w:keepLines/>
        <w:spacing w:before="0"/>
        <w:outlineLvl w:val="2"/>
        <w:rPr>
          <w:rFonts w:eastAsiaTheme="majorEastAsia" w:cstheme="majorBidi"/>
          <w:bCs/>
          <w:color w:val="1F497D" w:themeColor="text2"/>
          <w:sz w:val="24"/>
          <w:lang w:val="hy-AM" w:eastAsia="en-US"/>
        </w:rPr>
      </w:pPr>
      <w:bookmarkStart w:id="52" w:name="_Toc146911025"/>
      <w:bookmarkStart w:id="53" w:name="_Toc153184464"/>
      <w:bookmarkStart w:id="54" w:name="_Toc165901455"/>
      <w:r w:rsidRPr="00A64D05">
        <w:rPr>
          <w:rFonts w:eastAsiaTheme="majorEastAsia" w:cstheme="majorBidi"/>
          <w:bCs/>
          <w:color w:val="1F497D" w:themeColor="text2"/>
          <w:sz w:val="24"/>
          <w:lang w:val="hy-AM" w:eastAsia="en-US"/>
        </w:rPr>
        <w:t>1.4. ԿԱՆԽԱՏԵՍՈՒՄՆԵՐԻ ՀԻՄՔՈՒՄ ԸՆԿԱԾ ԵՆԹԱԴՐՈՒԹՅՈՒՆՆԵՐԸ</w:t>
      </w:r>
      <w:bookmarkEnd w:id="45"/>
      <w:bookmarkEnd w:id="46"/>
      <w:bookmarkEnd w:id="47"/>
      <w:bookmarkEnd w:id="48"/>
      <w:bookmarkEnd w:id="49"/>
      <w:bookmarkEnd w:id="50"/>
      <w:bookmarkEnd w:id="51"/>
      <w:bookmarkEnd w:id="52"/>
      <w:bookmarkEnd w:id="53"/>
      <w:bookmarkEnd w:id="54"/>
    </w:p>
    <w:p w14:paraId="2366E334" w14:textId="77777777" w:rsidR="005D1807" w:rsidRPr="0073392C" w:rsidRDefault="005D1807" w:rsidP="005D1807">
      <w:pPr>
        <w:rPr>
          <w:rFonts w:eastAsia="Calibri"/>
          <w:b w:val="0"/>
          <w:bCs/>
          <w:lang w:val="hy-AM"/>
        </w:rPr>
      </w:pPr>
      <w:r w:rsidRPr="0073392C">
        <w:rPr>
          <w:rFonts w:eastAsia="Calibri"/>
          <w:b w:val="0"/>
          <w:bCs/>
          <w:lang w:val="hy-AM"/>
        </w:rPr>
        <w:t>2024 թվականի պետական բյուջեի մակրոտնտեսական շրջանակի կանխատեսումներն իրականացվել են ՀՀ ՖՆ կողմից՝ կիրառելով տնտեսաչափական մոդելներ, և առանձին շոկերի և հարկաբյուջետային միջոցառումների ազդեցությունների գնահատման համար՝ ՀՀ ՖՆ Արարատ հարկաբյուջետային ռազմավարության դինամիկ ստոխաստիկ ընդհանուր հավասարակշռության (Ararat Fiscal Strategy Model) մոդելը,  որոնց համար տեղեկատվական հիմք են հանդիսացել 2023թ. օգոստոս ամսվա դրությամբ հասանելի նեքին և արտաքին ընթացիկ տնտեսական և ֆինանսական զարգացումները, ինչպես նաև ՀՀ գործընկեր երկրների տնտեսական  զարգացումների և հումքային ապրանքների համաշխարհային գների միջազգային կառույցների կողմից արված կանխատեսումները: Մասնավորապես՝</w:t>
      </w:r>
    </w:p>
    <w:p w14:paraId="3D270028" w14:textId="77777777" w:rsidR="005D1807" w:rsidRPr="00A64D05" w:rsidRDefault="005D1807" w:rsidP="00A64D05">
      <w:pPr>
        <w:tabs>
          <w:tab w:val="left" w:pos="284"/>
        </w:tabs>
        <w:rPr>
          <w:rFonts w:eastAsia="Calibri" w:cs="Sylfaen"/>
          <w:bCs/>
          <w:color w:val="1F497D" w:themeColor="text2"/>
          <w:szCs w:val="22"/>
          <w:lang w:val="hy-AM" w:eastAsia="en-US"/>
        </w:rPr>
      </w:pPr>
      <w:r w:rsidRPr="00A64D05">
        <w:rPr>
          <w:rFonts w:eastAsia="Calibri" w:cs="Sylfaen"/>
          <w:bCs/>
          <w:color w:val="1F497D" w:themeColor="text2"/>
          <w:szCs w:val="22"/>
          <w:lang w:val="hy-AM" w:eastAsia="en-US"/>
        </w:rPr>
        <w:lastRenderedPageBreak/>
        <w:t>1 Արտաքին  գործոններ.</w:t>
      </w:r>
    </w:p>
    <w:p w14:paraId="1C3DD633"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73392C">
        <w:rPr>
          <w:rFonts w:eastAsia="Calibri"/>
          <w:b w:val="0"/>
          <w:bCs/>
          <w:lang w:val="hy-AM"/>
        </w:rPr>
        <w:t xml:space="preserve">2022թ. փետրվար ամսից սկիզբ առած ռուս-ուկրաինական հակամարության տնտեսական հետևանքների, ինչպես </w:t>
      </w:r>
      <w:r w:rsidRPr="00F46689">
        <w:rPr>
          <w:rFonts w:eastAsia="Calibri" w:cs="Arial"/>
          <w:b w:val="0"/>
          <w:bCs/>
          <w:kern w:val="2"/>
          <w:szCs w:val="22"/>
          <w:lang w:val="hy-AM"/>
          <w14:ligatures w14:val="standardContextual"/>
        </w:rPr>
        <w:t>նաև գնաճը զսպող խստացնող դրամավարկային քաղաքականությունների պայմաններում 2023թ. հուլիս ամսվա ԱՄՀ կանխատեսումների համաձայն 2023թ. սպասվում է ԵԳ և ԱՄՆ տնտեսական աճերի դանդաղում (համապատասխանաբար՝ 0.9% և 1.8%), իսկ Չինաստանում սպասվում է ներուժային տնտեսական աճից ավելի ցածր՝ 5.2% տնտեսական աճ: Ըստ ԱՄՀ կանխատեսումների 2023թ. ՌԴ-ում սպասվում է 1.5% տնտեսական աճ: Հատկանշական է, որ ԱՄՀ ՀՀ հիմնական գործընկեր երկրների 2023թ. տնտեսական աճերի վերջին կանխատեսումները ապրիլ ամսվա կանխատեսումների համեմատ վերանայվել են դեպի վերև՝ պայմանավորված սպասվածից առավել դրական ընթացիկ զարգացումներով:</w:t>
      </w:r>
    </w:p>
    <w:p w14:paraId="0B4F29F0"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ՀՀ գործընկեր երկրների տնտեսությունների համար 2024թ. կանխատեսվում  է իրենց նախաճգնաժամային ներուժային աճերի շուրջ տնտեսական աճեր, բացառությամբ Չինաստանի, որի համար կանխատեսվում է տնտեսական աճի տեմպի դանդաղում</w:t>
      </w:r>
      <w:r w:rsidRPr="00F46689">
        <w:rPr>
          <w:rFonts w:eastAsia="Calibri" w:cs="Arial"/>
          <w:b w:val="0"/>
          <w:bCs/>
          <w:kern w:val="2"/>
          <w:szCs w:val="22"/>
          <w:lang w:val="hy-AM"/>
          <w14:ligatures w14:val="standardContextual"/>
        </w:rPr>
        <w:footnoteReference w:id="19"/>
      </w:r>
      <w:r w:rsidRPr="00F46689">
        <w:rPr>
          <w:rFonts w:eastAsia="Calibri" w:cs="Arial"/>
          <w:b w:val="0"/>
          <w:bCs/>
          <w:kern w:val="2"/>
          <w:szCs w:val="22"/>
          <w:lang w:val="hy-AM"/>
          <w14:ligatures w14:val="standardContextual"/>
        </w:rPr>
        <w:t xml:space="preserve">: </w:t>
      </w:r>
    </w:p>
    <w:p w14:paraId="770893A2"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2023թ. նավթի և պղնձի բորսային գները կգրանցեն նվազում: Նավթի գնի նվազումը պայմանավորված է զարգացած տնտեսություներում ավելի թույլ աճի հեռանկարներով: Ըստ «Բլումբերգ» միջազգային հեղինակավոր կազմակերպության  կանխատեսումների 2023թ. նավթի միջազգային գները կնվազեն 17.8 %-ով, իսկ պղնձինը գները 3.6%-ով: 2024թ. նավթի և պղնձի գները կնվազեն համապատասխանաբար՝ 0.9% և 1.8%-ով:</w:t>
      </w:r>
    </w:p>
    <w:p w14:paraId="1F149794"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Ենթադրվում է, որ ՀՀ ծառայությունների արտահանման վերականգնումը կլինի առաջանցիկ ներմուծման համեմատ՝ պայմանավորված լինելով ՌԴ նկատմամբ կիրառվող պատժամիջոցների հետևանքով ռուս զբոսաշրջիկների մեծ ներհոսքի պահպանմամբ: 2023թ. համար սպասվում է, որ դեպի ՀՀ զբոսաշրջությունը շուրջ 25%-ով կգերազանցի 2019թ. մակարդակը, պայմանավորված ՌԴ-ից զբոսաշրջիկների կտրուկ ավելացմամբ, իսկ այլ երկրներից զբոսաշրջիկների թիվը 2024թ. դեռ կմնա 2019թ. մակարդակից ավելի ցածր:</w:t>
      </w:r>
    </w:p>
    <w:p w14:paraId="7407C7A1"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2023թ. սպասվում է դրամական փոխանցումների շուրջ 20.5% անկում՝ պայմանավորված ինչպես ՌԴ-ից, այնպես էլ այլ երկրներից դրամական փոխանցումների նվազմամբ: Կանխատեսումների համաձայն 2024թ. դրամական փոխանցումները միջինում կաճեն շուրջ 3.9%-ով:</w:t>
      </w:r>
    </w:p>
    <w:p w14:paraId="69825489" w14:textId="77777777" w:rsidR="005D1807" w:rsidRPr="0073392C" w:rsidRDefault="005D1807" w:rsidP="00F46689">
      <w:pPr>
        <w:pStyle w:val="ListParagraph"/>
        <w:numPr>
          <w:ilvl w:val="0"/>
          <w:numId w:val="55"/>
        </w:numPr>
        <w:tabs>
          <w:tab w:val="left" w:pos="284"/>
        </w:tabs>
        <w:suppressAutoHyphens/>
        <w:spacing w:before="0" w:after="160"/>
        <w:ind w:left="0" w:firstLine="0"/>
        <w:rPr>
          <w:rFonts w:eastAsia="Calibri"/>
          <w:b w:val="0"/>
          <w:bCs/>
          <w:lang w:val="hy-AM"/>
        </w:rPr>
      </w:pPr>
      <w:r w:rsidRPr="00F46689">
        <w:rPr>
          <w:rFonts w:eastAsia="Calibri" w:cs="Arial"/>
          <w:b w:val="0"/>
          <w:bCs/>
          <w:kern w:val="2"/>
          <w:szCs w:val="22"/>
          <w:lang w:val="hy-AM"/>
          <w14:ligatures w14:val="standardContextual"/>
        </w:rPr>
        <w:t>ՌԴ դեմ կիրառված պատժամիջոցների արդյունքում ՌԴ-ից դեպի Հայաստան տեղափոխված</w:t>
      </w:r>
      <w:r w:rsidRPr="0073392C">
        <w:rPr>
          <w:rFonts w:eastAsia="Calibri"/>
          <w:b w:val="0"/>
          <w:bCs/>
          <w:lang w:val="hy-AM"/>
        </w:rPr>
        <w:t xml:space="preserve"> ՏՏ ոլորտի ընկերությունների և աշխատակիցների որոշ մասը 2023թ. և 2024թ. ընթացքում կմնան Հայաստանում:</w:t>
      </w:r>
    </w:p>
    <w:p w14:paraId="29D3B760"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73392C">
        <w:rPr>
          <w:rFonts w:eastAsia="Calibri"/>
          <w:b w:val="0"/>
          <w:bCs/>
          <w:lang w:val="hy-AM"/>
        </w:rPr>
        <w:t xml:space="preserve">Կառավարության 2021-2026թթ. ծրագրից բխող թիրախներ և գործողություններ։ ՀՀ </w:t>
      </w:r>
      <w:r w:rsidRPr="00F46689">
        <w:rPr>
          <w:rFonts w:eastAsia="Calibri" w:cs="Arial"/>
          <w:b w:val="0"/>
          <w:bCs/>
          <w:kern w:val="2"/>
          <w:szCs w:val="22"/>
          <w:lang w:val="hy-AM"/>
          <w14:ligatures w14:val="standardContextual"/>
        </w:rPr>
        <w:t>կառավարության ծրագրում նպատակարդված թիրախներին համահունչ 2024թ</w:t>
      </w:r>
      <w:r w:rsidRPr="00F46689">
        <w:rPr>
          <w:rFonts w:ascii="Cambria Math" w:eastAsia="Calibri" w:hAnsi="Cambria Math" w:cs="Cambria Math"/>
          <w:b w:val="0"/>
          <w:bCs/>
          <w:kern w:val="2"/>
          <w:szCs w:val="22"/>
          <w:lang w:val="hy-AM"/>
          <w14:ligatures w14:val="standardContextual"/>
        </w:rPr>
        <w:t>․</w:t>
      </w:r>
      <w:r w:rsidRPr="00F46689">
        <w:rPr>
          <w:rFonts w:eastAsia="Calibri" w:cs="Arial"/>
          <w:b w:val="0"/>
          <w:bCs/>
          <w:kern w:val="2"/>
          <w:szCs w:val="22"/>
          <w:lang w:val="hy-AM"/>
          <w14:ligatures w14:val="standardContextual"/>
        </w:rPr>
        <w:t xml:space="preserve"> տնտեսական աճի կանխատեսումների հիմքում դրվել է հետևյալ ենթադրությունները</w:t>
      </w:r>
      <w:r w:rsidRPr="00F46689">
        <w:rPr>
          <w:rFonts w:ascii="Cambria Math" w:eastAsia="Calibri" w:hAnsi="Cambria Math" w:cs="Cambria Math"/>
          <w:b w:val="0"/>
          <w:bCs/>
          <w:kern w:val="2"/>
          <w:szCs w:val="22"/>
          <w:lang w:val="hy-AM"/>
          <w14:ligatures w14:val="standardContextual"/>
        </w:rPr>
        <w:t>․</w:t>
      </w:r>
    </w:p>
    <w:p w14:paraId="3A2EA32F"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lastRenderedPageBreak/>
        <w:t xml:space="preserve">Գործարար միջավայրի բարելավման արդյունքում մասնավոր ներդրումների, այդ թվում՝ օտարերկրյա ուղղակի ներդրումների մակարդակի բարձրացում, </w:t>
      </w:r>
    </w:p>
    <w:p w14:paraId="2A371C97"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Ենթակառուցվածքներում, տնտեսության արտադրողական ոլորտներում թիրախավորված մեծածավալ պետական կապիտալ ներդրումների իրականացում,</w:t>
      </w:r>
    </w:p>
    <w:p w14:paraId="1F509085"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Տնտեսության արտահանելի հատվածի և արտահանման խթանմանն ուղղված քաղաքականության արդյունքում արտահանման ծավալների մեծացում,</w:t>
      </w:r>
    </w:p>
    <w:p w14:paraId="70C4F29D" w14:textId="77777777" w:rsidR="005D1807" w:rsidRPr="0073392C" w:rsidRDefault="005D1807" w:rsidP="00F46689">
      <w:pPr>
        <w:pStyle w:val="ListParagraph"/>
        <w:numPr>
          <w:ilvl w:val="0"/>
          <w:numId w:val="55"/>
        </w:numPr>
        <w:tabs>
          <w:tab w:val="left" w:pos="284"/>
        </w:tabs>
        <w:suppressAutoHyphens/>
        <w:spacing w:before="0" w:after="160"/>
        <w:ind w:left="0" w:firstLine="0"/>
        <w:rPr>
          <w:rFonts w:eastAsia="Calibri"/>
          <w:b w:val="0"/>
          <w:bCs/>
          <w:lang w:val="hy-AM"/>
        </w:rPr>
      </w:pPr>
      <w:r w:rsidRPr="00F46689">
        <w:rPr>
          <w:rFonts w:eastAsia="Calibri" w:cs="Arial"/>
          <w:b w:val="0"/>
          <w:bCs/>
          <w:kern w:val="2"/>
          <w:szCs w:val="22"/>
          <w:lang w:val="hy-AM"/>
          <w14:ligatures w14:val="standardContextual"/>
        </w:rPr>
        <w:t>Բարձր տեխնոլոգիական առաջընթացի ապահովմանն ուղղված քաղաքականության իրականացման</w:t>
      </w:r>
      <w:r w:rsidRPr="0073392C">
        <w:rPr>
          <w:rFonts w:eastAsia="Calibri"/>
          <w:b w:val="0"/>
          <w:bCs/>
          <w:lang w:val="hy-AM"/>
        </w:rPr>
        <w:t xml:space="preserve"> արդյունքում մրցակցության և արտադրողականության բարձրացում։</w:t>
      </w:r>
    </w:p>
    <w:p w14:paraId="4E9C68FF" w14:textId="77777777" w:rsidR="005D1807" w:rsidRPr="00A64D05" w:rsidRDefault="005D1807" w:rsidP="00A64D05">
      <w:pPr>
        <w:tabs>
          <w:tab w:val="left" w:pos="284"/>
        </w:tabs>
        <w:rPr>
          <w:rFonts w:eastAsia="Calibri" w:cs="Sylfaen"/>
          <w:bCs/>
          <w:color w:val="1F497D" w:themeColor="text2"/>
          <w:szCs w:val="22"/>
          <w:lang w:val="hy-AM" w:eastAsia="en-US"/>
        </w:rPr>
      </w:pPr>
      <w:r w:rsidRPr="00A64D05">
        <w:rPr>
          <w:rFonts w:eastAsia="Calibri" w:cs="Sylfaen"/>
          <w:bCs/>
          <w:color w:val="1F497D" w:themeColor="text2"/>
          <w:szCs w:val="22"/>
          <w:lang w:val="hy-AM" w:eastAsia="en-US"/>
        </w:rPr>
        <w:t xml:space="preserve">2 Տնտեսության ներուժ և պարբերաշրջաններ: </w:t>
      </w:r>
    </w:p>
    <w:p w14:paraId="6174D122" w14:textId="77777777" w:rsidR="005D1807" w:rsidRPr="0073392C" w:rsidRDefault="005D1807" w:rsidP="005D1807">
      <w:pPr>
        <w:rPr>
          <w:rFonts w:eastAsia="Calibri"/>
          <w:b w:val="0"/>
          <w:bCs/>
          <w:lang w:val="hy-AM"/>
        </w:rPr>
      </w:pPr>
      <w:r w:rsidRPr="0073392C">
        <w:rPr>
          <w:rFonts w:eastAsia="Calibri"/>
          <w:b w:val="0"/>
          <w:bCs/>
          <w:lang w:val="hy-AM"/>
        </w:rPr>
        <w:t>2022թ․ դրական զարգացումների պայմաններում ՀՀ տնտեսությունը գտնվել է ներուժային մակարդակից ավելի բարձր դիրքում՝ մտնելով դրական ճեղքի տիրույթ, ըստ կանխատեսումների 2023թ. և 2024թ. ՀՀ տնտեսությունը կշարունակի մնալ դրական ճեղքի տիրույթում։ Միաժամանակ,  պետական կապիտալ ծախսերի մակարդակի թիրախային բարձրացման, կառուցվածքային բարեփոխումների իրականացման և արտահանման առաջանցիկ աճի պայմաններում, ինչպես նաև ՀՀ տեղափոխված ՏՏ ոլորտի ընկերությունների և աշխատակիցների գործունեության արդյունքում ներուժային աճը միջնաժամկետում աստիճանաբար կբարձրանա:</w:t>
      </w:r>
    </w:p>
    <w:p w14:paraId="5987DEAA" w14:textId="77777777" w:rsidR="005D1807" w:rsidRPr="00A64D05" w:rsidRDefault="005D1807" w:rsidP="00A64D05">
      <w:pPr>
        <w:tabs>
          <w:tab w:val="left" w:pos="284"/>
        </w:tabs>
        <w:rPr>
          <w:rFonts w:eastAsia="Calibri" w:cs="Sylfaen"/>
          <w:bCs/>
          <w:color w:val="1F497D" w:themeColor="text2"/>
          <w:szCs w:val="22"/>
          <w:lang w:val="hy-AM" w:eastAsia="en-US"/>
        </w:rPr>
      </w:pPr>
      <w:r w:rsidRPr="00A64D05">
        <w:rPr>
          <w:rFonts w:eastAsia="Calibri" w:cs="Sylfaen"/>
          <w:bCs/>
          <w:color w:val="1F497D" w:themeColor="text2"/>
          <w:szCs w:val="22"/>
          <w:lang w:val="hy-AM" w:eastAsia="en-US"/>
        </w:rPr>
        <w:t>3 Հարկաբյուջետային քաղաքականություն.</w:t>
      </w:r>
    </w:p>
    <w:p w14:paraId="4C760D61"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2024 թվականին հարկաբյուջետային քաղաքականությունը ՀՀ կառավարության 2021-2026թթ. ծրագրին համահունչ ուղղված կլինի թիրախավորված 7% տնտեսական աճի ապահովմանը՝ շեշտադրելով պետական ներդրումների մասնաբաժնի էական մեծացումը (կապիտալ ծախսերի կշիռը ՀՆԱ-ում հասցնելով 6.3%-ի) և ծախսերի իրականացման արդյունավետության բարձրացումը, ինչպես նաև՝ պարտքի կայունության պահպանմանը: Ընդ որում հարկաբյուջետային քաղաքականությունը ամբողջական պահանջարկի վրա 2024թ. կունենա խթանող ազդեցություն և միաժամանակ կխթանի ներուժային տնտեսական աճը:</w:t>
      </w:r>
    </w:p>
    <w:p w14:paraId="67EC121C"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2024 թվականին կառավարությունը նախատեսում է պահպանել հարկային վարչարարության բարելավմանն տեմպերը, ինչպես նաև իրականացնել հարկային օրենսդրության բարեփոխումներ, որոնց արդյունքում ակնկալվում է ապահովել հարկեր/ՀՆԱ հարաբերակցության շուրջ 0.75 տոկոսային կետով բարելավում:</w:t>
      </w:r>
    </w:p>
    <w:p w14:paraId="667FAE23" w14:textId="77777777" w:rsidR="005D1807" w:rsidRPr="0073392C" w:rsidRDefault="005D1807" w:rsidP="00F46689">
      <w:pPr>
        <w:pStyle w:val="ListParagraph"/>
        <w:numPr>
          <w:ilvl w:val="0"/>
          <w:numId w:val="55"/>
        </w:numPr>
        <w:tabs>
          <w:tab w:val="left" w:pos="284"/>
        </w:tabs>
        <w:suppressAutoHyphens/>
        <w:spacing w:before="0" w:after="160"/>
        <w:ind w:left="0" w:firstLine="0"/>
        <w:rPr>
          <w:rFonts w:eastAsia="Calibri"/>
          <w:b w:val="0"/>
          <w:bCs/>
          <w:lang w:val="hy-AM"/>
        </w:rPr>
      </w:pPr>
      <w:r w:rsidRPr="00F46689">
        <w:rPr>
          <w:rFonts w:eastAsia="Calibri" w:cs="Arial"/>
          <w:b w:val="0"/>
          <w:bCs/>
          <w:kern w:val="2"/>
          <w:szCs w:val="22"/>
          <w:lang w:val="hy-AM"/>
          <w14:ligatures w14:val="standardContextual"/>
        </w:rPr>
        <w:t>Կառավարության կապիտալ ծախսերը կուղղվեն այնպիսի ուղղություններով, որոնք միջնաժամկետ և երկարաժամկետ հատվածում կբարձրացնեն տնտեսության պոտենցիալը։ Կապիտալ ծախսերի առաջնահերթությունները միջնաժամկետ հատվածի համար հիմնականում վերաբերում են կրթության (300 դպրոցների և 500 մանկապարտեզների</w:t>
      </w:r>
      <w:r w:rsidRPr="0073392C">
        <w:rPr>
          <w:rFonts w:eastAsia="Calibri"/>
          <w:b w:val="0"/>
          <w:bCs/>
          <w:lang w:val="hy-AM"/>
        </w:rPr>
        <w:t xml:space="preserve"> կառուցում, նորոգում կամ հիմնանորոգում), ճանապարհաշինության (Հյուսիս-հարավ ճանապարհային միջանցք, ճանապարհների ցանցի նորոգում, հիմնանորոգում) և ջրային տնտեսության (15 փոքր և միջին ջրամբարների կառուցման ծրագիր) ոլորտներին։</w:t>
      </w:r>
    </w:p>
    <w:p w14:paraId="4B48591E" w14:textId="77777777" w:rsidR="005D1807" w:rsidRPr="00A64D05" w:rsidRDefault="005D1807" w:rsidP="00A64D05">
      <w:pPr>
        <w:tabs>
          <w:tab w:val="left" w:pos="284"/>
        </w:tabs>
        <w:rPr>
          <w:rFonts w:eastAsia="Calibri" w:cs="Sylfaen"/>
          <w:bCs/>
          <w:color w:val="1F497D" w:themeColor="text2"/>
          <w:szCs w:val="22"/>
          <w:lang w:val="hy-AM" w:eastAsia="en-US"/>
        </w:rPr>
      </w:pPr>
      <w:r w:rsidRPr="00A64D05">
        <w:rPr>
          <w:rFonts w:eastAsia="Calibri" w:cs="Sylfaen"/>
          <w:bCs/>
          <w:color w:val="1F497D" w:themeColor="text2"/>
          <w:szCs w:val="22"/>
          <w:lang w:val="hy-AM" w:eastAsia="en-US"/>
        </w:rPr>
        <w:t xml:space="preserve">Գնաճ և դրամավարկային քաղաքականություն. </w:t>
      </w:r>
      <w:r w:rsidRPr="00A64D05">
        <w:rPr>
          <w:rFonts w:eastAsia="Calibri" w:cs="Sylfaen"/>
          <w:bCs/>
          <w:color w:val="1F497D" w:themeColor="text2"/>
          <w:szCs w:val="22"/>
          <w:lang w:val="hy-AM" w:eastAsia="en-US"/>
        </w:rPr>
        <w:tab/>
      </w:r>
    </w:p>
    <w:p w14:paraId="318FBD06"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73392C">
        <w:rPr>
          <w:rFonts w:eastAsia="Calibri"/>
          <w:b w:val="0"/>
          <w:bCs/>
          <w:lang w:val="hy-AM"/>
        </w:rPr>
        <w:lastRenderedPageBreak/>
        <w:t xml:space="preserve">2023թ․ վերջին 12 ամսյա </w:t>
      </w:r>
      <w:r w:rsidRPr="00F46689">
        <w:rPr>
          <w:rFonts w:eastAsia="Calibri" w:cs="Arial"/>
          <w:b w:val="0"/>
          <w:bCs/>
          <w:kern w:val="2"/>
          <w:szCs w:val="22"/>
          <w:lang w:val="hy-AM"/>
          <w14:ligatures w14:val="standardContextual"/>
        </w:rPr>
        <w:t>գնաճը կձևավորվի նպատակային ցուցանիշից ցածր, իսկ  2024թ</w:t>
      </w:r>
      <w:r w:rsidRPr="00F46689">
        <w:rPr>
          <w:rFonts w:ascii="Cambria Math" w:eastAsia="Calibri" w:hAnsi="Cambria Math" w:cs="Cambria Math"/>
          <w:b w:val="0"/>
          <w:bCs/>
          <w:kern w:val="2"/>
          <w:szCs w:val="22"/>
          <w:lang w:val="hy-AM"/>
          <w14:ligatures w14:val="standardContextual"/>
        </w:rPr>
        <w:t>․</w:t>
      </w:r>
      <w:r w:rsidRPr="00F46689">
        <w:rPr>
          <w:rFonts w:eastAsia="Calibri" w:cs="Arial"/>
          <w:b w:val="0"/>
          <w:bCs/>
          <w:kern w:val="2"/>
          <w:szCs w:val="22"/>
          <w:lang w:val="hy-AM"/>
          <w14:ligatures w14:val="standardContextual"/>
        </w:rPr>
        <w:t>-ին աստիճանաբար կաճի՝ տարեվերջին մոտենալով նպատակային 4% ցուցանիշին:</w:t>
      </w:r>
    </w:p>
    <w:p w14:paraId="725362F2"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 xml:space="preserve">Նախանշված ուղեգծից գնաճի շեղման ռիսկերի որևէ ուղղությամբ դրսևորման պարագայում ԿԲ-ը համարժեքորեն կարձագանքի և կապահովի գների կայունության նպատակը: </w:t>
      </w:r>
    </w:p>
    <w:p w14:paraId="3D4E31BB" w14:textId="77777777" w:rsidR="005D1807" w:rsidRPr="00A64D05" w:rsidRDefault="005D1807" w:rsidP="00A64D05">
      <w:pPr>
        <w:keepNext/>
        <w:keepLines/>
        <w:spacing w:before="0"/>
        <w:outlineLvl w:val="2"/>
        <w:rPr>
          <w:rFonts w:eastAsiaTheme="majorEastAsia" w:cstheme="majorBidi"/>
          <w:bCs/>
          <w:color w:val="1F497D" w:themeColor="text2"/>
          <w:sz w:val="24"/>
          <w:lang w:val="hy-AM" w:eastAsia="en-US"/>
        </w:rPr>
      </w:pPr>
      <w:bookmarkStart w:id="55" w:name="_Toc46154348"/>
      <w:bookmarkStart w:id="56" w:name="_Toc51360534"/>
      <w:bookmarkStart w:id="57" w:name="_Toc51947417"/>
      <w:bookmarkStart w:id="58" w:name="_Toc52452090"/>
      <w:bookmarkStart w:id="59" w:name="_Toc57559417"/>
      <w:bookmarkStart w:id="60" w:name="_Toc83663898"/>
      <w:bookmarkStart w:id="61" w:name="_Toc83972834"/>
      <w:bookmarkStart w:id="62" w:name="_Toc115686020"/>
      <w:bookmarkStart w:id="63" w:name="_Toc146911026"/>
      <w:bookmarkStart w:id="64" w:name="_Toc153184465"/>
      <w:bookmarkStart w:id="65" w:name="_Toc165901456"/>
      <w:r w:rsidRPr="00A64D05">
        <w:rPr>
          <w:rFonts w:eastAsiaTheme="majorEastAsia" w:cstheme="majorBidi"/>
          <w:bCs/>
          <w:color w:val="1F497D" w:themeColor="text2"/>
          <w:sz w:val="24"/>
          <w:lang w:val="hy-AM" w:eastAsia="en-US"/>
        </w:rPr>
        <w:t>1.5. ՄԱԿՐՈՏՆՏԵՍԱԿԱՆ ԿԱՆԽԱՏԵՍՈՒՄՆԵՐԻ ՌԻՍԿԵՐԸ</w:t>
      </w:r>
      <w:bookmarkEnd w:id="55"/>
      <w:bookmarkEnd w:id="56"/>
      <w:bookmarkEnd w:id="57"/>
      <w:bookmarkEnd w:id="58"/>
      <w:bookmarkEnd w:id="59"/>
      <w:bookmarkEnd w:id="60"/>
      <w:bookmarkEnd w:id="61"/>
      <w:bookmarkEnd w:id="62"/>
      <w:bookmarkEnd w:id="63"/>
      <w:bookmarkEnd w:id="64"/>
      <w:bookmarkEnd w:id="65"/>
    </w:p>
    <w:p w14:paraId="7BD6B024" w14:textId="77777777" w:rsidR="005D1807" w:rsidRPr="0073392C" w:rsidRDefault="005D1807" w:rsidP="005D1807">
      <w:pPr>
        <w:rPr>
          <w:rFonts w:eastAsia="Calibri"/>
          <w:b w:val="0"/>
          <w:bCs/>
          <w:lang w:val="hy-AM"/>
        </w:rPr>
      </w:pPr>
      <w:bookmarkStart w:id="66" w:name="_Toc137662476"/>
      <w:r w:rsidRPr="0073392C">
        <w:rPr>
          <w:rFonts w:eastAsia="Calibri"/>
          <w:b w:val="0"/>
          <w:bCs/>
          <w:lang w:val="hy-AM"/>
        </w:rPr>
        <w:t>Կանխատեսման առկա ռիսկերը պայմանավորվում են ինչպես արտաքին, այնպես էլ ներքին տնտեսական գործոններով, որոնք կարող են հանգեցնել ինչպես տնտեսական աճի տեմպերի ավելացմանը, այնպես էլ նվազմանը՝ ներկայացված կենտրոնական կանխատեսումների համեմատ: Ռիսկերի տեղի ունենալու դեպքում շեղումներ կարձանագրվեն սույն փաստաթղթի 1.4 բաժնում ներկայացված ենթադրություններից՝ հանգեցնելով մակրոտնտեսական կանխատեսումներից շեղումների և դրա հետևանքով էլ հարկաբյուջետային շրջանակի ցուցանիշների շեղման այս պետական բյուջեի շրջանակից։</w:t>
      </w:r>
    </w:p>
    <w:p w14:paraId="763053C7" w14:textId="77777777" w:rsidR="005D1807" w:rsidRPr="0073392C" w:rsidRDefault="005D1807" w:rsidP="005D1807">
      <w:pPr>
        <w:rPr>
          <w:rFonts w:eastAsia="Calibri"/>
          <w:b w:val="0"/>
          <w:bCs/>
          <w:lang w:val="hy-AM"/>
        </w:rPr>
      </w:pPr>
      <w:r w:rsidRPr="0073392C">
        <w:rPr>
          <w:rFonts w:eastAsia="Calibri"/>
          <w:b w:val="0"/>
          <w:bCs/>
          <w:lang w:val="hy-AM"/>
        </w:rPr>
        <w:t>COVID-19 համավարակի հետևանքները դեռ չհաղթահարած տարածաշրջանը բախվեց ռուս-ուկրաինական հակամարտության առաջացրած աշխարհաքաղաքական և տնտեսական մարտահրավերներին, ինչի բացասական հետևանքներն արդեն տեսանելի են ոչ միայն տարածաշրջանում, այլ նաև ամբողջ աշխարհում, այդ թվում՝ ՀՀ համար Ռուսաստանից հետո երկրորդ ամենամեծ առևտրային գործընկեր՝ Եվրագոտու երկրներում։ Ռուս-ուկրաինական հակամարտությունը և Ռուսաստանի դեմ կիրառված աննախադեպ պատժամիջոցները դեռ համավարակից չսթափված աշխարհում ստեղծել են նոր իրականություն, որի  պայմաններում ինչպես աշխարհի և ՀՀ գործընկեր երկրների, այնպես էլ ՀՀ տնտեսական աճի կանխատեսումները իրենց մեջ կրում են մեծ անորոշություն։</w:t>
      </w:r>
    </w:p>
    <w:p w14:paraId="370AFF7E" w14:textId="77777777" w:rsidR="005D1807" w:rsidRPr="0073392C" w:rsidRDefault="005D1807" w:rsidP="005D1807">
      <w:pPr>
        <w:rPr>
          <w:rFonts w:eastAsia="Calibri"/>
          <w:b w:val="0"/>
          <w:bCs/>
          <w:lang w:val="hy-AM"/>
        </w:rPr>
      </w:pPr>
      <w:r w:rsidRPr="0073392C">
        <w:rPr>
          <w:rFonts w:eastAsia="Calibri"/>
          <w:b w:val="0"/>
          <w:bCs/>
          <w:lang w:val="hy-AM"/>
        </w:rPr>
        <w:t xml:space="preserve">Վերոնշյալ իրողությունների պայմաններում 2024թ. ՀՀ կառավարության թիրախավորած 7% տնտեսական աճի շուրջ առկա են անորոշություններ։ </w:t>
      </w:r>
    </w:p>
    <w:p w14:paraId="3BF8448A" w14:textId="77777777" w:rsidR="005D1807" w:rsidRPr="000739AC" w:rsidRDefault="005D1807" w:rsidP="000739AC">
      <w:pPr>
        <w:keepNext/>
        <w:keepLines/>
        <w:spacing w:before="240" w:after="60"/>
        <w:jc w:val="left"/>
        <w:outlineLvl w:val="2"/>
        <w:rPr>
          <w:color w:val="1F4E79"/>
          <w:sz w:val="24"/>
          <w:szCs w:val="22"/>
          <w:lang w:val="hy-AM" w:eastAsia="en-US"/>
        </w:rPr>
      </w:pPr>
      <w:bookmarkStart w:id="67" w:name="_Toc146911027"/>
      <w:bookmarkStart w:id="68" w:name="_Toc153184466"/>
      <w:bookmarkStart w:id="69" w:name="_Toc165901457"/>
      <w:r w:rsidRPr="000739AC">
        <w:rPr>
          <w:color w:val="1F4E79"/>
          <w:sz w:val="24"/>
          <w:szCs w:val="22"/>
          <w:lang w:val="hy-AM" w:eastAsia="en-US"/>
        </w:rPr>
        <w:t>1.5.1. ՀՀ տնտեսական աճի դեպի ներքև ուղղությամբ ռիսկեր</w:t>
      </w:r>
      <w:bookmarkEnd w:id="66"/>
      <w:bookmarkEnd w:id="67"/>
      <w:bookmarkEnd w:id="68"/>
      <w:bookmarkEnd w:id="69"/>
    </w:p>
    <w:p w14:paraId="3E6A2BB6" w14:textId="77777777" w:rsidR="005D1807" w:rsidRPr="0073392C" w:rsidRDefault="005D1807" w:rsidP="005D1807">
      <w:pPr>
        <w:rPr>
          <w:rFonts w:eastAsia="Calibri"/>
          <w:lang w:val="hy-AM"/>
        </w:rPr>
      </w:pPr>
      <w:bookmarkStart w:id="70" w:name="_Toc137662477"/>
      <w:r w:rsidRPr="0073392C">
        <w:rPr>
          <w:rFonts w:eastAsia="Calibri"/>
          <w:lang w:val="hy-AM"/>
        </w:rPr>
        <w:t xml:space="preserve">Արտաքին միջավայրից բխող դեպի ներքև ռիսկերը պայմանավորված են՝ </w:t>
      </w:r>
    </w:p>
    <w:p w14:paraId="0A1BCD32"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Ռուս-ուկրաինական հակամարտության և Ռուսաստանի դեմ կիրառված պատժամիջոցների հետևանքով ՌԴ տնտեսության սպասվածից ավելի ցածր աճով,</w:t>
      </w:r>
    </w:p>
    <w:p w14:paraId="679BB61A"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 xml:space="preserve">Համաշխարհային տնտեսության, մասնավորապես՝ ՀՀ գործընկեր երկրների տնտեսական աճերի սպասվածից ավելի վատ դրսևորումներով,  </w:t>
      </w:r>
    </w:p>
    <w:p w14:paraId="5BA5F376"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Դեպի Հայաստան ՌԴ-ից տեղի ունեցած մարդկանց և կապիտալի զգալի ներհոսքի հետշրջում,</w:t>
      </w:r>
    </w:p>
    <w:p w14:paraId="0879E4EA"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 xml:space="preserve">ՀՀ հիմնական գործընկեր երկրներում գնաճային ճնշումների պայմաններում դրամավարկային պայմանների սպասվածից առավել խստացման արդյունքում տնտեսական աճերի դանդաղմամբ, զարգացած երկրներում տոկոսադրույքների սպասվածից առավել բարձրացման պայմաններում ՀՀ-ից կապիտալի զուտ արտահոսքի և մասնավոր հատվածի և կառավարության արտաքին պարտքով պակասուրդների ֆինանսավորման թանկացմամբ, </w:t>
      </w:r>
    </w:p>
    <w:p w14:paraId="474F9FD4"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ՀՀ ապրանքների արտահանման մատակարարումների լոգիստիկ խնդիրների խորացմամբ,</w:t>
      </w:r>
    </w:p>
    <w:p w14:paraId="54B3520B" w14:textId="77777777" w:rsidR="005D1807" w:rsidRPr="0073392C" w:rsidRDefault="005D1807" w:rsidP="00F46689">
      <w:pPr>
        <w:pStyle w:val="ListParagraph"/>
        <w:numPr>
          <w:ilvl w:val="0"/>
          <w:numId w:val="55"/>
        </w:numPr>
        <w:tabs>
          <w:tab w:val="left" w:pos="284"/>
        </w:tabs>
        <w:suppressAutoHyphens/>
        <w:spacing w:before="0" w:after="160"/>
        <w:ind w:left="0" w:firstLine="0"/>
        <w:rPr>
          <w:rFonts w:eastAsia="Calibri"/>
          <w:b w:val="0"/>
          <w:bCs/>
          <w:lang w:val="hy-AM"/>
        </w:rPr>
      </w:pPr>
      <w:r w:rsidRPr="00F46689">
        <w:rPr>
          <w:rFonts w:eastAsia="Calibri" w:cs="Arial"/>
          <w:b w:val="0"/>
          <w:bCs/>
          <w:kern w:val="2"/>
          <w:szCs w:val="22"/>
          <w:lang w:val="hy-AM"/>
          <w14:ligatures w14:val="standardContextual"/>
        </w:rPr>
        <w:lastRenderedPageBreak/>
        <w:t>Աշխարհաքաղաքական իրավիճակով, այդ թվում` տարածաշրջանային ռազմական հակամարտությունների</w:t>
      </w:r>
      <w:r w:rsidRPr="0073392C">
        <w:rPr>
          <w:rFonts w:eastAsia="Calibri"/>
          <w:b w:val="0"/>
          <w:bCs/>
          <w:lang w:val="hy-AM"/>
        </w:rPr>
        <w:t xml:space="preserve"> առկայությամբ:</w:t>
      </w:r>
    </w:p>
    <w:p w14:paraId="7E5F5B84" w14:textId="77777777" w:rsidR="005D1807" w:rsidRPr="0073392C" w:rsidRDefault="005D1807" w:rsidP="005D1807">
      <w:pPr>
        <w:rPr>
          <w:rFonts w:eastAsia="Calibri"/>
          <w:lang w:val="hy-AM"/>
        </w:rPr>
      </w:pPr>
      <w:r w:rsidRPr="0073392C">
        <w:rPr>
          <w:rFonts w:eastAsia="Calibri"/>
          <w:lang w:val="hy-AM"/>
        </w:rPr>
        <w:t>Ներքին միջավայրից բխող դեպի ներքև ռիսկերը պայմանավորված են՝</w:t>
      </w:r>
    </w:p>
    <w:p w14:paraId="2B46C9E5"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73392C">
        <w:rPr>
          <w:rFonts w:eastAsia="Calibri"/>
          <w:b w:val="0"/>
          <w:bCs/>
          <w:lang w:val="hy-AM"/>
        </w:rPr>
        <w:t xml:space="preserve">ՀՀ </w:t>
      </w:r>
      <w:r w:rsidRPr="00F46689">
        <w:rPr>
          <w:rFonts w:eastAsia="Calibri" w:cs="Arial"/>
          <w:b w:val="0"/>
          <w:bCs/>
          <w:kern w:val="2"/>
          <w:szCs w:val="22"/>
          <w:lang w:val="hy-AM"/>
          <w14:ligatures w14:val="standardContextual"/>
        </w:rPr>
        <w:t>դրամի փոխարժեքի սպասվածից առավել արժևորման ռիսկերով պայմանավորված արտահանման հնարավոր դանդաղմամբ, դոլարային դրամական փոխանցումների ցածր գնողունակությամբ,</w:t>
      </w:r>
    </w:p>
    <w:p w14:paraId="55BC223E"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 xml:space="preserve">Բարձր պահանջարկի պահպանման և գնաճային սպասումների արագացման պայմաններում աշխատավարձերի և առանձին ապրանքախմբերում ու ծառայություններում բարձր գնաճի պահպանմամբ,  </w:t>
      </w:r>
    </w:p>
    <w:p w14:paraId="2D7A8C60"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 xml:space="preserve">Կանխատեսվածից բարձր գնաճային ճնշումների արդյունքում բնակչության իրական եկամուտների նվազմամբ, </w:t>
      </w:r>
    </w:p>
    <w:p w14:paraId="51680F46"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Պետական կապիտալ ծախսերի հնարավոր թերակատարմամբ,</w:t>
      </w:r>
    </w:p>
    <w:p w14:paraId="201EC673"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 xml:space="preserve">ՀՀ կառավարության կառուցվածքային բարեփոխումների և արտահանման ու ներդրումների խթանման քաղաքականության ակնկալվող արդյունքների սպասվածից ավելի ուշ արտահայտմամբ, </w:t>
      </w:r>
    </w:p>
    <w:p w14:paraId="57AFF155" w14:textId="77777777" w:rsidR="005D1807" w:rsidRPr="0073392C" w:rsidRDefault="005D1807" w:rsidP="00F46689">
      <w:pPr>
        <w:pStyle w:val="ListParagraph"/>
        <w:numPr>
          <w:ilvl w:val="0"/>
          <w:numId w:val="55"/>
        </w:numPr>
        <w:tabs>
          <w:tab w:val="left" w:pos="284"/>
        </w:tabs>
        <w:suppressAutoHyphens/>
        <w:spacing w:before="0" w:after="160"/>
        <w:ind w:left="0" w:firstLine="0"/>
        <w:rPr>
          <w:rFonts w:eastAsia="Calibri"/>
          <w:b w:val="0"/>
          <w:bCs/>
          <w:lang w:val="hy-AM"/>
        </w:rPr>
      </w:pPr>
      <w:r w:rsidRPr="00F46689">
        <w:rPr>
          <w:rFonts w:eastAsia="Calibri" w:cs="Arial"/>
          <w:b w:val="0"/>
          <w:bCs/>
          <w:kern w:val="2"/>
          <w:szCs w:val="22"/>
          <w:lang w:val="hy-AM"/>
          <w14:ligatures w14:val="standardContextual"/>
        </w:rPr>
        <w:t>Բնա</w:t>
      </w:r>
      <w:r w:rsidRPr="00F46689">
        <w:rPr>
          <w:rFonts w:eastAsia="Calibri" w:cs="Arial"/>
          <w:b w:val="0"/>
          <w:bCs/>
          <w:kern w:val="2"/>
          <w:szCs w:val="22"/>
          <w:lang w:val="hy-AM"/>
          <w14:ligatures w14:val="standardContextual"/>
        </w:rPr>
        <w:softHyphen/>
        <w:t>կլիմայական անբարենպաստ պայման</w:t>
      </w:r>
      <w:r w:rsidRPr="00F46689">
        <w:rPr>
          <w:rFonts w:eastAsia="Calibri" w:cs="Arial"/>
          <w:b w:val="0"/>
          <w:bCs/>
          <w:kern w:val="2"/>
          <w:szCs w:val="22"/>
          <w:lang w:val="hy-AM"/>
          <w14:ligatures w14:val="standardContextual"/>
        </w:rPr>
        <w:softHyphen/>
        <w:t>ների շարունակական դրսևորման</w:t>
      </w:r>
      <w:r w:rsidRPr="0073392C">
        <w:rPr>
          <w:rFonts w:eastAsia="Calibri"/>
          <w:b w:val="0"/>
          <w:bCs/>
          <w:lang w:val="hy-AM"/>
        </w:rPr>
        <w:t xml:space="preserve"> հետևանքով գյուղատնտեսության ճյուղում հնարավոր ավելի ցածր աճի արձանագրմամբ:</w:t>
      </w:r>
    </w:p>
    <w:p w14:paraId="13CA35A1" w14:textId="77777777" w:rsidR="005D1807" w:rsidRPr="000739AC" w:rsidRDefault="005D1807" w:rsidP="000739AC">
      <w:pPr>
        <w:keepNext/>
        <w:keepLines/>
        <w:spacing w:before="240" w:after="60"/>
        <w:jc w:val="left"/>
        <w:outlineLvl w:val="2"/>
        <w:rPr>
          <w:color w:val="1F4E79"/>
          <w:sz w:val="24"/>
          <w:szCs w:val="22"/>
          <w:lang w:val="hy-AM" w:eastAsia="en-US"/>
        </w:rPr>
      </w:pPr>
      <w:bookmarkStart w:id="71" w:name="_Toc146911028"/>
      <w:bookmarkStart w:id="72" w:name="_Toc153184467"/>
      <w:bookmarkStart w:id="73" w:name="_Toc165901458"/>
      <w:r w:rsidRPr="000739AC">
        <w:rPr>
          <w:color w:val="1F4E79"/>
          <w:sz w:val="24"/>
          <w:szCs w:val="22"/>
          <w:lang w:val="hy-AM" w:eastAsia="en-US"/>
        </w:rPr>
        <w:t>1.5.2. Տնտեսական աճի դեպի վերև ուղղությամբ ռիսկեր</w:t>
      </w:r>
      <w:bookmarkEnd w:id="70"/>
      <w:bookmarkEnd w:id="71"/>
      <w:bookmarkEnd w:id="72"/>
      <w:bookmarkEnd w:id="73"/>
    </w:p>
    <w:p w14:paraId="4F781C9B" w14:textId="77777777" w:rsidR="005D1807" w:rsidRPr="0073392C" w:rsidRDefault="005D1807" w:rsidP="005D1807">
      <w:pPr>
        <w:rPr>
          <w:rFonts w:eastAsia="Calibri"/>
          <w:lang w:val="hy-AM"/>
        </w:rPr>
      </w:pPr>
      <w:r w:rsidRPr="0073392C">
        <w:rPr>
          <w:rFonts w:eastAsia="Calibri"/>
          <w:lang w:val="hy-AM"/>
        </w:rPr>
        <w:t xml:space="preserve">Արտաքին գործոններից բխող դեպի վերև ռիսկերը պայմանավորված են՝ </w:t>
      </w:r>
    </w:p>
    <w:p w14:paraId="4DEE4C36"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 xml:space="preserve">Ռուսատանի նկատմամբ արևմուտքի կողմից կիրառվող պատժամիջոցների արդյունքում ՀՀ տնտեսության համար նոր հնարավորությունների ստեղծմամբ. մասնավորապես, Ռուսաստանի դեմ կիրառված աննախադեպ տարաբնույթ պատժամիջոցների պայմաններում Հայաստանը՝ որպես առևտրային, լոգիստիկ և ֆինանսական հանգույց ծառայելու հնարավորությամբ, </w:t>
      </w:r>
    </w:p>
    <w:p w14:paraId="49EE8EA8"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Համաշխարհային տնտեսության ավելի արագ վերականգնմամբ, քան կանխատեսումներում արված ենթադրություններն են: Այս իրավիճակի դրսևորումն ավելի հավանական կլինի, եթե Ռուսաստանի տնտեսությունը վերականգնվի ավելի արագ տեմպերով, քան ակնկալվում է,</w:t>
      </w:r>
    </w:p>
    <w:p w14:paraId="5FE3911B"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COVID-19 hամավարակի հաղթահարման պայմաններում համաշխարհային տուրիզմի՝ սպասվածից ավելի շուտ վերականգմամբ,</w:t>
      </w:r>
    </w:p>
    <w:p w14:paraId="38429CFD"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 xml:space="preserve">Ներքին միջավայրից բխող դեպի վերև ռիսկերը պայմանավորված են` </w:t>
      </w:r>
    </w:p>
    <w:p w14:paraId="6E8D6A21"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ՀՀ կառավարության Տնտեսական արձագանքման ծրագրով</w:t>
      </w:r>
      <w:r w:rsidRPr="00F46689">
        <w:rPr>
          <w:rFonts w:eastAsia="Calibri" w:cs="Arial"/>
          <w:b w:val="0"/>
          <w:bCs/>
          <w:kern w:val="2"/>
          <w:szCs w:val="22"/>
          <w:lang w:val="hy-AM"/>
          <w14:ligatures w14:val="standardContextual"/>
        </w:rPr>
        <w:footnoteReference w:id="20"/>
      </w:r>
      <w:r w:rsidRPr="00F46689">
        <w:rPr>
          <w:rFonts w:eastAsia="Calibri" w:cs="Arial"/>
          <w:b w:val="0"/>
          <w:bCs/>
          <w:kern w:val="2"/>
          <w:szCs w:val="22"/>
          <w:lang w:val="hy-AM"/>
          <w14:ligatures w14:val="standardContextual"/>
        </w:rPr>
        <w:t xml:space="preserve"> նախատեսված խոշոր մասնավոր ներդրումային ծրագրերի իրականացմամբ,</w:t>
      </w:r>
    </w:p>
    <w:p w14:paraId="422D541F"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lastRenderedPageBreak/>
        <w:t>«Հայաստանի արտահանման ներուժի բացահայտման և արտահանմանը խթանող մեխանիզմների մշակման» ծրագրի միջոցառումների նախատեսված ժամկետներում և ամբողջությամբ իրականացմամբ,</w:t>
      </w:r>
    </w:p>
    <w:p w14:paraId="600104E6"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Մասնավոր ներդրումների խթանմանն ուղղված ծրագրի (ANIF) իրականացման՝ տնտեսական ակտիվության վրա հնարավոր լրացուցիչ դրական ազդեցությամբ,</w:t>
      </w:r>
    </w:p>
    <w:p w14:paraId="2225CB04" w14:textId="77777777" w:rsidR="005D1807" w:rsidRPr="00F46689" w:rsidRDefault="005D1807"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«Ենթակառուցվածքներ ներդրումների դիմաց» ծրագրի հետ կապված ՊՄԳ շրջանակներում ավելի մեծ թվով ներդրումային ծրագրերի իրականացմամբ,</w:t>
      </w:r>
    </w:p>
    <w:p w14:paraId="1EEA1BAB" w14:textId="77777777" w:rsidR="005D1807" w:rsidRPr="0073392C" w:rsidRDefault="005D1807" w:rsidP="00F46689">
      <w:pPr>
        <w:pStyle w:val="ListParagraph"/>
        <w:numPr>
          <w:ilvl w:val="0"/>
          <w:numId w:val="55"/>
        </w:numPr>
        <w:tabs>
          <w:tab w:val="left" w:pos="284"/>
        </w:tabs>
        <w:suppressAutoHyphens/>
        <w:spacing w:before="0" w:after="160"/>
        <w:ind w:left="0" w:firstLine="0"/>
        <w:rPr>
          <w:rFonts w:eastAsia="Calibri"/>
          <w:b w:val="0"/>
          <w:bCs/>
          <w:lang w:val="hy-AM"/>
        </w:rPr>
      </w:pPr>
      <w:r w:rsidRPr="00F46689">
        <w:rPr>
          <w:rFonts w:eastAsia="Calibri" w:cs="Arial"/>
          <w:b w:val="0"/>
          <w:bCs/>
          <w:kern w:val="2"/>
          <w:szCs w:val="22"/>
          <w:lang w:val="hy-AM"/>
          <w14:ligatures w14:val="standardContextual"/>
        </w:rPr>
        <w:t>Թեղուտի հանքավայրի հնարավոր շահագործումից բխող տնտեսական ակտիվության արագացմամբ</w:t>
      </w:r>
      <w:r w:rsidRPr="0073392C">
        <w:rPr>
          <w:rFonts w:eastAsia="Calibri"/>
          <w:b w:val="0"/>
          <w:bCs/>
          <w:lang w:val="hy-AM"/>
        </w:rPr>
        <w:t>:</w:t>
      </w:r>
    </w:p>
    <w:p w14:paraId="16341FFA" w14:textId="77777777" w:rsidR="005D1807" w:rsidRPr="0073392C" w:rsidRDefault="005D1807" w:rsidP="005D1807">
      <w:pPr>
        <w:rPr>
          <w:rFonts w:eastAsia="Calibri"/>
          <w:b w:val="0"/>
          <w:bCs/>
          <w:lang w:val="hy-AM"/>
        </w:rPr>
      </w:pPr>
    </w:p>
    <w:p w14:paraId="68BB7DC7" w14:textId="77777777" w:rsidR="005D1807" w:rsidRPr="0073392C" w:rsidRDefault="005D1807" w:rsidP="005D1807">
      <w:pPr>
        <w:rPr>
          <w:rFonts w:eastAsia="Calibri"/>
          <w:b w:val="0"/>
          <w:bCs/>
          <w:lang w:val="hy-AM"/>
        </w:rPr>
      </w:pPr>
      <w:r w:rsidRPr="0073392C">
        <w:rPr>
          <w:rFonts w:eastAsia="Calibri"/>
          <w:lang w:val="hy-AM"/>
        </w:rPr>
        <w:t xml:space="preserve">Գծապատկեր 1.40. </w:t>
      </w:r>
      <w:r w:rsidRPr="0073392C">
        <w:rPr>
          <w:rFonts w:eastAsia="Calibri"/>
          <w:b w:val="0"/>
          <w:bCs/>
          <w:lang w:val="hy-AM"/>
        </w:rPr>
        <w:t>Իրական ՀՆԱ աճի կանխատեսման հավանականությունների բաշխումը (Fan Chart)</w:t>
      </w:r>
    </w:p>
    <w:p w14:paraId="7BD531D4" w14:textId="77777777" w:rsidR="005D1807" w:rsidRPr="005D1807" w:rsidRDefault="005D1807" w:rsidP="005D1807">
      <w:pPr>
        <w:rPr>
          <w:rFonts w:eastAsia="Calibri"/>
          <w:b w:val="0"/>
          <w:bCs/>
        </w:rPr>
      </w:pPr>
      <w:r w:rsidRPr="005D1807">
        <w:rPr>
          <w:b w:val="0"/>
          <w:bCs/>
          <w:noProof/>
          <w:lang w:val="en-US" w:eastAsia="en-US"/>
        </w:rPr>
        <w:drawing>
          <wp:inline distT="0" distB="0" distL="0" distR="0" wp14:anchorId="76D1FF29" wp14:editId="7136C88B">
            <wp:extent cx="5790432" cy="2838450"/>
            <wp:effectExtent l="0" t="0" r="1270" b="0"/>
            <wp:docPr id="1" name="Chart 1">
              <a:extLst xmlns:a="http://schemas.openxmlformats.org/drawingml/2006/main">
                <a:ext uri="{FF2B5EF4-FFF2-40B4-BE49-F238E27FC236}">
                  <a16:creationId xmlns:a16="http://schemas.microsoft.com/office/drawing/2014/main" id="{823BB41F-9252-493E-8DC7-9A5AB91CC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CE5797E" w14:textId="77777777" w:rsidR="005D1807" w:rsidRPr="000739AC" w:rsidRDefault="005D1807" w:rsidP="005D1807">
      <w:pPr>
        <w:rPr>
          <w:rFonts w:eastAsia="Calibri"/>
          <w:b w:val="0"/>
          <w:bCs/>
          <w:sz w:val="20"/>
          <w:szCs w:val="20"/>
        </w:rPr>
      </w:pPr>
      <w:r w:rsidRPr="000739AC">
        <w:rPr>
          <w:rFonts w:eastAsia="Calibri"/>
          <w:b w:val="0"/>
          <w:bCs/>
          <w:sz w:val="20"/>
          <w:szCs w:val="20"/>
        </w:rPr>
        <w:t>Աղբյուրը՝ ՀՀ ՖՆ գնահատումներ և կանխատեսումներ</w:t>
      </w:r>
    </w:p>
    <w:p w14:paraId="4A72AAC5" w14:textId="77777777" w:rsidR="005D1807" w:rsidRPr="005D1807" w:rsidRDefault="005D1807" w:rsidP="005D1807">
      <w:pPr>
        <w:rPr>
          <w:rFonts w:eastAsia="Calibri"/>
          <w:b w:val="0"/>
          <w:bCs/>
          <w:highlight w:val="yellow"/>
        </w:rPr>
      </w:pPr>
    </w:p>
    <w:p w14:paraId="2C0E12CC" w14:textId="77777777" w:rsidR="005D1807" w:rsidRPr="005D1807" w:rsidRDefault="005D1807" w:rsidP="005D1807">
      <w:pPr>
        <w:rPr>
          <w:b w:val="0"/>
          <w:bCs/>
        </w:rPr>
      </w:pPr>
      <w:r w:rsidRPr="000739AC">
        <w:rPr>
          <w:rFonts w:eastAsia="Calibri"/>
        </w:rPr>
        <w:t xml:space="preserve">Աղյուսակ 1.4. </w:t>
      </w:r>
      <w:r w:rsidRPr="005D1807">
        <w:rPr>
          <w:rFonts w:eastAsia="Calibri"/>
          <w:b w:val="0"/>
          <w:bCs/>
        </w:rPr>
        <w:t>Իրական ՀՆԱ-ի աճի կանխատեսման հավանականությունների բաշխումը, (կուտակային</w:t>
      </w:r>
      <w:r w:rsidRPr="005D1807">
        <w:rPr>
          <w:b w:val="0"/>
          <w:bCs/>
        </w:rPr>
        <w:t>)</w:t>
      </w:r>
      <w:r w:rsidRPr="005D1807">
        <w:rPr>
          <w:rFonts w:eastAsia="Calibri"/>
          <w:b w:val="0"/>
          <w:bCs/>
        </w:rPr>
        <w:footnoteReference w:id="21"/>
      </w:r>
    </w:p>
    <w:tbl>
      <w:tblPr>
        <w:tblW w:w="9071" w:type="dxa"/>
        <w:tblInd w:w="279" w:type="dxa"/>
        <w:tblBorders>
          <w:bottom w:val="single" w:sz="4" w:space="0" w:color="auto"/>
        </w:tblBorders>
        <w:tblLook w:val="04A0" w:firstRow="1" w:lastRow="0" w:firstColumn="1" w:lastColumn="0" w:noHBand="0" w:noVBand="1"/>
      </w:tblPr>
      <w:tblGrid>
        <w:gridCol w:w="2109"/>
        <w:gridCol w:w="1734"/>
        <w:gridCol w:w="1749"/>
        <w:gridCol w:w="1742"/>
        <w:gridCol w:w="1737"/>
      </w:tblGrid>
      <w:tr w:rsidR="005D1807" w:rsidRPr="005D1807" w14:paraId="22240B18" w14:textId="77777777" w:rsidTr="00E94C66">
        <w:trPr>
          <w:trHeight w:val="608"/>
        </w:trPr>
        <w:tc>
          <w:tcPr>
            <w:tcW w:w="2109" w:type="dxa"/>
            <w:vMerge w:val="restart"/>
            <w:tcBorders>
              <w:bottom w:val="nil"/>
            </w:tcBorders>
            <w:shd w:val="clear" w:color="auto" w:fill="auto"/>
            <w:vAlign w:val="center"/>
            <w:hideMark/>
          </w:tcPr>
          <w:p w14:paraId="32F3DDAC" w14:textId="77777777" w:rsidR="005D1807" w:rsidRPr="000739AC" w:rsidRDefault="005D1807" w:rsidP="005D1807">
            <w:pPr>
              <w:rPr>
                <w:rFonts w:eastAsia="Calibri"/>
                <w:b w:val="0"/>
                <w:bCs/>
                <w:sz w:val="20"/>
                <w:szCs w:val="20"/>
              </w:rPr>
            </w:pPr>
            <w:r w:rsidRPr="000739AC">
              <w:rPr>
                <w:rFonts w:eastAsia="Calibri"/>
                <w:b w:val="0"/>
                <w:bCs/>
                <w:sz w:val="20"/>
                <w:szCs w:val="20"/>
              </w:rPr>
              <w:t>Տնտեսական աճի միջակայքը, %</w:t>
            </w:r>
          </w:p>
        </w:tc>
        <w:tc>
          <w:tcPr>
            <w:tcW w:w="6962" w:type="dxa"/>
            <w:gridSpan w:val="4"/>
            <w:tcBorders>
              <w:bottom w:val="nil"/>
            </w:tcBorders>
            <w:shd w:val="clear" w:color="auto" w:fill="auto"/>
            <w:vAlign w:val="center"/>
            <w:hideMark/>
          </w:tcPr>
          <w:p w14:paraId="508BE6DA" w14:textId="77777777" w:rsidR="005D1807" w:rsidRPr="000739AC" w:rsidRDefault="005D1807" w:rsidP="005D1807">
            <w:pPr>
              <w:rPr>
                <w:rFonts w:eastAsia="Calibri"/>
                <w:b w:val="0"/>
                <w:bCs/>
                <w:sz w:val="20"/>
                <w:szCs w:val="20"/>
              </w:rPr>
            </w:pPr>
            <w:r w:rsidRPr="000739AC">
              <w:rPr>
                <w:rFonts w:eastAsia="Calibri"/>
                <w:b w:val="0"/>
                <w:bCs/>
                <w:sz w:val="20"/>
                <w:szCs w:val="20"/>
              </w:rPr>
              <w:t>Տնտեսական աճի` տվյալ միջակայքում ձևավորվելու հավանականությունը, %</w:t>
            </w:r>
          </w:p>
        </w:tc>
      </w:tr>
      <w:tr w:rsidR="005D1807" w:rsidRPr="005D1807" w14:paraId="46755768" w14:textId="77777777" w:rsidTr="00E94C66">
        <w:trPr>
          <w:trHeight w:val="530"/>
        </w:trPr>
        <w:tc>
          <w:tcPr>
            <w:tcW w:w="2109" w:type="dxa"/>
            <w:vMerge/>
            <w:tcBorders>
              <w:bottom w:val="single" w:sz="4" w:space="0" w:color="auto"/>
            </w:tcBorders>
            <w:vAlign w:val="center"/>
            <w:hideMark/>
          </w:tcPr>
          <w:p w14:paraId="5BCA5FA6" w14:textId="77777777" w:rsidR="005D1807" w:rsidRPr="000739AC" w:rsidRDefault="005D1807" w:rsidP="005D1807">
            <w:pPr>
              <w:rPr>
                <w:rFonts w:eastAsia="Calibri"/>
                <w:b w:val="0"/>
                <w:bCs/>
                <w:sz w:val="20"/>
                <w:szCs w:val="20"/>
              </w:rPr>
            </w:pPr>
          </w:p>
        </w:tc>
        <w:tc>
          <w:tcPr>
            <w:tcW w:w="1734" w:type="dxa"/>
            <w:tcBorders>
              <w:bottom w:val="single" w:sz="4" w:space="0" w:color="auto"/>
            </w:tcBorders>
            <w:shd w:val="clear" w:color="auto" w:fill="auto"/>
            <w:noWrap/>
            <w:vAlign w:val="center"/>
            <w:hideMark/>
          </w:tcPr>
          <w:p w14:paraId="7DC44B87" w14:textId="77777777" w:rsidR="005D1807" w:rsidRPr="000739AC" w:rsidRDefault="005D1807" w:rsidP="005D1807">
            <w:pPr>
              <w:rPr>
                <w:rFonts w:eastAsia="Calibri"/>
                <w:b w:val="0"/>
                <w:bCs/>
                <w:sz w:val="20"/>
                <w:szCs w:val="20"/>
              </w:rPr>
            </w:pPr>
            <w:r w:rsidRPr="000739AC">
              <w:rPr>
                <w:b w:val="0"/>
                <w:bCs/>
                <w:sz w:val="20"/>
                <w:szCs w:val="20"/>
              </w:rPr>
              <w:t>2024 I եռ.</w:t>
            </w:r>
          </w:p>
        </w:tc>
        <w:tc>
          <w:tcPr>
            <w:tcW w:w="1749" w:type="dxa"/>
            <w:tcBorders>
              <w:bottom w:val="single" w:sz="4" w:space="0" w:color="auto"/>
            </w:tcBorders>
            <w:shd w:val="clear" w:color="auto" w:fill="auto"/>
            <w:vAlign w:val="center"/>
            <w:hideMark/>
          </w:tcPr>
          <w:p w14:paraId="6E926D48" w14:textId="77777777" w:rsidR="005D1807" w:rsidRPr="000739AC" w:rsidRDefault="005D1807" w:rsidP="005D1807">
            <w:pPr>
              <w:rPr>
                <w:rFonts w:eastAsia="Calibri"/>
                <w:b w:val="0"/>
                <w:bCs/>
                <w:sz w:val="20"/>
                <w:szCs w:val="20"/>
              </w:rPr>
            </w:pPr>
            <w:r w:rsidRPr="000739AC">
              <w:rPr>
                <w:b w:val="0"/>
                <w:bCs/>
                <w:sz w:val="20"/>
                <w:szCs w:val="20"/>
              </w:rPr>
              <w:t>2024 II եռ.</w:t>
            </w:r>
          </w:p>
        </w:tc>
        <w:tc>
          <w:tcPr>
            <w:tcW w:w="1742" w:type="dxa"/>
            <w:tcBorders>
              <w:bottom w:val="single" w:sz="4" w:space="0" w:color="auto"/>
            </w:tcBorders>
            <w:shd w:val="clear" w:color="auto" w:fill="auto"/>
            <w:noWrap/>
            <w:vAlign w:val="center"/>
            <w:hideMark/>
          </w:tcPr>
          <w:p w14:paraId="02774B16" w14:textId="77777777" w:rsidR="005D1807" w:rsidRPr="000739AC" w:rsidRDefault="005D1807" w:rsidP="005D1807">
            <w:pPr>
              <w:rPr>
                <w:rFonts w:eastAsia="Calibri"/>
                <w:b w:val="0"/>
                <w:bCs/>
                <w:sz w:val="20"/>
                <w:szCs w:val="20"/>
              </w:rPr>
            </w:pPr>
            <w:r w:rsidRPr="000739AC">
              <w:rPr>
                <w:b w:val="0"/>
                <w:bCs/>
                <w:sz w:val="20"/>
                <w:szCs w:val="20"/>
              </w:rPr>
              <w:t>2024 III եռ.</w:t>
            </w:r>
          </w:p>
        </w:tc>
        <w:tc>
          <w:tcPr>
            <w:tcW w:w="1737" w:type="dxa"/>
            <w:tcBorders>
              <w:bottom w:val="single" w:sz="4" w:space="0" w:color="auto"/>
            </w:tcBorders>
            <w:shd w:val="clear" w:color="auto" w:fill="auto"/>
            <w:vAlign w:val="center"/>
            <w:hideMark/>
          </w:tcPr>
          <w:p w14:paraId="35883C12" w14:textId="77777777" w:rsidR="005D1807" w:rsidRPr="000739AC" w:rsidRDefault="005D1807" w:rsidP="005D1807">
            <w:pPr>
              <w:rPr>
                <w:rFonts w:eastAsia="Calibri"/>
                <w:b w:val="0"/>
                <w:bCs/>
                <w:sz w:val="20"/>
                <w:szCs w:val="20"/>
              </w:rPr>
            </w:pPr>
            <w:r w:rsidRPr="000739AC">
              <w:rPr>
                <w:b w:val="0"/>
                <w:bCs/>
                <w:sz w:val="20"/>
                <w:szCs w:val="20"/>
              </w:rPr>
              <w:t>2024 IV եռ.</w:t>
            </w:r>
          </w:p>
        </w:tc>
      </w:tr>
      <w:tr w:rsidR="005D1807" w:rsidRPr="005D1807" w14:paraId="2E10F3FD" w14:textId="77777777" w:rsidTr="00E94C66">
        <w:trPr>
          <w:trHeight w:val="257"/>
        </w:trPr>
        <w:tc>
          <w:tcPr>
            <w:tcW w:w="2109" w:type="dxa"/>
            <w:tcBorders>
              <w:top w:val="single" w:sz="4" w:space="0" w:color="auto"/>
            </w:tcBorders>
            <w:shd w:val="clear" w:color="auto" w:fill="auto"/>
            <w:noWrap/>
            <w:vAlign w:val="bottom"/>
            <w:hideMark/>
          </w:tcPr>
          <w:p w14:paraId="1EA70B99" w14:textId="77777777" w:rsidR="005D1807" w:rsidRPr="000739AC" w:rsidRDefault="005D1807" w:rsidP="005D1807">
            <w:pPr>
              <w:rPr>
                <w:b w:val="0"/>
                <w:bCs/>
                <w:sz w:val="20"/>
                <w:szCs w:val="20"/>
              </w:rPr>
            </w:pPr>
            <w:r w:rsidRPr="000739AC">
              <w:rPr>
                <w:b w:val="0"/>
                <w:bCs/>
                <w:sz w:val="20"/>
                <w:szCs w:val="20"/>
              </w:rPr>
              <w:t>2-4</w:t>
            </w:r>
          </w:p>
        </w:tc>
        <w:tc>
          <w:tcPr>
            <w:tcW w:w="1734" w:type="dxa"/>
            <w:tcBorders>
              <w:top w:val="single" w:sz="4" w:space="0" w:color="auto"/>
            </w:tcBorders>
            <w:shd w:val="clear" w:color="auto" w:fill="auto"/>
            <w:noWrap/>
            <w:hideMark/>
          </w:tcPr>
          <w:p w14:paraId="0974A5C2" w14:textId="77777777" w:rsidR="005D1807" w:rsidRPr="000739AC" w:rsidRDefault="005D1807" w:rsidP="005D1807">
            <w:pPr>
              <w:rPr>
                <w:b w:val="0"/>
                <w:bCs/>
                <w:sz w:val="20"/>
                <w:szCs w:val="20"/>
              </w:rPr>
            </w:pPr>
            <w:r w:rsidRPr="000739AC">
              <w:rPr>
                <w:b w:val="0"/>
                <w:bCs/>
                <w:sz w:val="20"/>
                <w:szCs w:val="20"/>
              </w:rPr>
              <w:t>0.16</w:t>
            </w:r>
          </w:p>
        </w:tc>
        <w:tc>
          <w:tcPr>
            <w:tcW w:w="1749" w:type="dxa"/>
            <w:tcBorders>
              <w:top w:val="single" w:sz="4" w:space="0" w:color="auto"/>
            </w:tcBorders>
            <w:shd w:val="clear" w:color="auto" w:fill="auto"/>
            <w:noWrap/>
            <w:hideMark/>
          </w:tcPr>
          <w:p w14:paraId="5B07A74A" w14:textId="77777777" w:rsidR="005D1807" w:rsidRPr="000739AC" w:rsidRDefault="005D1807" w:rsidP="005D1807">
            <w:pPr>
              <w:rPr>
                <w:b w:val="0"/>
                <w:bCs/>
                <w:sz w:val="20"/>
                <w:szCs w:val="20"/>
              </w:rPr>
            </w:pPr>
            <w:r w:rsidRPr="000739AC">
              <w:rPr>
                <w:b w:val="0"/>
                <w:bCs/>
                <w:sz w:val="20"/>
                <w:szCs w:val="20"/>
              </w:rPr>
              <w:t>0.16</w:t>
            </w:r>
          </w:p>
        </w:tc>
        <w:tc>
          <w:tcPr>
            <w:tcW w:w="1742" w:type="dxa"/>
            <w:tcBorders>
              <w:top w:val="single" w:sz="4" w:space="0" w:color="auto"/>
            </w:tcBorders>
            <w:shd w:val="clear" w:color="auto" w:fill="auto"/>
            <w:noWrap/>
            <w:hideMark/>
          </w:tcPr>
          <w:p w14:paraId="4FA9BB57" w14:textId="77777777" w:rsidR="005D1807" w:rsidRPr="000739AC" w:rsidRDefault="005D1807" w:rsidP="005D1807">
            <w:pPr>
              <w:rPr>
                <w:b w:val="0"/>
                <w:bCs/>
                <w:sz w:val="20"/>
                <w:szCs w:val="20"/>
              </w:rPr>
            </w:pPr>
            <w:r w:rsidRPr="000739AC">
              <w:rPr>
                <w:b w:val="0"/>
                <w:bCs/>
                <w:sz w:val="20"/>
                <w:szCs w:val="20"/>
              </w:rPr>
              <w:t>0.16</w:t>
            </w:r>
          </w:p>
        </w:tc>
        <w:tc>
          <w:tcPr>
            <w:tcW w:w="1737" w:type="dxa"/>
            <w:tcBorders>
              <w:top w:val="single" w:sz="4" w:space="0" w:color="auto"/>
            </w:tcBorders>
            <w:shd w:val="clear" w:color="auto" w:fill="auto"/>
            <w:noWrap/>
            <w:hideMark/>
          </w:tcPr>
          <w:p w14:paraId="3D84E34E" w14:textId="77777777" w:rsidR="005D1807" w:rsidRPr="000739AC" w:rsidRDefault="005D1807" w:rsidP="005D1807">
            <w:pPr>
              <w:rPr>
                <w:b w:val="0"/>
                <w:bCs/>
                <w:sz w:val="20"/>
                <w:szCs w:val="20"/>
              </w:rPr>
            </w:pPr>
            <w:r w:rsidRPr="000739AC">
              <w:rPr>
                <w:b w:val="0"/>
                <w:bCs/>
                <w:sz w:val="20"/>
                <w:szCs w:val="20"/>
              </w:rPr>
              <w:t>0.16</w:t>
            </w:r>
          </w:p>
        </w:tc>
      </w:tr>
      <w:tr w:rsidR="005D1807" w:rsidRPr="005D1807" w14:paraId="58B581C6" w14:textId="77777777" w:rsidTr="00E94C66">
        <w:trPr>
          <w:trHeight w:val="275"/>
        </w:trPr>
        <w:tc>
          <w:tcPr>
            <w:tcW w:w="2109" w:type="dxa"/>
            <w:shd w:val="clear" w:color="auto" w:fill="auto"/>
            <w:noWrap/>
            <w:vAlign w:val="bottom"/>
            <w:hideMark/>
          </w:tcPr>
          <w:p w14:paraId="5B6D03C8" w14:textId="77777777" w:rsidR="005D1807" w:rsidRPr="000739AC" w:rsidRDefault="005D1807" w:rsidP="005D1807">
            <w:pPr>
              <w:rPr>
                <w:b w:val="0"/>
                <w:bCs/>
                <w:sz w:val="20"/>
                <w:szCs w:val="20"/>
              </w:rPr>
            </w:pPr>
            <w:r w:rsidRPr="000739AC">
              <w:rPr>
                <w:b w:val="0"/>
                <w:bCs/>
                <w:sz w:val="20"/>
                <w:szCs w:val="20"/>
              </w:rPr>
              <w:lastRenderedPageBreak/>
              <w:t>4-6</w:t>
            </w:r>
          </w:p>
        </w:tc>
        <w:tc>
          <w:tcPr>
            <w:tcW w:w="1734" w:type="dxa"/>
            <w:shd w:val="clear" w:color="auto" w:fill="auto"/>
            <w:noWrap/>
            <w:hideMark/>
          </w:tcPr>
          <w:p w14:paraId="0036E574" w14:textId="77777777" w:rsidR="005D1807" w:rsidRPr="000739AC" w:rsidRDefault="005D1807" w:rsidP="005D1807">
            <w:pPr>
              <w:rPr>
                <w:b w:val="0"/>
                <w:bCs/>
                <w:sz w:val="20"/>
                <w:szCs w:val="20"/>
              </w:rPr>
            </w:pPr>
            <w:r w:rsidRPr="000739AC">
              <w:rPr>
                <w:b w:val="0"/>
                <w:bCs/>
                <w:sz w:val="20"/>
                <w:szCs w:val="20"/>
              </w:rPr>
              <w:t>0.25</w:t>
            </w:r>
          </w:p>
        </w:tc>
        <w:tc>
          <w:tcPr>
            <w:tcW w:w="1749" w:type="dxa"/>
            <w:shd w:val="clear" w:color="auto" w:fill="auto"/>
            <w:noWrap/>
            <w:hideMark/>
          </w:tcPr>
          <w:p w14:paraId="550D45CB" w14:textId="77777777" w:rsidR="005D1807" w:rsidRPr="000739AC" w:rsidRDefault="005D1807" w:rsidP="005D1807">
            <w:pPr>
              <w:rPr>
                <w:b w:val="0"/>
                <w:bCs/>
                <w:sz w:val="20"/>
                <w:szCs w:val="20"/>
              </w:rPr>
            </w:pPr>
            <w:r w:rsidRPr="000739AC">
              <w:rPr>
                <w:b w:val="0"/>
                <w:bCs/>
                <w:sz w:val="20"/>
                <w:szCs w:val="20"/>
              </w:rPr>
              <w:t>0.24</w:t>
            </w:r>
          </w:p>
        </w:tc>
        <w:tc>
          <w:tcPr>
            <w:tcW w:w="1742" w:type="dxa"/>
            <w:shd w:val="clear" w:color="auto" w:fill="auto"/>
            <w:noWrap/>
            <w:hideMark/>
          </w:tcPr>
          <w:p w14:paraId="793B4E7E" w14:textId="77777777" w:rsidR="005D1807" w:rsidRPr="000739AC" w:rsidRDefault="005D1807" w:rsidP="005D1807">
            <w:pPr>
              <w:rPr>
                <w:b w:val="0"/>
                <w:bCs/>
                <w:sz w:val="20"/>
                <w:szCs w:val="20"/>
              </w:rPr>
            </w:pPr>
            <w:r w:rsidRPr="000739AC">
              <w:rPr>
                <w:b w:val="0"/>
                <w:bCs/>
                <w:sz w:val="20"/>
                <w:szCs w:val="20"/>
              </w:rPr>
              <w:t>0.23</w:t>
            </w:r>
          </w:p>
        </w:tc>
        <w:tc>
          <w:tcPr>
            <w:tcW w:w="1737" w:type="dxa"/>
            <w:shd w:val="clear" w:color="auto" w:fill="auto"/>
            <w:noWrap/>
            <w:hideMark/>
          </w:tcPr>
          <w:p w14:paraId="733F2684" w14:textId="77777777" w:rsidR="005D1807" w:rsidRPr="000739AC" w:rsidRDefault="005D1807" w:rsidP="005D1807">
            <w:pPr>
              <w:rPr>
                <w:b w:val="0"/>
                <w:bCs/>
                <w:sz w:val="20"/>
                <w:szCs w:val="20"/>
              </w:rPr>
            </w:pPr>
            <w:r w:rsidRPr="000739AC">
              <w:rPr>
                <w:b w:val="0"/>
                <w:bCs/>
                <w:sz w:val="20"/>
                <w:szCs w:val="20"/>
              </w:rPr>
              <w:t>0.23</w:t>
            </w:r>
          </w:p>
        </w:tc>
      </w:tr>
      <w:tr w:rsidR="005D1807" w:rsidRPr="005D1807" w14:paraId="44B14B0C" w14:textId="77777777" w:rsidTr="00E94C66">
        <w:trPr>
          <w:trHeight w:val="279"/>
        </w:trPr>
        <w:tc>
          <w:tcPr>
            <w:tcW w:w="2109" w:type="dxa"/>
            <w:shd w:val="clear" w:color="auto" w:fill="auto"/>
            <w:noWrap/>
            <w:vAlign w:val="bottom"/>
            <w:hideMark/>
          </w:tcPr>
          <w:p w14:paraId="46407174" w14:textId="77777777" w:rsidR="005D1807" w:rsidRPr="000739AC" w:rsidRDefault="005D1807" w:rsidP="005D1807">
            <w:pPr>
              <w:rPr>
                <w:b w:val="0"/>
                <w:bCs/>
                <w:sz w:val="20"/>
                <w:szCs w:val="20"/>
              </w:rPr>
            </w:pPr>
            <w:r w:rsidRPr="000739AC">
              <w:rPr>
                <w:b w:val="0"/>
                <w:bCs/>
                <w:sz w:val="20"/>
                <w:szCs w:val="20"/>
              </w:rPr>
              <w:t>6-8</w:t>
            </w:r>
          </w:p>
        </w:tc>
        <w:tc>
          <w:tcPr>
            <w:tcW w:w="1734" w:type="dxa"/>
            <w:shd w:val="clear" w:color="auto" w:fill="auto"/>
            <w:noWrap/>
            <w:hideMark/>
          </w:tcPr>
          <w:p w14:paraId="314D57E4" w14:textId="77777777" w:rsidR="005D1807" w:rsidRPr="000739AC" w:rsidRDefault="005D1807" w:rsidP="005D1807">
            <w:pPr>
              <w:rPr>
                <w:b w:val="0"/>
                <w:bCs/>
                <w:sz w:val="20"/>
                <w:szCs w:val="20"/>
              </w:rPr>
            </w:pPr>
            <w:r w:rsidRPr="000739AC">
              <w:rPr>
                <w:b w:val="0"/>
                <w:bCs/>
                <w:sz w:val="20"/>
                <w:szCs w:val="20"/>
              </w:rPr>
              <w:t>0.28</w:t>
            </w:r>
          </w:p>
        </w:tc>
        <w:tc>
          <w:tcPr>
            <w:tcW w:w="1749" w:type="dxa"/>
            <w:shd w:val="clear" w:color="auto" w:fill="auto"/>
            <w:noWrap/>
            <w:hideMark/>
          </w:tcPr>
          <w:p w14:paraId="7F319D1E" w14:textId="77777777" w:rsidR="005D1807" w:rsidRPr="000739AC" w:rsidRDefault="005D1807" w:rsidP="005D1807">
            <w:pPr>
              <w:rPr>
                <w:b w:val="0"/>
                <w:bCs/>
                <w:sz w:val="20"/>
                <w:szCs w:val="20"/>
              </w:rPr>
            </w:pPr>
            <w:r w:rsidRPr="000739AC">
              <w:rPr>
                <w:b w:val="0"/>
                <w:bCs/>
                <w:sz w:val="20"/>
                <w:szCs w:val="20"/>
              </w:rPr>
              <w:t>0.27</w:t>
            </w:r>
          </w:p>
        </w:tc>
        <w:tc>
          <w:tcPr>
            <w:tcW w:w="1742" w:type="dxa"/>
            <w:shd w:val="clear" w:color="auto" w:fill="auto"/>
            <w:noWrap/>
            <w:hideMark/>
          </w:tcPr>
          <w:p w14:paraId="2D657931" w14:textId="77777777" w:rsidR="005D1807" w:rsidRPr="000739AC" w:rsidRDefault="005D1807" w:rsidP="005D1807">
            <w:pPr>
              <w:rPr>
                <w:b w:val="0"/>
                <w:bCs/>
                <w:sz w:val="20"/>
                <w:szCs w:val="20"/>
              </w:rPr>
            </w:pPr>
            <w:r w:rsidRPr="000739AC">
              <w:rPr>
                <w:b w:val="0"/>
                <w:bCs/>
                <w:sz w:val="20"/>
                <w:szCs w:val="20"/>
              </w:rPr>
              <w:t>0.26</w:t>
            </w:r>
          </w:p>
        </w:tc>
        <w:tc>
          <w:tcPr>
            <w:tcW w:w="1737" w:type="dxa"/>
            <w:shd w:val="clear" w:color="auto" w:fill="auto"/>
            <w:noWrap/>
            <w:hideMark/>
          </w:tcPr>
          <w:p w14:paraId="28E718DB" w14:textId="77777777" w:rsidR="005D1807" w:rsidRPr="000739AC" w:rsidRDefault="005D1807" w:rsidP="005D1807">
            <w:pPr>
              <w:rPr>
                <w:b w:val="0"/>
                <w:bCs/>
                <w:sz w:val="20"/>
                <w:szCs w:val="20"/>
              </w:rPr>
            </w:pPr>
            <w:r w:rsidRPr="000739AC">
              <w:rPr>
                <w:b w:val="0"/>
                <w:bCs/>
                <w:sz w:val="20"/>
                <w:szCs w:val="20"/>
              </w:rPr>
              <w:t>0.25</w:t>
            </w:r>
          </w:p>
        </w:tc>
      </w:tr>
      <w:tr w:rsidR="005D1807" w:rsidRPr="005D1807" w14:paraId="2C8EAB02" w14:textId="77777777" w:rsidTr="00E94C66">
        <w:trPr>
          <w:trHeight w:val="283"/>
        </w:trPr>
        <w:tc>
          <w:tcPr>
            <w:tcW w:w="2109" w:type="dxa"/>
            <w:shd w:val="clear" w:color="auto" w:fill="auto"/>
            <w:noWrap/>
            <w:vAlign w:val="bottom"/>
            <w:hideMark/>
          </w:tcPr>
          <w:p w14:paraId="6098DBC1" w14:textId="77777777" w:rsidR="005D1807" w:rsidRPr="000739AC" w:rsidRDefault="005D1807" w:rsidP="005D1807">
            <w:pPr>
              <w:rPr>
                <w:b w:val="0"/>
                <w:bCs/>
                <w:sz w:val="20"/>
                <w:szCs w:val="20"/>
              </w:rPr>
            </w:pPr>
            <w:r w:rsidRPr="000739AC">
              <w:rPr>
                <w:b w:val="0"/>
                <w:bCs/>
                <w:sz w:val="20"/>
                <w:szCs w:val="20"/>
              </w:rPr>
              <w:t>8-10</w:t>
            </w:r>
          </w:p>
        </w:tc>
        <w:tc>
          <w:tcPr>
            <w:tcW w:w="1734" w:type="dxa"/>
            <w:shd w:val="clear" w:color="auto" w:fill="auto"/>
            <w:noWrap/>
            <w:hideMark/>
          </w:tcPr>
          <w:p w14:paraId="6333777E" w14:textId="77777777" w:rsidR="005D1807" w:rsidRPr="000739AC" w:rsidRDefault="005D1807" w:rsidP="005D1807">
            <w:pPr>
              <w:rPr>
                <w:b w:val="0"/>
                <w:bCs/>
                <w:sz w:val="20"/>
                <w:szCs w:val="20"/>
              </w:rPr>
            </w:pPr>
            <w:r w:rsidRPr="000739AC">
              <w:rPr>
                <w:b w:val="0"/>
                <w:bCs/>
                <w:sz w:val="20"/>
                <w:szCs w:val="20"/>
              </w:rPr>
              <w:t>0.16</w:t>
            </w:r>
          </w:p>
        </w:tc>
        <w:tc>
          <w:tcPr>
            <w:tcW w:w="1749" w:type="dxa"/>
            <w:shd w:val="clear" w:color="auto" w:fill="auto"/>
            <w:noWrap/>
            <w:hideMark/>
          </w:tcPr>
          <w:p w14:paraId="487C0AB1" w14:textId="77777777" w:rsidR="005D1807" w:rsidRPr="000739AC" w:rsidRDefault="005D1807" w:rsidP="005D1807">
            <w:pPr>
              <w:rPr>
                <w:b w:val="0"/>
                <w:bCs/>
                <w:sz w:val="20"/>
                <w:szCs w:val="20"/>
              </w:rPr>
            </w:pPr>
            <w:r w:rsidRPr="000739AC">
              <w:rPr>
                <w:b w:val="0"/>
                <w:bCs/>
                <w:sz w:val="20"/>
                <w:szCs w:val="20"/>
              </w:rPr>
              <w:t>0.16</w:t>
            </w:r>
          </w:p>
        </w:tc>
        <w:tc>
          <w:tcPr>
            <w:tcW w:w="1742" w:type="dxa"/>
            <w:shd w:val="clear" w:color="auto" w:fill="auto"/>
            <w:noWrap/>
            <w:hideMark/>
          </w:tcPr>
          <w:p w14:paraId="59B3140C" w14:textId="77777777" w:rsidR="005D1807" w:rsidRPr="000739AC" w:rsidRDefault="005D1807" w:rsidP="005D1807">
            <w:pPr>
              <w:rPr>
                <w:b w:val="0"/>
                <w:bCs/>
                <w:sz w:val="20"/>
                <w:szCs w:val="20"/>
              </w:rPr>
            </w:pPr>
            <w:r w:rsidRPr="000739AC">
              <w:rPr>
                <w:b w:val="0"/>
                <w:bCs/>
                <w:sz w:val="20"/>
                <w:szCs w:val="20"/>
              </w:rPr>
              <w:t>0.17</w:t>
            </w:r>
          </w:p>
        </w:tc>
        <w:tc>
          <w:tcPr>
            <w:tcW w:w="1737" w:type="dxa"/>
            <w:shd w:val="clear" w:color="auto" w:fill="auto"/>
            <w:noWrap/>
            <w:hideMark/>
          </w:tcPr>
          <w:p w14:paraId="4614F1D7" w14:textId="77777777" w:rsidR="005D1807" w:rsidRPr="000739AC" w:rsidRDefault="005D1807" w:rsidP="005D1807">
            <w:pPr>
              <w:rPr>
                <w:b w:val="0"/>
                <w:bCs/>
                <w:sz w:val="20"/>
                <w:szCs w:val="20"/>
              </w:rPr>
            </w:pPr>
            <w:r w:rsidRPr="000739AC">
              <w:rPr>
                <w:b w:val="0"/>
                <w:bCs/>
                <w:sz w:val="20"/>
                <w:szCs w:val="20"/>
              </w:rPr>
              <w:t>0.17</w:t>
            </w:r>
          </w:p>
        </w:tc>
      </w:tr>
    </w:tbl>
    <w:p w14:paraId="0D97D720" w14:textId="470AF036" w:rsidR="005D1807" w:rsidRPr="005D1807" w:rsidRDefault="005D1807" w:rsidP="005D1807">
      <w:pPr>
        <w:rPr>
          <w:b w:val="0"/>
          <w:bCs/>
        </w:rPr>
      </w:pPr>
      <w:r w:rsidRPr="005D1807">
        <w:rPr>
          <w:rFonts w:eastAsia="Calibri"/>
          <w:b w:val="0"/>
          <w:bCs/>
        </w:rPr>
        <w:t>Ինչպես երևում է Գծապատկեր 1.32-ից, 2023թ.</w:t>
      </w:r>
      <w:r w:rsidRPr="005D1807" w:rsidDel="00301E27">
        <w:rPr>
          <w:rFonts w:eastAsia="Calibri"/>
          <w:b w:val="0"/>
          <w:bCs/>
        </w:rPr>
        <w:t xml:space="preserve"> </w:t>
      </w:r>
      <w:r w:rsidRPr="005D1807">
        <w:rPr>
          <w:rFonts w:eastAsia="Calibri"/>
          <w:b w:val="0"/>
          <w:bCs/>
        </w:rPr>
        <w:t xml:space="preserve">տնտեսական աճի ձևավորման ամենաբարձր հավանականությունը գտնվում է 6-8% միջակայքում (Աղյուսակ 1.4-ում այն հոծ նշումով է), իսկ իրական ՀՆԱ-ի տարեկան աճի կենտրոնական կանխատեսումներից շեղման ռիսկերը ուղղված են դեպի ներքև: </w:t>
      </w:r>
    </w:p>
    <w:tbl>
      <w:tblPr>
        <w:tblStyle w:val="TableGrid1213"/>
        <w:tblpPr w:leftFromText="180" w:rightFromText="180" w:horzAnchor="margin" w:tblpXSpec="center" w:tblpY="540"/>
        <w:tblW w:w="10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31"/>
      </w:tblGrid>
      <w:tr w:rsidR="005D1807" w:rsidRPr="005D1807" w14:paraId="1A939B1C" w14:textId="77777777" w:rsidTr="00E94C66">
        <w:trPr>
          <w:trHeight w:val="9147"/>
        </w:trPr>
        <w:tc>
          <w:tcPr>
            <w:tcW w:w="10931" w:type="dxa"/>
          </w:tcPr>
          <w:p w14:paraId="1524A26C" w14:textId="28D9BC53" w:rsidR="005D1807" w:rsidRPr="000739AC" w:rsidRDefault="005D1807" w:rsidP="000739AC">
            <w:pPr>
              <w:spacing w:line="240" w:lineRule="auto"/>
              <w:rPr>
                <w:rFonts w:eastAsia="Calibri"/>
                <w:b w:val="0"/>
                <w:bCs/>
                <w:szCs w:val="22"/>
              </w:rPr>
            </w:pPr>
            <w:r w:rsidRPr="000739AC">
              <w:rPr>
                <w:rFonts w:eastAsia="Calibri"/>
                <w:szCs w:val="22"/>
              </w:rPr>
              <w:lastRenderedPageBreak/>
              <w:t>Աղյուսակ 1.5.</w:t>
            </w:r>
            <w:r w:rsidRPr="000739AC">
              <w:rPr>
                <w:rFonts w:eastAsia="Calibri"/>
                <w:b w:val="0"/>
                <w:bCs/>
                <w:szCs w:val="22"/>
              </w:rPr>
              <w:t xml:space="preserve"> ՀՆԱ-ի կանխատեսումները 2024-2026 թթ. ՄԺԾԾ-</w:t>
            </w:r>
            <w:proofErr w:type="gramStart"/>
            <w:r w:rsidRPr="000739AC">
              <w:rPr>
                <w:rFonts w:eastAsia="Calibri"/>
                <w:b w:val="0"/>
                <w:bCs/>
                <w:szCs w:val="22"/>
              </w:rPr>
              <w:t>ով  և</w:t>
            </w:r>
            <w:proofErr w:type="gramEnd"/>
            <w:r w:rsidRPr="000739AC">
              <w:rPr>
                <w:rFonts w:eastAsia="Calibri"/>
                <w:b w:val="0"/>
                <w:bCs/>
                <w:szCs w:val="22"/>
              </w:rPr>
              <w:t xml:space="preserve"> 2023թ. և 2024թ. </w:t>
            </w:r>
          </w:p>
          <w:p w14:paraId="3977BAC3" w14:textId="77777777" w:rsidR="005D1807" w:rsidRPr="000739AC" w:rsidRDefault="005D1807" w:rsidP="000739AC">
            <w:pPr>
              <w:spacing w:line="240" w:lineRule="auto"/>
              <w:rPr>
                <w:rFonts w:eastAsia="Calibri"/>
                <w:b w:val="0"/>
                <w:bCs/>
                <w:szCs w:val="22"/>
              </w:rPr>
            </w:pPr>
            <w:r w:rsidRPr="000739AC">
              <w:rPr>
                <w:rFonts w:eastAsia="Calibri"/>
                <w:b w:val="0"/>
                <w:bCs/>
                <w:szCs w:val="22"/>
              </w:rPr>
              <w:t>պետական բյուջեներով</w:t>
            </w:r>
          </w:p>
          <w:tbl>
            <w:tblPr>
              <w:tblW w:w="9437" w:type="dxa"/>
              <w:tblInd w:w="508" w:type="dxa"/>
              <w:tblLook w:val="04A0" w:firstRow="1" w:lastRow="0" w:firstColumn="1" w:lastColumn="0" w:noHBand="0" w:noVBand="1"/>
            </w:tblPr>
            <w:tblGrid>
              <w:gridCol w:w="2052"/>
              <w:gridCol w:w="2478"/>
              <w:gridCol w:w="1585"/>
              <w:gridCol w:w="1890"/>
              <w:gridCol w:w="1432"/>
            </w:tblGrid>
            <w:tr w:rsidR="005D1807" w:rsidRPr="000739AC" w14:paraId="27BD4A4D" w14:textId="77777777" w:rsidTr="00535E30">
              <w:trPr>
                <w:trHeight w:val="303"/>
              </w:trPr>
              <w:tc>
                <w:tcPr>
                  <w:tcW w:w="2052" w:type="dxa"/>
                  <w:vMerge w:val="restart"/>
                  <w:tcBorders>
                    <w:bottom w:val="single" w:sz="4" w:space="0" w:color="auto"/>
                  </w:tcBorders>
                  <w:shd w:val="clear" w:color="auto" w:fill="auto"/>
                  <w:noWrap/>
                  <w:vAlign w:val="center"/>
                  <w:hideMark/>
                </w:tcPr>
                <w:p w14:paraId="4144A727"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Ցուցանիշներ</w:t>
                  </w:r>
                </w:p>
              </w:tc>
              <w:tc>
                <w:tcPr>
                  <w:tcW w:w="2478" w:type="dxa"/>
                  <w:vMerge w:val="restart"/>
                  <w:tcBorders>
                    <w:bottom w:val="single" w:sz="4" w:space="0" w:color="auto"/>
                  </w:tcBorders>
                  <w:shd w:val="clear" w:color="auto" w:fill="auto"/>
                  <w:vAlign w:val="center"/>
                  <w:hideMark/>
                </w:tcPr>
                <w:p w14:paraId="01CD549F"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Ծրագիր</w:t>
                  </w:r>
                </w:p>
              </w:tc>
              <w:tc>
                <w:tcPr>
                  <w:tcW w:w="1585" w:type="dxa"/>
                  <w:tcBorders>
                    <w:bottom w:val="single" w:sz="4" w:space="0" w:color="auto"/>
                  </w:tcBorders>
                  <w:shd w:val="clear" w:color="auto" w:fill="auto"/>
                  <w:vAlign w:val="center"/>
                </w:tcPr>
                <w:p w14:paraId="3D33F5E2"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2022</w:t>
                  </w:r>
                </w:p>
              </w:tc>
              <w:tc>
                <w:tcPr>
                  <w:tcW w:w="1890" w:type="dxa"/>
                  <w:tcBorders>
                    <w:bottom w:val="single" w:sz="4" w:space="0" w:color="auto"/>
                  </w:tcBorders>
                  <w:shd w:val="clear" w:color="auto" w:fill="auto"/>
                  <w:vAlign w:val="center"/>
                  <w:hideMark/>
                </w:tcPr>
                <w:p w14:paraId="0D6CB9B2"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2023</w:t>
                  </w:r>
                </w:p>
              </w:tc>
              <w:tc>
                <w:tcPr>
                  <w:tcW w:w="1432" w:type="dxa"/>
                  <w:tcBorders>
                    <w:bottom w:val="single" w:sz="4" w:space="0" w:color="auto"/>
                  </w:tcBorders>
                  <w:shd w:val="clear" w:color="auto" w:fill="auto"/>
                  <w:vAlign w:val="center"/>
                  <w:hideMark/>
                </w:tcPr>
                <w:p w14:paraId="1F1C9CEF"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2024</w:t>
                  </w:r>
                </w:p>
              </w:tc>
            </w:tr>
            <w:tr w:rsidR="005D1807" w:rsidRPr="000739AC" w14:paraId="0DACC55D" w14:textId="77777777" w:rsidTr="00535E30">
              <w:trPr>
                <w:trHeight w:val="303"/>
              </w:trPr>
              <w:tc>
                <w:tcPr>
                  <w:tcW w:w="2052" w:type="dxa"/>
                  <w:vMerge/>
                  <w:tcBorders>
                    <w:top w:val="single" w:sz="4" w:space="0" w:color="auto"/>
                  </w:tcBorders>
                  <w:shd w:val="clear" w:color="auto" w:fill="auto"/>
                  <w:vAlign w:val="center"/>
                  <w:hideMark/>
                </w:tcPr>
                <w:p w14:paraId="23D83EC5" w14:textId="77777777" w:rsidR="005D1807" w:rsidRPr="000739AC" w:rsidRDefault="005D1807" w:rsidP="00522278">
                  <w:pPr>
                    <w:framePr w:hSpace="180" w:wrap="around" w:hAnchor="margin" w:xAlign="center" w:y="540"/>
                    <w:spacing w:line="240" w:lineRule="auto"/>
                    <w:rPr>
                      <w:b w:val="0"/>
                      <w:bCs/>
                      <w:sz w:val="20"/>
                      <w:szCs w:val="20"/>
                    </w:rPr>
                  </w:pPr>
                </w:p>
              </w:tc>
              <w:tc>
                <w:tcPr>
                  <w:tcW w:w="2478" w:type="dxa"/>
                  <w:vMerge/>
                  <w:tcBorders>
                    <w:top w:val="single" w:sz="4" w:space="0" w:color="auto"/>
                  </w:tcBorders>
                  <w:shd w:val="clear" w:color="auto" w:fill="auto"/>
                  <w:vAlign w:val="center"/>
                  <w:hideMark/>
                </w:tcPr>
                <w:p w14:paraId="39ECDA64" w14:textId="77777777" w:rsidR="005D1807" w:rsidRPr="000739AC" w:rsidRDefault="005D1807" w:rsidP="00522278">
                  <w:pPr>
                    <w:framePr w:hSpace="180" w:wrap="around" w:hAnchor="margin" w:xAlign="center" w:y="540"/>
                    <w:spacing w:line="240" w:lineRule="auto"/>
                    <w:rPr>
                      <w:b w:val="0"/>
                      <w:bCs/>
                      <w:sz w:val="20"/>
                      <w:szCs w:val="20"/>
                    </w:rPr>
                  </w:pPr>
                </w:p>
              </w:tc>
              <w:tc>
                <w:tcPr>
                  <w:tcW w:w="1585" w:type="dxa"/>
                  <w:tcBorders>
                    <w:top w:val="single" w:sz="4" w:space="0" w:color="auto"/>
                  </w:tcBorders>
                  <w:shd w:val="clear" w:color="auto" w:fill="auto"/>
                  <w:vAlign w:val="center"/>
                </w:tcPr>
                <w:p w14:paraId="4E830B77"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փաստ*/կանխ.</w:t>
                  </w:r>
                </w:p>
              </w:tc>
              <w:tc>
                <w:tcPr>
                  <w:tcW w:w="1890" w:type="dxa"/>
                  <w:tcBorders>
                    <w:top w:val="single" w:sz="4" w:space="0" w:color="auto"/>
                  </w:tcBorders>
                  <w:shd w:val="clear" w:color="auto" w:fill="auto"/>
                  <w:vAlign w:val="center"/>
                  <w:hideMark/>
                </w:tcPr>
                <w:p w14:paraId="145BA59B"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կանխ.</w:t>
                  </w:r>
                </w:p>
              </w:tc>
              <w:tc>
                <w:tcPr>
                  <w:tcW w:w="1432" w:type="dxa"/>
                  <w:tcBorders>
                    <w:top w:val="single" w:sz="4" w:space="0" w:color="auto"/>
                  </w:tcBorders>
                  <w:shd w:val="clear" w:color="auto" w:fill="auto"/>
                  <w:vAlign w:val="center"/>
                  <w:hideMark/>
                </w:tcPr>
                <w:p w14:paraId="1AECE8D4"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կանխ.</w:t>
                  </w:r>
                </w:p>
              </w:tc>
            </w:tr>
            <w:tr w:rsidR="005D1807" w:rsidRPr="000739AC" w14:paraId="07D2FE98" w14:textId="77777777" w:rsidTr="00535E30">
              <w:trPr>
                <w:trHeight w:val="303"/>
              </w:trPr>
              <w:tc>
                <w:tcPr>
                  <w:tcW w:w="2052" w:type="dxa"/>
                  <w:vMerge w:val="restart"/>
                  <w:shd w:val="clear" w:color="auto" w:fill="auto"/>
                  <w:vAlign w:val="center"/>
                </w:tcPr>
                <w:p w14:paraId="381C4B0A"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Անվանական ՀՆԱ, մլրդ դրամ</w:t>
                  </w:r>
                </w:p>
              </w:tc>
              <w:tc>
                <w:tcPr>
                  <w:tcW w:w="2478" w:type="dxa"/>
                  <w:shd w:val="clear" w:color="auto" w:fill="auto"/>
                  <w:vAlign w:val="center"/>
                </w:tcPr>
                <w:p w14:paraId="307798B3"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2024 Պետական բյուջե</w:t>
                  </w:r>
                </w:p>
              </w:tc>
              <w:tc>
                <w:tcPr>
                  <w:tcW w:w="1585" w:type="dxa"/>
                  <w:shd w:val="clear" w:color="auto" w:fill="auto"/>
                </w:tcPr>
                <w:p w14:paraId="7729CB3D"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8,501.4</w:t>
                  </w:r>
                </w:p>
              </w:tc>
              <w:tc>
                <w:tcPr>
                  <w:tcW w:w="1890" w:type="dxa"/>
                  <w:shd w:val="clear" w:color="auto" w:fill="auto"/>
                  <w:noWrap/>
                </w:tcPr>
                <w:p w14:paraId="1966D68D"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9,450.8</w:t>
                  </w:r>
                </w:p>
              </w:tc>
              <w:tc>
                <w:tcPr>
                  <w:tcW w:w="1432" w:type="dxa"/>
                  <w:shd w:val="clear" w:color="auto" w:fill="auto"/>
                </w:tcPr>
                <w:p w14:paraId="1941AE93"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10,517.0</w:t>
                  </w:r>
                </w:p>
              </w:tc>
            </w:tr>
            <w:tr w:rsidR="005D1807" w:rsidRPr="000739AC" w14:paraId="3FDDBA7C" w14:textId="77777777" w:rsidTr="00535E30">
              <w:trPr>
                <w:trHeight w:val="303"/>
              </w:trPr>
              <w:tc>
                <w:tcPr>
                  <w:tcW w:w="2052" w:type="dxa"/>
                  <w:vMerge/>
                  <w:shd w:val="clear" w:color="auto" w:fill="auto"/>
                  <w:vAlign w:val="center"/>
                  <w:hideMark/>
                </w:tcPr>
                <w:p w14:paraId="447DC1BE" w14:textId="77777777" w:rsidR="005D1807" w:rsidRPr="000739AC" w:rsidRDefault="005D1807" w:rsidP="00522278">
                  <w:pPr>
                    <w:framePr w:hSpace="180" w:wrap="around" w:hAnchor="margin" w:xAlign="center" w:y="540"/>
                    <w:spacing w:line="240" w:lineRule="auto"/>
                    <w:rPr>
                      <w:b w:val="0"/>
                      <w:bCs/>
                      <w:sz w:val="20"/>
                      <w:szCs w:val="20"/>
                    </w:rPr>
                  </w:pPr>
                </w:p>
              </w:tc>
              <w:tc>
                <w:tcPr>
                  <w:tcW w:w="2478" w:type="dxa"/>
                  <w:shd w:val="clear" w:color="auto" w:fill="auto"/>
                  <w:vAlign w:val="center"/>
                  <w:hideMark/>
                </w:tcPr>
                <w:p w14:paraId="277E7C87"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2024-2026 ՄԺԾԾ</w:t>
                  </w:r>
                </w:p>
              </w:tc>
              <w:tc>
                <w:tcPr>
                  <w:tcW w:w="1585" w:type="dxa"/>
                  <w:shd w:val="clear" w:color="auto" w:fill="auto"/>
                </w:tcPr>
                <w:p w14:paraId="3A7C0D1A"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8501.4</w:t>
                  </w:r>
                </w:p>
              </w:tc>
              <w:tc>
                <w:tcPr>
                  <w:tcW w:w="1890" w:type="dxa"/>
                  <w:shd w:val="clear" w:color="auto" w:fill="auto"/>
                  <w:noWrap/>
                </w:tcPr>
                <w:p w14:paraId="440F71EA"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9,533.0</w:t>
                  </w:r>
                </w:p>
              </w:tc>
              <w:tc>
                <w:tcPr>
                  <w:tcW w:w="1432" w:type="dxa"/>
                  <w:shd w:val="clear" w:color="auto" w:fill="auto"/>
                </w:tcPr>
                <w:p w14:paraId="1F920530"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10,608.1</w:t>
                  </w:r>
                </w:p>
              </w:tc>
            </w:tr>
            <w:tr w:rsidR="005D1807" w:rsidRPr="000739AC" w14:paraId="5ACBB585" w14:textId="77777777" w:rsidTr="00535E30">
              <w:trPr>
                <w:trHeight w:val="303"/>
              </w:trPr>
              <w:tc>
                <w:tcPr>
                  <w:tcW w:w="2052" w:type="dxa"/>
                  <w:vMerge/>
                  <w:tcBorders>
                    <w:bottom w:val="single" w:sz="4" w:space="0" w:color="auto"/>
                  </w:tcBorders>
                  <w:shd w:val="clear" w:color="auto" w:fill="auto"/>
                  <w:vAlign w:val="center"/>
                  <w:hideMark/>
                </w:tcPr>
                <w:p w14:paraId="3847FBCB" w14:textId="77777777" w:rsidR="005D1807" w:rsidRPr="000739AC" w:rsidRDefault="005D1807" w:rsidP="00522278">
                  <w:pPr>
                    <w:framePr w:hSpace="180" w:wrap="around" w:hAnchor="margin" w:xAlign="center" w:y="540"/>
                    <w:spacing w:line="240" w:lineRule="auto"/>
                    <w:rPr>
                      <w:b w:val="0"/>
                      <w:bCs/>
                      <w:sz w:val="20"/>
                      <w:szCs w:val="20"/>
                    </w:rPr>
                  </w:pPr>
                </w:p>
              </w:tc>
              <w:tc>
                <w:tcPr>
                  <w:tcW w:w="2478" w:type="dxa"/>
                  <w:tcBorders>
                    <w:bottom w:val="single" w:sz="4" w:space="0" w:color="auto"/>
                  </w:tcBorders>
                  <w:shd w:val="clear" w:color="auto" w:fill="auto"/>
                  <w:vAlign w:val="center"/>
                  <w:hideMark/>
                </w:tcPr>
                <w:p w14:paraId="3C935EEE"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2023 Պետական բյուջե</w:t>
                  </w:r>
                </w:p>
              </w:tc>
              <w:tc>
                <w:tcPr>
                  <w:tcW w:w="1585" w:type="dxa"/>
                  <w:tcBorders>
                    <w:bottom w:val="single" w:sz="4" w:space="0" w:color="auto"/>
                  </w:tcBorders>
                  <w:shd w:val="clear" w:color="auto" w:fill="auto"/>
                </w:tcPr>
                <w:p w14:paraId="7CADB589"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8,293.7</w:t>
                  </w:r>
                </w:p>
              </w:tc>
              <w:tc>
                <w:tcPr>
                  <w:tcW w:w="1890" w:type="dxa"/>
                  <w:tcBorders>
                    <w:bottom w:val="single" w:sz="4" w:space="0" w:color="auto"/>
                  </w:tcBorders>
                  <w:shd w:val="clear" w:color="auto" w:fill="auto"/>
                  <w:noWrap/>
                </w:tcPr>
                <w:p w14:paraId="2F1A4A3F"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9,317.9</w:t>
                  </w:r>
                </w:p>
              </w:tc>
              <w:tc>
                <w:tcPr>
                  <w:tcW w:w="1432" w:type="dxa"/>
                  <w:tcBorders>
                    <w:bottom w:val="single" w:sz="4" w:space="0" w:color="auto"/>
                  </w:tcBorders>
                  <w:shd w:val="clear" w:color="auto" w:fill="auto"/>
                  <w:hideMark/>
                </w:tcPr>
                <w:p w14:paraId="1E9F27EF"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w:t>
                  </w:r>
                </w:p>
              </w:tc>
            </w:tr>
            <w:tr w:rsidR="005D1807" w:rsidRPr="000739AC" w14:paraId="5EE10395" w14:textId="77777777" w:rsidTr="00535E30">
              <w:trPr>
                <w:trHeight w:val="303"/>
              </w:trPr>
              <w:tc>
                <w:tcPr>
                  <w:tcW w:w="2052" w:type="dxa"/>
                  <w:vMerge w:val="restart"/>
                  <w:tcBorders>
                    <w:top w:val="single" w:sz="4" w:space="0" w:color="auto"/>
                  </w:tcBorders>
                  <w:shd w:val="clear" w:color="auto" w:fill="auto"/>
                  <w:vAlign w:val="center"/>
                </w:tcPr>
                <w:p w14:paraId="53FF83E9"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Տնտեսական (իրական ՀՆԱ-ի) աճ, %</w:t>
                  </w:r>
                </w:p>
              </w:tc>
              <w:tc>
                <w:tcPr>
                  <w:tcW w:w="2478" w:type="dxa"/>
                  <w:tcBorders>
                    <w:top w:val="single" w:sz="4" w:space="0" w:color="auto"/>
                  </w:tcBorders>
                  <w:shd w:val="clear" w:color="auto" w:fill="auto"/>
                  <w:vAlign w:val="center"/>
                </w:tcPr>
                <w:p w14:paraId="0C745E42"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2024 Պետական բյուջե</w:t>
                  </w:r>
                </w:p>
              </w:tc>
              <w:tc>
                <w:tcPr>
                  <w:tcW w:w="1585" w:type="dxa"/>
                  <w:tcBorders>
                    <w:top w:val="single" w:sz="4" w:space="0" w:color="auto"/>
                  </w:tcBorders>
                  <w:shd w:val="clear" w:color="auto" w:fill="auto"/>
                </w:tcPr>
                <w:p w14:paraId="6750D0EE"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12.6</w:t>
                  </w:r>
                </w:p>
              </w:tc>
              <w:tc>
                <w:tcPr>
                  <w:tcW w:w="1890" w:type="dxa"/>
                  <w:tcBorders>
                    <w:top w:val="single" w:sz="4" w:space="0" w:color="auto"/>
                  </w:tcBorders>
                  <w:shd w:val="clear" w:color="auto" w:fill="auto"/>
                  <w:noWrap/>
                </w:tcPr>
                <w:p w14:paraId="226C3B31"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7.4</w:t>
                  </w:r>
                </w:p>
              </w:tc>
              <w:tc>
                <w:tcPr>
                  <w:tcW w:w="1432" w:type="dxa"/>
                  <w:tcBorders>
                    <w:top w:val="single" w:sz="4" w:space="0" w:color="auto"/>
                  </w:tcBorders>
                  <w:shd w:val="clear" w:color="auto" w:fill="auto"/>
                </w:tcPr>
                <w:p w14:paraId="2D277C87"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7.0</w:t>
                  </w:r>
                </w:p>
              </w:tc>
            </w:tr>
            <w:tr w:rsidR="005D1807" w:rsidRPr="000739AC" w14:paraId="11D80255" w14:textId="77777777" w:rsidTr="00535E30">
              <w:trPr>
                <w:trHeight w:val="303"/>
              </w:trPr>
              <w:tc>
                <w:tcPr>
                  <w:tcW w:w="2052" w:type="dxa"/>
                  <w:vMerge/>
                  <w:shd w:val="clear" w:color="auto" w:fill="auto"/>
                  <w:vAlign w:val="center"/>
                  <w:hideMark/>
                </w:tcPr>
                <w:p w14:paraId="79536256" w14:textId="77777777" w:rsidR="005D1807" w:rsidRPr="000739AC" w:rsidRDefault="005D1807" w:rsidP="00522278">
                  <w:pPr>
                    <w:framePr w:hSpace="180" w:wrap="around" w:hAnchor="margin" w:xAlign="center" w:y="540"/>
                    <w:spacing w:line="240" w:lineRule="auto"/>
                    <w:rPr>
                      <w:b w:val="0"/>
                      <w:bCs/>
                      <w:sz w:val="20"/>
                      <w:szCs w:val="20"/>
                    </w:rPr>
                  </w:pPr>
                </w:p>
              </w:tc>
              <w:tc>
                <w:tcPr>
                  <w:tcW w:w="2478" w:type="dxa"/>
                  <w:shd w:val="clear" w:color="auto" w:fill="auto"/>
                  <w:vAlign w:val="center"/>
                  <w:hideMark/>
                </w:tcPr>
                <w:p w14:paraId="0EF07D13"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2024-2026 ՄԺԾԾ</w:t>
                  </w:r>
                </w:p>
              </w:tc>
              <w:tc>
                <w:tcPr>
                  <w:tcW w:w="1585" w:type="dxa"/>
                  <w:shd w:val="clear" w:color="auto" w:fill="auto"/>
                </w:tcPr>
                <w:p w14:paraId="3AFAF0E2"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12.6</w:t>
                  </w:r>
                </w:p>
              </w:tc>
              <w:tc>
                <w:tcPr>
                  <w:tcW w:w="1890" w:type="dxa"/>
                  <w:shd w:val="clear" w:color="auto" w:fill="auto"/>
                  <w:noWrap/>
                </w:tcPr>
                <w:p w14:paraId="47F7E3AB"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7.0</w:t>
                  </w:r>
                </w:p>
              </w:tc>
              <w:tc>
                <w:tcPr>
                  <w:tcW w:w="1432" w:type="dxa"/>
                  <w:shd w:val="clear" w:color="auto" w:fill="auto"/>
                </w:tcPr>
                <w:p w14:paraId="0BE60199"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7.0</w:t>
                  </w:r>
                </w:p>
              </w:tc>
            </w:tr>
            <w:tr w:rsidR="005D1807" w:rsidRPr="000739AC" w14:paraId="41C0D084" w14:textId="77777777" w:rsidTr="00535E30">
              <w:trPr>
                <w:trHeight w:val="303"/>
              </w:trPr>
              <w:tc>
                <w:tcPr>
                  <w:tcW w:w="2052" w:type="dxa"/>
                  <w:vMerge/>
                  <w:tcBorders>
                    <w:bottom w:val="single" w:sz="4" w:space="0" w:color="auto"/>
                  </w:tcBorders>
                  <w:shd w:val="clear" w:color="auto" w:fill="auto"/>
                  <w:vAlign w:val="center"/>
                  <w:hideMark/>
                </w:tcPr>
                <w:p w14:paraId="26DE2FC0" w14:textId="77777777" w:rsidR="005D1807" w:rsidRPr="000739AC" w:rsidRDefault="005D1807" w:rsidP="00522278">
                  <w:pPr>
                    <w:framePr w:hSpace="180" w:wrap="around" w:hAnchor="margin" w:xAlign="center" w:y="540"/>
                    <w:spacing w:line="240" w:lineRule="auto"/>
                    <w:rPr>
                      <w:b w:val="0"/>
                      <w:bCs/>
                      <w:sz w:val="20"/>
                      <w:szCs w:val="20"/>
                    </w:rPr>
                  </w:pPr>
                </w:p>
              </w:tc>
              <w:tc>
                <w:tcPr>
                  <w:tcW w:w="2478" w:type="dxa"/>
                  <w:tcBorders>
                    <w:bottom w:val="single" w:sz="4" w:space="0" w:color="auto"/>
                  </w:tcBorders>
                  <w:shd w:val="clear" w:color="auto" w:fill="auto"/>
                  <w:vAlign w:val="center"/>
                  <w:hideMark/>
                </w:tcPr>
                <w:p w14:paraId="34DAAD6C"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2023 Պետական բյուջե</w:t>
                  </w:r>
                </w:p>
              </w:tc>
              <w:tc>
                <w:tcPr>
                  <w:tcW w:w="1585" w:type="dxa"/>
                  <w:tcBorders>
                    <w:bottom w:val="single" w:sz="4" w:space="0" w:color="auto"/>
                  </w:tcBorders>
                  <w:shd w:val="clear" w:color="auto" w:fill="auto"/>
                </w:tcPr>
                <w:p w14:paraId="443BC573"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11.0</w:t>
                  </w:r>
                </w:p>
              </w:tc>
              <w:tc>
                <w:tcPr>
                  <w:tcW w:w="1890" w:type="dxa"/>
                  <w:tcBorders>
                    <w:bottom w:val="single" w:sz="4" w:space="0" w:color="auto"/>
                  </w:tcBorders>
                  <w:shd w:val="clear" w:color="auto" w:fill="auto"/>
                  <w:noWrap/>
                </w:tcPr>
                <w:p w14:paraId="4412B5FA"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7.0</w:t>
                  </w:r>
                </w:p>
              </w:tc>
              <w:tc>
                <w:tcPr>
                  <w:tcW w:w="1432" w:type="dxa"/>
                  <w:tcBorders>
                    <w:bottom w:val="single" w:sz="4" w:space="0" w:color="auto"/>
                  </w:tcBorders>
                  <w:shd w:val="clear" w:color="auto" w:fill="auto"/>
                  <w:hideMark/>
                </w:tcPr>
                <w:p w14:paraId="1CDC1290"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w:t>
                  </w:r>
                </w:p>
              </w:tc>
            </w:tr>
            <w:tr w:rsidR="005D1807" w:rsidRPr="000739AC" w14:paraId="79F62C1B" w14:textId="77777777" w:rsidTr="00535E30">
              <w:trPr>
                <w:trHeight w:val="303"/>
              </w:trPr>
              <w:tc>
                <w:tcPr>
                  <w:tcW w:w="2052" w:type="dxa"/>
                  <w:vMerge w:val="restart"/>
                  <w:tcBorders>
                    <w:top w:val="single" w:sz="4" w:space="0" w:color="auto"/>
                  </w:tcBorders>
                  <w:shd w:val="clear" w:color="auto" w:fill="auto"/>
                  <w:vAlign w:val="center"/>
                </w:tcPr>
                <w:p w14:paraId="1D0C2641"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ՀՆԱ-ի դեֆլյատորի աճ, %</w:t>
                  </w:r>
                </w:p>
              </w:tc>
              <w:tc>
                <w:tcPr>
                  <w:tcW w:w="2478" w:type="dxa"/>
                  <w:tcBorders>
                    <w:top w:val="single" w:sz="4" w:space="0" w:color="auto"/>
                  </w:tcBorders>
                  <w:shd w:val="clear" w:color="auto" w:fill="auto"/>
                  <w:vAlign w:val="center"/>
                </w:tcPr>
                <w:p w14:paraId="76245E55"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2024 Պետական բյուջե</w:t>
                  </w:r>
                </w:p>
              </w:tc>
              <w:tc>
                <w:tcPr>
                  <w:tcW w:w="1585" w:type="dxa"/>
                  <w:tcBorders>
                    <w:top w:val="single" w:sz="4" w:space="0" w:color="auto"/>
                  </w:tcBorders>
                  <w:shd w:val="clear" w:color="auto" w:fill="auto"/>
                </w:tcPr>
                <w:p w14:paraId="6C43D119"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8.0</w:t>
                  </w:r>
                </w:p>
              </w:tc>
              <w:tc>
                <w:tcPr>
                  <w:tcW w:w="1890" w:type="dxa"/>
                  <w:tcBorders>
                    <w:top w:val="single" w:sz="4" w:space="0" w:color="auto"/>
                  </w:tcBorders>
                  <w:shd w:val="clear" w:color="auto" w:fill="auto"/>
                  <w:noWrap/>
                </w:tcPr>
                <w:p w14:paraId="00B98D6B"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3.5</w:t>
                  </w:r>
                </w:p>
              </w:tc>
              <w:tc>
                <w:tcPr>
                  <w:tcW w:w="1432" w:type="dxa"/>
                  <w:tcBorders>
                    <w:top w:val="single" w:sz="4" w:space="0" w:color="auto"/>
                  </w:tcBorders>
                  <w:shd w:val="clear" w:color="auto" w:fill="auto"/>
                </w:tcPr>
                <w:p w14:paraId="6972F38C"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4.0</w:t>
                  </w:r>
                </w:p>
              </w:tc>
            </w:tr>
            <w:tr w:rsidR="005D1807" w:rsidRPr="000739AC" w14:paraId="33CE49EC" w14:textId="77777777" w:rsidTr="00535E30">
              <w:trPr>
                <w:trHeight w:val="303"/>
              </w:trPr>
              <w:tc>
                <w:tcPr>
                  <w:tcW w:w="2052" w:type="dxa"/>
                  <w:vMerge/>
                  <w:shd w:val="clear" w:color="auto" w:fill="auto"/>
                  <w:vAlign w:val="center"/>
                  <w:hideMark/>
                </w:tcPr>
                <w:p w14:paraId="740702D7" w14:textId="77777777" w:rsidR="005D1807" w:rsidRPr="000739AC" w:rsidRDefault="005D1807" w:rsidP="00522278">
                  <w:pPr>
                    <w:framePr w:hSpace="180" w:wrap="around" w:hAnchor="margin" w:xAlign="center" w:y="540"/>
                    <w:spacing w:line="240" w:lineRule="auto"/>
                    <w:rPr>
                      <w:b w:val="0"/>
                      <w:bCs/>
                      <w:sz w:val="20"/>
                      <w:szCs w:val="20"/>
                    </w:rPr>
                  </w:pPr>
                </w:p>
              </w:tc>
              <w:tc>
                <w:tcPr>
                  <w:tcW w:w="2478" w:type="dxa"/>
                  <w:shd w:val="clear" w:color="auto" w:fill="auto"/>
                  <w:vAlign w:val="center"/>
                  <w:hideMark/>
                </w:tcPr>
                <w:p w14:paraId="4C04D5D6"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2024-2026 ՄԺԾԾ</w:t>
                  </w:r>
                </w:p>
              </w:tc>
              <w:tc>
                <w:tcPr>
                  <w:tcW w:w="1585" w:type="dxa"/>
                  <w:shd w:val="clear" w:color="auto" w:fill="auto"/>
                </w:tcPr>
                <w:p w14:paraId="708C4396"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8.0</w:t>
                  </w:r>
                </w:p>
              </w:tc>
              <w:tc>
                <w:tcPr>
                  <w:tcW w:w="1890" w:type="dxa"/>
                  <w:shd w:val="clear" w:color="auto" w:fill="auto"/>
                  <w:noWrap/>
                </w:tcPr>
                <w:p w14:paraId="5009D152"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4.8</w:t>
                  </w:r>
                </w:p>
              </w:tc>
              <w:tc>
                <w:tcPr>
                  <w:tcW w:w="1432" w:type="dxa"/>
                  <w:shd w:val="clear" w:color="auto" w:fill="auto"/>
                </w:tcPr>
                <w:p w14:paraId="23B00C22"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4.0</w:t>
                  </w:r>
                </w:p>
              </w:tc>
            </w:tr>
            <w:tr w:rsidR="005D1807" w:rsidRPr="000739AC" w14:paraId="1E56B23B" w14:textId="77777777" w:rsidTr="00535E30">
              <w:trPr>
                <w:trHeight w:val="303"/>
              </w:trPr>
              <w:tc>
                <w:tcPr>
                  <w:tcW w:w="2052" w:type="dxa"/>
                  <w:vMerge/>
                  <w:tcBorders>
                    <w:bottom w:val="single" w:sz="4" w:space="0" w:color="auto"/>
                  </w:tcBorders>
                  <w:shd w:val="clear" w:color="auto" w:fill="auto"/>
                  <w:vAlign w:val="center"/>
                  <w:hideMark/>
                </w:tcPr>
                <w:p w14:paraId="0BF6A6D9" w14:textId="77777777" w:rsidR="005D1807" w:rsidRPr="000739AC" w:rsidRDefault="005D1807" w:rsidP="00522278">
                  <w:pPr>
                    <w:framePr w:hSpace="180" w:wrap="around" w:hAnchor="margin" w:xAlign="center" w:y="540"/>
                    <w:spacing w:line="240" w:lineRule="auto"/>
                    <w:rPr>
                      <w:b w:val="0"/>
                      <w:bCs/>
                      <w:sz w:val="20"/>
                      <w:szCs w:val="20"/>
                    </w:rPr>
                  </w:pPr>
                </w:p>
              </w:tc>
              <w:tc>
                <w:tcPr>
                  <w:tcW w:w="2478" w:type="dxa"/>
                  <w:tcBorders>
                    <w:bottom w:val="single" w:sz="4" w:space="0" w:color="auto"/>
                  </w:tcBorders>
                  <w:shd w:val="clear" w:color="auto" w:fill="auto"/>
                  <w:vAlign w:val="center"/>
                  <w:hideMark/>
                </w:tcPr>
                <w:p w14:paraId="106B8A95"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2023 Պետական բյուջե</w:t>
                  </w:r>
                </w:p>
              </w:tc>
              <w:tc>
                <w:tcPr>
                  <w:tcW w:w="1585" w:type="dxa"/>
                  <w:tcBorders>
                    <w:bottom w:val="single" w:sz="4" w:space="0" w:color="auto"/>
                  </w:tcBorders>
                  <w:shd w:val="clear" w:color="auto" w:fill="auto"/>
                </w:tcPr>
                <w:p w14:paraId="08B02F01"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7.0</w:t>
                  </w:r>
                </w:p>
              </w:tc>
              <w:tc>
                <w:tcPr>
                  <w:tcW w:w="1890" w:type="dxa"/>
                  <w:tcBorders>
                    <w:bottom w:val="single" w:sz="4" w:space="0" w:color="auto"/>
                  </w:tcBorders>
                  <w:shd w:val="clear" w:color="auto" w:fill="auto"/>
                  <w:noWrap/>
                </w:tcPr>
                <w:p w14:paraId="6A07E7AB"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5.0</w:t>
                  </w:r>
                </w:p>
              </w:tc>
              <w:tc>
                <w:tcPr>
                  <w:tcW w:w="1432" w:type="dxa"/>
                  <w:tcBorders>
                    <w:bottom w:val="single" w:sz="4" w:space="0" w:color="auto"/>
                  </w:tcBorders>
                  <w:shd w:val="clear" w:color="auto" w:fill="auto"/>
                  <w:hideMark/>
                </w:tcPr>
                <w:p w14:paraId="4C4F6EB3"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w:t>
                  </w:r>
                </w:p>
              </w:tc>
            </w:tr>
          </w:tbl>
          <w:p w14:paraId="7F0035CE" w14:textId="77777777" w:rsidR="005D1807" w:rsidRPr="00535E30" w:rsidRDefault="005D1807" w:rsidP="000739AC">
            <w:pPr>
              <w:spacing w:line="240" w:lineRule="auto"/>
              <w:rPr>
                <w:b w:val="0"/>
                <w:bCs/>
                <w:sz w:val="20"/>
                <w:szCs w:val="20"/>
                <w:lang w:val="hy-AM"/>
              </w:rPr>
            </w:pPr>
            <w:r w:rsidRPr="00535E30">
              <w:rPr>
                <w:rFonts w:eastAsia="Calibri"/>
                <w:b w:val="0"/>
                <w:bCs/>
                <w:sz w:val="20"/>
                <w:szCs w:val="20"/>
                <w:lang w:val="hy-AM"/>
              </w:rPr>
              <w:t xml:space="preserve">* </w:t>
            </w:r>
            <w:r w:rsidRPr="00535E30">
              <w:rPr>
                <w:b w:val="0"/>
                <w:bCs/>
                <w:sz w:val="20"/>
                <w:szCs w:val="20"/>
                <w:lang w:val="hy-AM"/>
              </w:rPr>
              <w:t xml:space="preserve">2024-2026 ՄԺԾԾ և 2024 պետական բյուջեի համար 2022թ. ցուցանիշները փաստացի են </w:t>
            </w:r>
          </w:p>
          <w:p w14:paraId="461D1EC4" w14:textId="32D85322" w:rsidR="005D1807" w:rsidRPr="00730639" w:rsidRDefault="005D1807" w:rsidP="000739AC">
            <w:pPr>
              <w:spacing w:line="240" w:lineRule="auto"/>
              <w:rPr>
                <w:b w:val="0"/>
                <w:bCs/>
                <w:sz w:val="20"/>
                <w:szCs w:val="20"/>
                <w:lang w:val="hy-AM"/>
              </w:rPr>
            </w:pPr>
            <w:r w:rsidRPr="00730639">
              <w:rPr>
                <w:b w:val="0"/>
                <w:bCs/>
                <w:sz w:val="20"/>
                <w:szCs w:val="20"/>
                <w:lang w:val="hy-AM"/>
              </w:rPr>
              <w:t>Աղբյուրը ՝ ՀՀ ՖՆ կանխատեսումներ</w:t>
            </w:r>
          </w:p>
          <w:p w14:paraId="2FFA1FB6" w14:textId="77777777" w:rsidR="00535E30" w:rsidRPr="00730639" w:rsidRDefault="00535E30" w:rsidP="000739AC">
            <w:pPr>
              <w:spacing w:line="240" w:lineRule="auto"/>
              <w:rPr>
                <w:b w:val="0"/>
                <w:bCs/>
                <w:sz w:val="20"/>
                <w:szCs w:val="20"/>
                <w:lang w:val="hy-AM"/>
              </w:rPr>
            </w:pPr>
          </w:p>
          <w:p w14:paraId="2A28CE54" w14:textId="77777777" w:rsidR="005D1807" w:rsidRPr="00730639" w:rsidRDefault="005D1807" w:rsidP="000739AC">
            <w:pPr>
              <w:spacing w:line="240" w:lineRule="auto"/>
              <w:rPr>
                <w:rFonts w:eastAsia="Calibri"/>
                <w:b w:val="0"/>
                <w:bCs/>
                <w:szCs w:val="22"/>
                <w:lang w:val="hy-AM"/>
              </w:rPr>
            </w:pPr>
            <w:r w:rsidRPr="00730639">
              <w:rPr>
                <w:rFonts w:eastAsia="Calibri"/>
                <w:szCs w:val="22"/>
                <w:lang w:val="hy-AM"/>
              </w:rPr>
              <w:t>Աղյուսակ 1.6.</w:t>
            </w:r>
            <w:r w:rsidRPr="00730639">
              <w:rPr>
                <w:rFonts w:eastAsia="Calibri"/>
                <w:b w:val="0"/>
                <w:bCs/>
                <w:szCs w:val="22"/>
                <w:lang w:val="hy-AM"/>
              </w:rPr>
              <w:t xml:space="preserve"> Ընթացիկ հաշվի կանխատեսումները 2024-2026թթ. ՄԺԾԾ-ով, 2023թ. և 2024թ. </w:t>
            </w:r>
          </w:p>
          <w:p w14:paraId="7A802C20" w14:textId="77777777" w:rsidR="005D1807" w:rsidRPr="000739AC" w:rsidRDefault="005D1807" w:rsidP="000739AC">
            <w:pPr>
              <w:spacing w:line="240" w:lineRule="auto"/>
              <w:rPr>
                <w:rFonts w:eastAsia="Calibri"/>
                <w:b w:val="0"/>
                <w:bCs/>
                <w:szCs w:val="22"/>
              </w:rPr>
            </w:pPr>
            <w:r w:rsidRPr="000739AC">
              <w:rPr>
                <w:rFonts w:eastAsia="Calibri"/>
                <w:b w:val="0"/>
                <w:bCs/>
                <w:szCs w:val="22"/>
              </w:rPr>
              <w:t>պետական բյուջեներով</w:t>
            </w:r>
            <w:bookmarkStart w:id="74" w:name="_GoBack"/>
            <w:bookmarkEnd w:id="74"/>
          </w:p>
          <w:tbl>
            <w:tblPr>
              <w:tblW w:w="9360" w:type="dxa"/>
              <w:tblInd w:w="390" w:type="dxa"/>
              <w:tblLook w:val="04A0" w:firstRow="1" w:lastRow="0" w:firstColumn="1" w:lastColumn="0" w:noHBand="0" w:noVBand="1"/>
            </w:tblPr>
            <w:tblGrid>
              <w:gridCol w:w="2279"/>
              <w:gridCol w:w="2337"/>
              <w:gridCol w:w="1585"/>
              <w:gridCol w:w="1685"/>
              <w:gridCol w:w="1474"/>
            </w:tblGrid>
            <w:tr w:rsidR="005D1807" w:rsidRPr="000739AC" w14:paraId="266C2113" w14:textId="77777777" w:rsidTr="00E94C66">
              <w:trPr>
                <w:trHeight w:val="384"/>
              </w:trPr>
              <w:tc>
                <w:tcPr>
                  <w:tcW w:w="2279" w:type="dxa"/>
                  <w:vMerge w:val="restart"/>
                  <w:tcBorders>
                    <w:bottom w:val="single" w:sz="4" w:space="0" w:color="auto"/>
                  </w:tcBorders>
                  <w:shd w:val="clear" w:color="auto" w:fill="auto"/>
                  <w:noWrap/>
                  <w:vAlign w:val="center"/>
                  <w:hideMark/>
                </w:tcPr>
                <w:p w14:paraId="2229CFFF"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Ցուցանիշներ</w:t>
                  </w:r>
                </w:p>
              </w:tc>
              <w:tc>
                <w:tcPr>
                  <w:tcW w:w="2374" w:type="dxa"/>
                  <w:vMerge w:val="restart"/>
                  <w:tcBorders>
                    <w:bottom w:val="single" w:sz="4" w:space="0" w:color="auto"/>
                  </w:tcBorders>
                  <w:shd w:val="clear" w:color="auto" w:fill="auto"/>
                  <w:vAlign w:val="center"/>
                  <w:hideMark/>
                </w:tcPr>
                <w:p w14:paraId="391D3397"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Ծրագիր</w:t>
                  </w:r>
                </w:p>
              </w:tc>
              <w:tc>
                <w:tcPr>
                  <w:tcW w:w="1527" w:type="dxa"/>
                  <w:tcBorders>
                    <w:bottom w:val="single" w:sz="4" w:space="0" w:color="auto"/>
                  </w:tcBorders>
                  <w:shd w:val="clear" w:color="auto" w:fill="auto"/>
                  <w:vAlign w:val="center"/>
                </w:tcPr>
                <w:p w14:paraId="30510C69"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2022</w:t>
                  </w:r>
                </w:p>
              </w:tc>
              <w:tc>
                <w:tcPr>
                  <w:tcW w:w="1685" w:type="dxa"/>
                  <w:tcBorders>
                    <w:bottom w:val="single" w:sz="4" w:space="0" w:color="auto"/>
                  </w:tcBorders>
                  <w:shd w:val="clear" w:color="auto" w:fill="auto"/>
                  <w:vAlign w:val="center"/>
                  <w:hideMark/>
                </w:tcPr>
                <w:p w14:paraId="3055E8D8"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2023</w:t>
                  </w:r>
                </w:p>
              </w:tc>
              <w:tc>
                <w:tcPr>
                  <w:tcW w:w="1495" w:type="dxa"/>
                  <w:tcBorders>
                    <w:bottom w:val="single" w:sz="4" w:space="0" w:color="auto"/>
                  </w:tcBorders>
                  <w:shd w:val="clear" w:color="auto" w:fill="auto"/>
                  <w:vAlign w:val="center"/>
                  <w:hideMark/>
                </w:tcPr>
                <w:p w14:paraId="6AD271FF"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2024</w:t>
                  </w:r>
                </w:p>
              </w:tc>
            </w:tr>
            <w:tr w:rsidR="005D1807" w:rsidRPr="000739AC" w14:paraId="2901537B" w14:textId="77777777" w:rsidTr="00E94C66">
              <w:trPr>
                <w:trHeight w:val="384"/>
              </w:trPr>
              <w:tc>
                <w:tcPr>
                  <w:tcW w:w="2279" w:type="dxa"/>
                  <w:vMerge/>
                  <w:tcBorders>
                    <w:top w:val="single" w:sz="4" w:space="0" w:color="auto"/>
                  </w:tcBorders>
                  <w:shd w:val="clear" w:color="auto" w:fill="auto"/>
                  <w:vAlign w:val="center"/>
                  <w:hideMark/>
                </w:tcPr>
                <w:p w14:paraId="1D3D9CDD" w14:textId="77777777" w:rsidR="005D1807" w:rsidRPr="000739AC" w:rsidRDefault="005D1807" w:rsidP="00522278">
                  <w:pPr>
                    <w:framePr w:hSpace="180" w:wrap="around" w:hAnchor="margin" w:xAlign="center" w:y="540"/>
                    <w:spacing w:line="240" w:lineRule="auto"/>
                    <w:rPr>
                      <w:b w:val="0"/>
                      <w:bCs/>
                      <w:sz w:val="20"/>
                      <w:szCs w:val="20"/>
                    </w:rPr>
                  </w:pPr>
                </w:p>
              </w:tc>
              <w:tc>
                <w:tcPr>
                  <w:tcW w:w="2374" w:type="dxa"/>
                  <w:vMerge/>
                  <w:tcBorders>
                    <w:top w:val="single" w:sz="4" w:space="0" w:color="auto"/>
                  </w:tcBorders>
                  <w:shd w:val="clear" w:color="auto" w:fill="auto"/>
                  <w:vAlign w:val="center"/>
                  <w:hideMark/>
                </w:tcPr>
                <w:p w14:paraId="5FB77E49" w14:textId="77777777" w:rsidR="005D1807" w:rsidRPr="000739AC" w:rsidRDefault="005D1807" w:rsidP="00522278">
                  <w:pPr>
                    <w:framePr w:hSpace="180" w:wrap="around" w:hAnchor="margin" w:xAlign="center" w:y="540"/>
                    <w:spacing w:line="240" w:lineRule="auto"/>
                    <w:rPr>
                      <w:b w:val="0"/>
                      <w:bCs/>
                      <w:sz w:val="20"/>
                      <w:szCs w:val="20"/>
                    </w:rPr>
                  </w:pPr>
                </w:p>
              </w:tc>
              <w:tc>
                <w:tcPr>
                  <w:tcW w:w="1527" w:type="dxa"/>
                  <w:tcBorders>
                    <w:top w:val="single" w:sz="4" w:space="0" w:color="auto"/>
                  </w:tcBorders>
                  <w:shd w:val="clear" w:color="auto" w:fill="auto"/>
                  <w:vAlign w:val="center"/>
                </w:tcPr>
                <w:p w14:paraId="1D74929C"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փաստ*/կանխ.</w:t>
                  </w:r>
                </w:p>
              </w:tc>
              <w:tc>
                <w:tcPr>
                  <w:tcW w:w="1685" w:type="dxa"/>
                  <w:tcBorders>
                    <w:top w:val="single" w:sz="4" w:space="0" w:color="auto"/>
                  </w:tcBorders>
                  <w:shd w:val="clear" w:color="auto" w:fill="auto"/>
                  <w:vAlign w:val="center"/>
                  <w:hideMark/>
                </w:tcPr>
                <w:p w14:paraId="1C292737"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կանխ.</w:t>
                  </w:r>
                </w:p>
              </w:tc>
              <w:tc>
                <w:tcPr>
                  <w:tcW w:w="1495" w:type="dxa"/>
                  <w:tcBorders>
                    <w:top w:val="single" w:sz="4" w:space="0" w:color="auto"/>
                  </w:tcBorders>
                  <w:shd w:val="clear" w:color="auto" w:fill="auto"/>
                  <w:vAlign w:val="center"/>
                  <w:hideMark/>
                </w:tcPr>
                <w:p w14:paraId="71D239D3"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կանխ.</w:t>
                  </w:r>
                </w:p>
              </w:tc>
            </w:tr>
            <w:tr w:rsidR="005D1807" w:rsidRPr="000739AC" w14:paraId="7F41EDBF" w14:textId="77777777" w:rsidTr="00E94C66">
              <w:trPr>
                <w:trHeight w:val="384"/>
              </w:trPr>
              <w:tc>
                <w:tcPr>
                  <w:tcW w:w="2279" w:type="dxa"/>
                  <w:vMerge w:val="restart"/>
                  <w:shd w:val="clear" w:color="auto" w:fill="auto"/>
                  <w:vAlign w:val="center"/>
                  <w:hideMark/>
                </w:tcPr>
                <w:p w14:paraId="32EC6B07"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Ընթացիկ հաշիվ, մլն ԱՄՆ դոլար</w:t>
                  </w:r>
                </w:p>
              </w:tc>
              <w:tc>
                <w:tcPr>
                  <w:tcW w:w="2374" w:type="dxa"/>
                  <w:shd w:val="clear" w:color="auto" w:fill="auto"/>
                  <w:vAlign w:val="center"/>
                </w:tcPr>
                <w:p w14:paraId="32D2C11D"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2024 Պետական բյուջե</w:t>
                  </w:r>
                </w:p>
              </w:tc>
              <w:tc>
                <w:tcPr>
                  <w:tcW w:w="1527" w:type="dxa"/>
                  <w:shd w:val="clear" w:color="auto" w:fill="auto"/>
                  <w:vAlign w:val="center"/>
                </w:tcPr>
                <w:p w14:paraId="5A4739A5"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151.0</w:t>
                  </w:r>
                </w:p>
              </w:tc>
              <w:tc>
                <w:tcPr>
                  <w:tcW w:w="1685" w:type="dxa"/>
                  <w:shd w:val="clear" w:color="auto" w:fill="auto"/>
                  <w:noWrap/>
                </w:tcPr>
                <w:p w14:paraId="797B4D0C"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-965.8</w:t>
                  </w:r>
                </w:p>
              </w:tc>
              <w:tc>
                <w:tcPr>
                  <w:tcW w:w="1495" w:type="dxa"/>
                  <w:shd w:val="clear" w:color="auto" w:fill="auto"/>
                </w:tcPr>
                <w:p w14:paraId="0A47CAF6"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-1,232.1</w:t>
                  </w:r>
                </w:p>
              </w:tc>
            </w:tr>
            <w:tr w:rsidR="005D1807" w:rsidRPr="000739AC" w14:paraId="5489E393" w14:textId="77777777" w:rsidTr="00E94C66">
              <w:trPr>
                <w:trHeight w:val="384"/>
              </w:trPr>
              <w:tc>
                <w:tcPr>
                  <w:tcW w:w="2279" w:type="dxa"/>
                  <w:vMerge/>
                  <w:shd w:val="clear" w:color="auto" w:fill="auto"/>
                  <w:vAlign w:val="center"/>
                  <w:hideMark/>
                </w:tcPr>
                <w:p w14:paraId="1F4AA2F0" w14:textId="77777777" w:rsidR="005D1807" w:rsidRPr="000739AC" w:rsidRDefault="005D1807" w:rsidP="00522278">
                  <w:pPr>
                    <w:framePr w:hSpace="180" w:wrap="around" w:hAnchor="margin" w:xAlign="center" w:y="540"/>
                    <w:spacing w:line="240" w:lineRule="auto"/>
                    <w:rPr>
                      <w:b w:val="0"/>
                      <w:bCs/>
                      <w:sz w:val="20"/>
                      <w:szCs w:val="20"/>
                    </w:rPr>
                  </w:pPr>
                </w:p>
              </w:tc>
              <w:tc>
                <w:tcPr>
                  <w:tcW w:w="2374" w:type="dxa"/>
                  <w:shd w:val="clear" w:color="auto" w:fill="auto"/>
                  <w:vAlign w:val="center"/>
                  <w:hideMark/>
                </w:tcPr>
                <w:p w14:paraId="0D59900E"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2024-2026 ՄԺԾԾ</w:t>
                  </w:r>
                </w:p>
              </w:tc>
              <w:tc>
                <w:tcPr>
                  <w:tcW w:w="1527" w:type="dxa"/>
                  <w:shd w:val="clear" w:color="auto" w:fill="auto"/>
                  <w:vAlign w:val="center"/>
                </w:tcPr>
                <w:p w14:paraId="3FF82BC6"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-167.0</w:t>
                  </w:r>
                </w:p>
              </w:tc>
              <w:tc>
                <w:tcPr>
                  <w:tcW w:w="1685" w:type="dxa"/>
                  <w:shd w:val="clear" w:color="auto" w:fill="auto"/>
                  <w:noWrap/>
                  <w:vAlign w:val="center"/>
                </w:tcPr>
                <w:p w14:paraId="2EB417BC"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-596.1</w:t>
                  </w:r>
                </w:p>
              </w:tc>
              <w:tc>
                <w:tcPr>
                  <w:tcW w:w="1495" w:type="dxa"/>
                  <w:shd w:val="clear" w:color="auto" w:fill="auto"/>
                  <w:vAlign w:val="center"/>
                </w:tcPr>
                <w:p w14:paraId="4DFF41BE"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-832.3</w:t>
                  </w:r>
                </w:p>
              </w:tc>
            </w:tr>
            <w:tr w:rsidR="005D1807" w:rsidRPr="000739AC" w14:paraId="60B4EB7F" w14:textId="77777777" w:rsidTr="00E94C66">
              <w:trPr>
                <w:trHeight w:val="384"/>
              </w:trPr>
              <w:tc>
                <w:tcPr>
                  <w:tcW w:w="2279" w:type="dxa"/>
                  <w:vMerge/>
                  <w:tcBorders>
                    <w:bottom w:val="single" w:sz="4" w:space="0" w:color="auto"/>
                  </w:tcBorders>
                  <w:shd w:val="clear" w:color="auto" w:fill="auto"/>
                  <w:vAlign w:val="center"/>
                  <w:hideMark/>
                </w:tcPr>
                <w:p w14:paraId="48EC582B" w14:textId="77777777" w:rsidR="005D1807" w:rsidRPr="000739AC" w:rsidRDefault="005D1807" w:rsidP="00522278">
                  <w:pPr>
                    <w:framePr w:hSpace="180" w:wrap="around" w:hAnchor="margin" w:xAlign="center" w:y="540"/>
                    <w:spacing w:line="240" w:lineRule="auto"/>
                    <w:rPr>
                      <w:b w:val="0"/>
                      <w:bCs/>
                      <w:sz w:val="20"/>
                      <w:szCs w:val="20"/>
                    </w:rPr>
                  </w:pPr>
                </w:p>
              </w:tc>
              <w:tc>
                <w:tcPr>
                  <w:tcW w:w="2374" w:type="dxa"/>
                  <w:tcBorders>
                    <w:bottom w:val="single" w:sz="4" w:space="0" w:color="auto"/>
                  </w:tcBorders>
                  <w:shd w:val="clear" w:color="auto" w:fill="auto"/>
                  <w:vAlign w:val="center"/>
                </w:tcPr>
                <w:p w14:paraId="2DFF3453"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2023 Պետական բյուջե</w:t>
                  </w:r>
                </w:p>
              </w:tc>
              <w:tc>
                <w:tcPr>
                  <w:tcW w:w="1527" w:type="dxa"/>
                  <w:tcBorders>
                    <w:bottom w:val="single" w:sz="4" w:space="0" w:color="auto"/>
                  </w:tcBorders>
                  <w:shd w:val="clear" w:color="auto" w:fill="auto"/>
                </w:tcPr>
                <w:p w14:paraId="328731AA"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-515.1</w:t>
                  </w:r>
                </w:p>
              </w:tc>
              <w:tc>
                <w:tcPr>
                  <w:tcW w:w="1685" w:type="dxa"/>
                  <w:tcBorders>
                    <w:bottom w:val="single" w:sz="4" w:space="0" w:color="auto"/>
                  </w:tcBorders>
                  <w:shd w:val="clear" w:color="auto" w:fill="auto"/>
                  <w:noWrap/>
                </w:tcPr>
                <w:p w14:paraId="0789149D"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-768.9</w:t>
                  </w:r>
                </w:p>
              </w:tc>
              <w:tc>
                <w:tcPr>
                  <w:tcW w:w="1495" w:type="dxa"/>
                  <w:tcBorders>
                    <w:bottom w:val="single" w:sz="4" w:space="0" w:color="auto"/>
                  </w:tcBorders>
                  <w:shd w:val="clear" w:color="auto" w:fill="auto"/>
                  <w:vAlign w:val="center"/>
                </w:tcPr>
                <w:p w14:paraId="30E873F2"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w:t>
                  </w:r>
                </w:p>
              </w:tc>
            </w:tr>
            <w:tr w:rsidR="005D1807" w:rsidRPr="000739AC" w14:paraId="00EABD00" w14:textId="77777777" w:rsidTr="00E94C66">
              <w:trPr>
                <w:trHeight w:val="384"/>
              </w:trPr>
              <w:tc>
                <w:tcPr>
                  <w:tcW w:w="2279" w:type="dxa"/>
                  <w:vMerge w:val="restart"/>
                  <w:tcBorders>
                    <w:top w:val="single" w:sz="4" w:space="0" w:color="auto"/>
                  </w:tcBorders>
                  <w:shd w:val="clear" w:color="auto" w:fill="auto"/>
                  <w:vAlign w:val="center"/>
                  <w:hideMark/>
                </w:tcPr>
                <w:p w14:paraId="17BB4626"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Ընթացիկ հաշիվ, %-ով՝ ՀՆԱ-ի նկատմամբ</w:t>
                  </w:r>
                </w:p>
              </w:tc>
              <w:tc>
                <w:tcPr>
                  <w:tcW w:w="2374" w:type="dxa"/>
                  <w:tcBorders>
                    <w:top w:val="single" w:sz="4" w:space="0" w:color="auto"/>
                  </w:tcBorders>
                  <w:shd w:val="clear" w:color="auto" w:fill="auto"/>
                  <w:vAlign w:val="center"/>
                </w:tcPr>
                <w:p w14:paraId="067EDF93"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2024 պետկան բյուջե</w:t>
                  </w:r>
                </w:p>
              </w:tc>
              <w:tc>
                <w:tcPr>
                  <w:tcW w:w="1527" w:type="dxa"/>
                  <w:tcBorders>
                    <w:top w:val="single" w:sz="4" w:space="0" w:color="auto"/>
                  </w:tcBorders>
                  <w:shd w:val="clear" w:color="auto" w:fill="auto"/>
                  <w:vAlign w:val="center"/>
                </w:tcPr>
                <w:p w14:paraId="4C53AD9E"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0.8</w:t>
                  </w:r>
                </w:p>
              </w:tc>
              <w:tc>
                <w:tcPr>
                  <w:tcW w:w="1685" w:type="dxa"/>
                  <w:tcBorders>
                    <w:top w:val="single" w:sz="4" w:space="0" w:color="auto"/>
                  </w:tcBorders>
                  <w:shd w:val="clear" w:color="auto" w:fill="auto"/>
                  <w:noWrap/>
                  <w:vAlign w:val="center"/>
                </w:tcPr>
                <w:p w14:paraId="41386E79"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-4.0</w:t>
                  </w:r>
                </w:p>
              </w:tc>
              <w:tc>
                <w:tcPr>
                  <w:tcW w:w="1495" w:type="dxa"/>
                  <w:tcBorders>
                    <w:top w:val="single" w:sz="4" w:space="0" w:color="auto"/>
                  </w:tcBorders>
                  <w:shd w:val="clear" w:color="auto" w:fill="auto"/>
                  <w:vAlign w:val="center"/>
                </w:tcPr>
                <w:p w14:paraId="2CF2FD43"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-4.8</w:t>
                  </w:r>
                </w:p>
              </w:tc>
            </w:tr>
            <w:tr w:rsidR="005D1807" w:rsidRPr="000739AC" w14:paraId="69763F65" w14:textId="77777777" w:rsidTr="00E94C66">
              <w:trPr>
                <w:trHeight w:val="384"/>
              </w:trPr>
              <w:tc>
                <w:tcPr>
                  <w:tcW w:w="2279" w:type="dxa"/>
                  <w:vMerge/>
                  <w:shd w:val="clear" w:color="auto" w:fill="auto"/>
                  <w:vAlign w:val="center"/>
                  <w:hideMark/>
                </w:tcPr>
                <w:p w14:paraId="48614B51" w14:textId="77777777" w:rsidR="005D1807" w:rsidRPr="000739AC" w:rsidRDefault="005D1807" w:rsidP="00522278">
                  <w:pPr>
                    <w:framePr w:hSpace="180" w:wrap="around" w:hAnchor="margin" w:xAlign="center" w:y="540"/>
                    <w:spacing w:line="240" w:lineRule="auto"/>
                    <w:rPr>
                      <w:b w:val="0"/>
                      <w:bCs/>
                      <w:sz w:val="20"/>
                      <w:szCs w:val="20"/>
                    </w:rPr>
                  </w:pPr>
                </w:p>
              </w:tc>
              <w:tc>
                <w:tcPr>
                  <w:tcW w:w="2374" w:type="dxa"/>
                  <w:shd w:val="clear" w:color="auto" w:fill="auto"/>
                  <w:vAlign w:val="center"/>
                  <w:hideMark/>
                </w:tcPr>
                <w:p w14:paraId="5793439C"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2024-2026 ՄԺԾԾ</w:t>
                  </w:r>
                </w:p>
              </w:tc>
              <w:tc>
                <w:tcPr>
                  <w:tcW w:w="1527" w:type="dxa"/>
                  <w:shd w:val="clear" w:color="auto" w:fill="auto"/>
                  <w:vAlign w:val="center"/>
                </w:tcPr>
                <w:p w14:paraId="47958D2A"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-0.9</w:t>
                  </w:r>
                </w:p>
              </w:tc>
              <w:tc>
                <w:tcPr>
                  <w:tcW w:w="1685" w:type="dxa"/>
                  <w:shd w:val="clear" w:color="auto" w:fill="auto"/>
                  <w:noWrap/>
                  <w:vAlign w:val="center"/>
                </w:tcPr>
                <w:p w14:paraId="4F5567C3"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-2.7</w:t>
                  </w:r>
                </w:p>
              </w:tc>
              <w:tc>
                <w:tcPr>
                  <w:tcW w:w="1495" w:type="dxa"/>
                  <w:shd w:val="clear" w:color="auto" w:fill="auto"/>
                  <w:vAlign w:val="center"/>
                </w:tcPr>
                <w:p w14:paraId="1A7A8613"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-3.5</w:t>
                  </w:r>
                </w:p>
              </w:tc>
            </w:tr>
            <w:tr w:rsidR="005D1807" w:rsidRPr="000739AC" w14:paraId="5EA0D611" w14:textId="77777777" w:rsidTr="00E94C66">
              <w:trPr>
                <w:trHeight w:val="384"/>
              </w:trPr>
              <w:tc>
                <w:tcPr>
                  <w:tcW w:w="2279" w:type="dxa"/>
                  <w:vMerge/>
                  <w:tcBorders>
                    <w:bottom w:val="single" w:sz="4" w:space="0" w:color="auto"/>
                  </w:tcBorders>
                  <w:shd w:val="clear" w:color="auto" w:fill="auto"/>
                  <w:vAlign w:val="center"/>
                  <w:hideMark/>
                </w:tcPr>
                <w:p w14:paraId="786B043E" w14:textId="77777777" w:rsidR="005D1807" w:rsidRPr="000739AC" w:rsidRDefault="005D1807" w:rsidP="00522278">
                  <w:pPr>
                    <w:framePr w:hSpace="180" w:wrap="around" w:hAnchor="margin" w:xAlign="center" w:y="540"/>
                    <w:spacing w:line="240" w:lineRule="auto"/>
                    <w:rPr>
                      <w:b w:val="0"/>
                      <w:bCs/>
                      <w:sz w:val="20"/>
                      <w:szCs w:val="20"/>
                    </w:rPr>
                  </w:pPr>
                </w:p>
              </w:tc>
              <w:tc>
                <w:tcPr>
                  <w:tcW w:w="2374" w:type="dxa"/>
                  <w:tcBorders>
                    <w:bottom w:val="single" w:sz="4" w:space="0" w:color="auto"/>
                  </w:tcBorders>
                  <w:shd w:val="clear" w:color="auto" w:fill="auto"/>
                  <w:vAlign w:val="center"/>
                </w:tcPr>
                <w:p w14:paraId="3C8EB6B5"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2023 Պետական բյուջե</w:t>
                  </w:r>
                </w:p>
              </w:tc>
              <w:tc>
                <w:tcPr>
                  <w:tcW w:w="1527" w:type="dxa"/>
                  <w:tcBorders>
                    <w:bottom w:val="single" w:sz="4" w:space="0" w:color="auto"/>
                  </w:tcBorders>
                  <w:shd w:val="clear" w:color="auto" w:fill="auto"/>
                </w:tcPr>
                <w:p w14:paraId="4A042514"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-3.7</w:t>
                  </w:r>
                </w:p>
              </w:tc>
              <w:tc>
                <w:tcPr>
                  <w:tcW w:w="1685" w:type="dxa"/>
                  <w:tcBorders>
                    <w:bottom w:val="single" w:sz="4" w:space="0" w:color="auto"/>
                  </w:tcBorders>
                  <w:shd w:val="clear" w:color="auto" w:fill="auto"/>
                  <w:noWrap/>
                </w:tcPr>
                <w:p w14:paraId="1C0F5C9D"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-4.2</w:t>
                  </w:r>
                </w:p>
              </w:tc>
              <w:tc>
                <w:tcPr>
                  <w:tcW w:w="1495" w:type="dxa"/>
                  <w:tcBorders>
                    <w:bottom w:val="single" w:sz="4" w:space="0" w:color="auto"/>
                  </w:tcBorders>
                  <w:shd w:val="clear" w:color="auto" w:fill="auto"/>
                  <w:vAlign w:val="center"/>
                </w:tcPr>
                <w:p w14:paraId="1460BF8A" w14:textId="77777777" w:rsidR="005D1807" w:rsidRPr="000739AC" w:rsidRDefault="005D1807" w:rsidP="00522278">
                  <w:pPr>
                    <w:framePr w:hSpace="180" w:wrap="around" w:hAnchor="margin" w:xAlign="center" w:y="540"/>
                    <w:spacing w:line="240" w:lineRule="auto"/>
                    <w:rPr>
                      <w:b w:val="0"/>
                      <w:bCs/>
                      <w:sz w:val="20"/>
                      <w:szCs w:val="20"/>
                    </w:rPr>
                  </w:pPr>
                  <w:r w:rsidRPr="000739AC">
                    <w:rPr>
                      <w:b w:val="0"/>
                      <w:bCs/>
                      <w:sz w:val="20"/>
                      <w:szCs w:val="20"/>
                    </w:rPr>
                    <w:t>-</w:t>
                  </w:r>
                </w:p>
              </w:tc>
            </w:tr>
          </w:tbl>
          <w:p w14:paraId="5B412836" w14:textId="77777777" w:rsidR="005D1807" w:rsidRPr="000739AC" w:rsidRDefault="005D1807" w:rsidP="005D1807">
            <w:pPr>
              <w:rPr>
                <w:b w:val="0"/>
                <w:bCs/>
                <w:sz w:val="20"/>
                <w:szCs w:val="20"/>
              </w:rPr>
            </w:pPr>
            <w:r w:rsidRPr="000739AC">
              <w:rPr>
                <w:rFonts w:eastAsia="Calibri"/>
                <w:b w:val="0"/>
                <w:bCs/>
                <w:sz w:val="20"/>
                <w:szCs w:val="20"/>
              </w:rPr>
              <w:t xml:space="preserve">* </w:t>
            </w:r>
            <w:r w:rsidRPr="000739AC">
              <w:rPr>
                <w:b w:val="0"/>
                <w:bCs/>
                <w:sz w:val="20"/>
                <w:szCs w:val="20"/>
              </w:rPr>
              <w:t xml:space="preserve">2024-2026 ՄԺԾԾ և 2024 պետական բյուջեի համար 2022թ. ցուցանիշները փաստացի են   </w:t>
            </w:r>
          </w:p>
          <w:p w14:paraId="6DB077E1" w14:textId="299F5339" w:rsidR="005D1807" w:rsidRDefault="005D1807" w:rsidP="005D1807">
            <w:pPr>
              <w:rPr>
                <w:b w:val="0"/>
                <w:bCs/>
                <w:sz w:val="20"/>
                <w:szCs w:val="20"/>
              </w:rPr>
            </w:pPr>
            <w:r w:rsidRPr="000739AC">
              <w:rPr>
                <w:b w:val="0"/>
                <w:bCs/>
                <w:sz w:val="20"/>
                <w:szCs w:val="20"/>
              </w:rPr>
              <w:t>Աղբյուրը ՝ ՀՀ ՖՆ կանխատեսումներ</w:t>
            </w:r>
          </w:p>
          <w:p w14:paraId="60487DD5" w14:textId="77777777" w:rsidR="00535E30" w:rsidRPr="000739AC" w:rsidRDefault="00535E30" w:rsidP="005D1807">
            <w:pPr>
              <w:rPr>
                <w:b w:val="0"/>
                <w:bCs/>
                <w:sz w:val="20"/>
                <w:szCs w:val="20"/>
              </w:rPr>
            </w:pPr>
          </w:p>
          <w:p w14:paraId="25F3F1E5" w14:textId="77777777" w:rsidR="005D1807" w:rsidRPr="000739AC" w:rsidRDefault="005D1807" w:rsidP="005D1807">
            <w:pPr>
              <w:rPr>
                <w:rFonts w:eastAsia="GHEA Grapalat"/>
                <w:b w:val="0"/>
                <w:bCs/>
                <w:sz w:val="20"/>
                <w:szCs w:val="20"/>
              </w:rPr>
            </w:pPr>
          </w:p>
        </w:tc>
      </w:tr>
    </w:tbl>
    <w:p w14:paraId="4CE04357" w14:textId="05A49037" w:rsidR="00D178DD" w:rsidRPr="00922161" w:rsidRDefault="00D178DD" w:rsidP="0009272D">
      <w:pPr>
        <w:pStyle w:val="Heading1"/>
      </w:pPr>
      <w:bookmarkStart w:id="75" w:name="_Toc46154350"/>
      <w:bookmarkStart w:id="76" w:name="_Toc153184468"/>
      <w:bookmarkStart w:id="77" w:name="_Hlk152316655"/>
      <w:bookmarkStart w:id="78" w:name="_Toc165901459"/>
      <w:r w:rsidRPr="00922161">
        <w:t xml:space="preserve">ՀԱՐԿԱԲՅՈՒՋԵՏԱՅԻՆ ՔԱՂԱՔԱԿԱՆՈՒԹՅԱՆ ՀԻՄՆԱԿԱՆ ՈՒՂՂՈՒԹՅՈՒՆՆԵՐԸ </w:t>
      </w:r>
      <w:bookmarkEnd w:id="27"/>
      <w:bookmarkEnd w:id="28"/>
      <w:bookmarkEnd w:id="29"/>
      <w:bookmarkEnd w:id="30"/>
      <w:bookmarkEnd w:id="75"/>
      <w:bookmarkEnd w:id="76"/>
      <w:bookmarkEnd w:id="78"/>
    </w:p>
    <w:p w14:paraId="3818DE30" w14:textId="77777777" w:rsidR="00D178DD" w:rsidRPr="00922161" w:rsidRDefault="00D178DD" w:rsidP="0038558B">
      <w:pPr>
        <w:keepNext/>
        <w:keepLines/>
        <w:spacing w:before="0"/>
        <w:ind w:firstLine="284"/>
        <w:outlineLvl w:val="2"/>
        <w:rPr>
          <w:rFonts w:eastAsiaTheme="majorEastAsia" w:cstheme="majorBidi"/>
          <w:bCs/>
          <w:color w:val="1F497D" w:themeColor="text2"/>
          <w:sz w:val="24"/>
          <w:lang w:val="hy-AM" w:eastAsia="en-US"/>
        </w:rPr>
      </w:pPr>
      <w:bookmarkStart w:id="79" w:name="_Toc46154351"/>
      <w:bookmarkStart w:id="80" w:name="_Toc57655453"/>
      <w:bookmarkStart w:id="81" w:name="_Toc83199221"/>
      <w:bookmarkStart w:id="82" w:name="_Toc83972837"/>
      <w:bookmarkStart w:id="83" w:name="_Toc115686025"/>
      <w:bookmarkStart w:id="84" w:name="_Toc153184469"/>
      <w:bookmarkStart w:id="85" w:name="_Toc165901460"/>
      <w:bookmarkEnd w:id="77"/>
      <w:r w:rsidRPr="00922161">
        <w:rPr>
          <w:rFonts w:eastAsiaTheme="majorEastAsia" w:cstheme="majorBidi"/>
          <w:bCs/>
          <w:color w:val="1F497D" w:themeColor="text2"/>
          <w:sz w:val="24"/>
          <w:lang w:val="hy-AM" w:eastAsia="en-US"/>
        </w:rPr>
        <w:lastRenderedPageBreak/>
        <w:t xml:space="preserve">2.1. </w:t>
      </w:r>
      <w:bookmarkStart w:id="86" w:name="_Toc45838522"/>
      <w:r w:rsidRPr="00922161">
        <w:rPr>
          <w:rFonts w:eastAsiaTheme="majorEastAsia" w:cstheme="majorBidi"/>
          <w:bCs/>
          <w:color w:val="1F497D" w:themeColor="text2"/>
          <w:sz w:val="24"/>
          <w:lang w:val="hy-AM" w:eastAsia="en-US"/>
        </w:rPr>
        <w:t>ՀԱՐԿԱԲՅՈՒՋԵՏԱՅԻՆ ԸՆԴՀԱՆՈՒՐ ԱԿՆԱՐԿ ԵՎ ՀԱՐԿԱԲՅՈՒՋԵՏԱՅԻՆ ՇՐՋԱՆԱԿ</w:t>
      </w:r>
      <w:bookmarkEnd w:id="79"/>
      <w:bookmarkEnd w:id="80"/>
      <w:bookmarkEnd w:id="81"/>
      <w:bookmarkEnd w:id="82"/>
      <w:bookmarkEnd w:id="83"/>
      <w:bookmarkEnd w:id="84"/>
      <w:bookmarkEnd w:id="85"/>
      <w:bookmarkEnd w:id="86"/>
    </w:p>
    <w:p w14:paraId="0E91C0AD" w14:textId="77777777" w:rsidR="00730639" w:rsidRPr="00F46689" w:rsidRDefault="00730639"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bookmarkStart w:id="87" w:name="_Toc45838524"/>
      <w:bookmarkStart w:id="88" w:name="_Toc46154353"/>
      <w:bookmarkStart w:id="89" w:name="_Toc57655454"/>
      <w:bookmarkStart w:id="90" w:name="_Toc83199222"/>
      <w:bookmarkStart w:id="91" w:name="_Toc83972838"/>
      <w:bookmarkStart w:id="92" w:name="_Toc115686026"/>
      <w:r w:rsidRPr="00F46689">
        <w:rPr>
          <w:rFonts w:eastAsia="Calibri" w:cs="Arial"/>
          <w:b w:val="0"/>
          <w:bCs/>
          <w:kern w:val="2"/>
          <w:szCs w:val="22"/>
          <w:lang w:val="hy-AM"/>
          <w14:ligatures w14:val="standardContextual"/>
        </w:rPr>
        <w:t>2022 թ. բարձր տնտեսական աճը և հարկաբյուջետային քաղաքականության ջանքերը թույլ են տվել ապահովելու ՀՆԱ համեմատությամբ պետական բյուջեի պակասուրդի և կառավարության պարտքի նվազում, որը հիմքեր է ստեղծել 2022-2026 թթ. պարտքի բեռի նվազեցման ծրագրի թիրախների իրականացման համար։ ՀՆԱ-ի նկատմամբ 2022թ. պետական բյուջեի պակասուրդը կազմել է 2.1%՝ նախորդ տարվա համեմատ նվազելով 2.5 տոկոսային կետով: ՀՀ կառավարության պարտք/ՀՆԱ ցուցանիշը կազմել է 46.7%՝ նախորդ տարվա նկատմամբ նվազելով 13.6 տոկոսային կետով:</w:t>
      </w:r>
    </w:p>
    <w:p w14:paraId="08996F9D" w14:textId="77777777" w:rsidR="00730639" w:rsidRPr="00F46689" w:rsidRDefault="00730639"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2023 թվականի առաջին կիսամյակում բարձր տնտեսական աճի պայմաններում հարկաբյուջետային քաղաքականությունն ամբողջական պահանջարկի վրա ունեցել է զսպող ազդեցութուն: Սպասվում է, որ տնտեսական ընթացիկ տնտեսական միտումների  պայմաններում հարկաբյուջետային քաղաքականության  զսպող ազդեցությունը կպահպանվի:</w:t>
      </w:r>
    </w:p>
    <w:p w14:paraId="015B8772" w14:textId="77777777" w:rsidR="00730639" w:rsidRPr="00F46689" w:rsidRDefault="00730639"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2023 թվականի առաջին ութ ամիսներին հարկման բազաների բարձր աճի և 2022 թվականի հարկային օրենսդրության փոփոխությունների պայմաններում ՀՀ պետական բյուջեի հարկային եկամուտներն աճել են ՀՆԱ անվանական աճը գերազանցող՝ շուրջ 15.5% տեմպով: Արդյունքում ակնկալվում է, որ հարկեր/ՀՆԱ հարաբերակցությունը նախորդ տարվա համեմատ կբարելավվի 1.0 տոկոսային կետով՝ հասնելով 24.1%-ի, ինչի պայմաններում կձևավորվի հարկային եկամուտների 2277.8 մլրդ դրամ ցուցանիշ` ներառյալ եկամտային հարկի վերադարձը։</w:t>
      </w:r>
    </w:p>
    <w:p w14:paraId="2F67D6BD" w14:textId="77777777" w:rsidR="00730639" w:rsidRPr="00F46689" w:rsidRDefault="00730639"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2024 թվականին կառավարությունը նախատեսում է պահպանել հարկային վարչարարության բարելավմանն տեմպերը, ինչպես նաև իրականացնել հարկային օրենսդրության բարեփոխումներ, որոնց արդյունքում ակնկալվում է ապահովել հարկեր/ՀՆԱ հարաբերակցության շուրջ 0.75 տոկոսային կետով բարելավում:</w:t>
      </w:r>
    </w:p>
    <w:p w14:paraId="3DA5DE96" w14:textId="77777777" w:rsidR="00730639" w:rsidRPr="00F46689" w:rsidRDefault="00730639" w:rsidP="00F46689">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F46689">
        <w:rPr>
          <w:rFonts w:eastAsia="Calibri" w:cs="Arial"/>
          <w:b w:val="0"/>
          <w:bCs/>
          <w:kern w:val="2"/>
          <w:szCs w:val="22"/>
          <w:lang w:val="hy-AM"/>
          <w14:ligatures w14:val="standardContextual"/>
        </w:rPr>
        <w:t>2024 թվականին հարկաբյուջետային քաղաքականությունը ՀՀ կառավարության 2021-2026թթ. ծրագրին համահունչ ուղղված կլինի թիրախավորված 7% տնտեսական աճի ապահովմանը՝ շեշտադրելով պետական ներդրումների մասնաբաժնի էական մեծացումը (կապիտալ ծախսերի կշիռը ՀՆԱ-ում հասցնելով 6.6%-ի) և ծախսերի իրականացման արդյունավետության բարձրացումը, ինչպես նաև՝ պարտքի կայունության պահպանմանը: Ընդ որում հարկաբյուջետային քաղաքականությունը ամբողջական պահանջարկի վրա 2024թ. կունենա չեզոք ազդեցություն և միաժամանակ կխթանի ներուժային տնտեսական աճը:</w:t>
      </w:r>
    </w:p>
    <w:p w14:paraId="1F59023D" w14:textId="77777777" w:rsidR="00730639" w:rsidRPr="00E126C7" w:rsidRDefault="00730639" w:rsidP="00F46689">
      <w:pPr>
        <w:pStyle w:val="ListParagraph"/>
        <w:numPr>
          <w:ilvl w:val="0"/>
          <w:numId w:val="55"/>
        </w:numPr>
        <w:tabs>
          <w:tab w:val="left" w:pos="284"/>
        </w:tabs>
        <w:suppressAutoHyphens/>
        <w:spacing w:before="0" w:after="160"/>
        <w:ind w:left="0" w:firstLine="0"/>
        <w:rPr>
          <w:rFonts w:cs="Arial"/>
          <w:b w:val="0"/>
          <w:szCs w:val="22"/>
          <w:lang w:val="hy-AM" w:eastAsia="en-US"/>
        </w:rPr>
      </w:pPr>
      <w:r w:rsidRPr="00F46689">
        <w:rPr>
          <w:rFonts w:eastAsia="Calibri" w:cs="Arial"/>
          <w:b w:val="0"/>
          <w:bCs/>
          <w:kern w:val="2"/>
          <w:szCs w:val="22"/>
          <w:lang w:val="hy-AM"/>
          <w14:ligatures w14:val="standardContextual"/>
        </w:rPr>
        <w:t>Նշված հարկաբյուջետային նպատակների իրականացումը բախվում է ռիսկերի կապված միջազգային</w:t>
      </w:r>
      <w:r w:rsidRPr="004A1E79">
        <w:rPr>
          <w:rFonts w:cs="Arial"/>
          <w:b w:val="0"/>
          <w:szCs w:val="22"/>
          <w:lang w:val="hy-AM" w:eastAsia="en-US"/>
        </w:rPr>
        <w:t xml:space="preserve"> ու տարածաշրջանային անբարենպաստ տնտեսական զարգացումների, Հայաստանի  անվտանգային միջավայրի վատթարացման, տնտեսության ներքին մարտահրավերներների հաղթահարման դժվարությունների հետ։ Այդ ռիսկերի կառավարումը իրականացվում է «անվտանգության բարձիկների» ստեղծման ճանապարհով, մասնավորապես  ընթացիկ ծախսերի կազմում պահուստային ֆոնդի նախատեսմամբ, ինչպես նաև իրացվելիության անհրաժեշտ մակարդակ երաշխավորելու համար գանձապետական կայունացման հաշվում անհրաժեշտ միջոցների ապահովմամբ։</w:t>
      </w:r>
    </w:p>
    <w:p w14:paraId="34B7A2F2" w14:textId="77777777" w:rsidR="00730639" w:rsidRDefault="00730639" w:rsidP="00730639">
      <w:pPr>
        <w:spacing w:before="0"/>
        <w:rPr>
          <w:rFonts w:eastAsia="Calibri" w:cs="Arial"/>
          <w:iCs/>
          <w:szCs w:val="22"/>
          <w:lang w:val="hy-AM" w:eastAsia="en-US"/>
        </w:rPr>
      </w:pPr>
    </w:p>
    <w:p w14:paraId="03F2EE04" w14:textId="77777777" w:rsidR="00730639" w:rsidRPr="007B2906" w:rsidRDefault="00730639" w:rsidP="00730639">
      <w:pPr>
        <w:spacing w:before="0"/>
        <w:rPr>
          <w:rFonts w:cs="Calibri"/>
          <w:b w:val="0"/>
          <w:iCs/>
          <w:szCs w:val="22"/>
          <w:lang w:val="hy-AM" w:eastAsia="en-US"/>
        </w:rPr>
      </w:pPr>
      <w:r w:rsidRPr="00654AEF">
        <w:rPr>
          <w:rFonts w:eastAsia="Calibri" w:cs="Arial"/>
          <w:iCs/>
          <w:szCs w:val="22"/>
          <w:lang w:val="hy-AM" w:eastAsia="en-US"/>
        </w:rPr>
        <w:lastRenderedPageBreak/>
        <w:t xml:space="preserve">Աղյուսակ 2.1. </w:t>
      </w:r>
      <w:r w:rsidRPr="00654AEF">
        <w:rPr>
          <w:rFonts w:eastAsia="Calibri" w:cs="Arial"/>
          <w:b w:val="0"/>
          <w:bCs/>
          <w:iCs/>
          <w:szCs w:val="22"/>
          <w:lang w:val="hy-AM" w:eastAsia="en-US"/>
        </w:rPr>
        <w:t xml:space="preserve">2024թ. պետական բյուջեի հարկաբյուջետային շրջանակ, </w:t>
      </w:r>
      <w:r w:rsidRPr="00654AEF">
        <w:rPr>
          <w:rFonts w:cs="Calibri"/>
          <w:b w:val="0"/>
          <w:iCs/>
          <w:szCs w:val="22"/>
          <w:lang w:val="hy-AM" w:eastAsia="en-US"/>
        </w:rPr>
        <w:t>մլրդ դրամ</w:t>
      </w:r>
      <w:r w:rsidRPr="001C5EA5">
        <w:rPr>
          <w:rFonts w:cs="Calibri"/>
          <w:b w:val="0"/>
          <w:iCs/>
          <w:szCs w:val="22"/>
          <w:lang w:val="hy-AM" w:eastAsia="en-US"/>
        </w:rPr>
        <w:t>*</w:t>
      </w:r>
    </w:p>
    <w:tbl>
      <w:tblPr>
        <w:tblW w:w="9000" w:type="dxa"/>
        <w:tblLook w:val="04A0" w:firstRow="1" w:lastRow="0" w:firstColumn="1" w:lastColumn="0" w:noHBand="0" w:noVBand="1"/>
      </w:tblPr>
      <w:tblGrid>
        <w:gridCol w:w="4000"/>
        <w:gridCol w:w="1000"/>
        <w:gridCol w:w="1000"/>
        <w:gridCol w:w="1000"/>
        <w:gridCol w:w="1000"/>
        <w:gridCol w:w="1000"/>
      </w:tblGrid>
      <w:tr w:rsidR="00730639" w:rsidRPr="00603957" w14:paraId="5975DFA4" w14:textId="77777777" w:rsidTr="00E94C66">
        <w:trPr>
          <w:trHeight w:val="360"/>
        </w:trPr>
        <w:tc>
          <w:tcPr>
            <w:tcW w:w="4000" w:type="dxa"/>
            <w:shd w:val="clear" w:color="auto" w:fill="FFFFFF" w:themeFill="background1"/>
            <w:noWrap/>
            <w:vAlign w:val="center"/>
            <w:hideMark/>
          </w:tcPr>
          <w:p w14:paraId="19A1C99A" w14:textId="77777777" w:rsidR="00730639" w:rsidRPr="00603957" w:rsidRDefault="00730639" w:rsidP="00E94C66">
            <w:pPr>
              <w:spacing w:before="0" w:line="240" w:lineRule="auto"/>
              <w:rPr>
                <w:rFonts w:ascii="Calibri" w:hAnsi="Calibri" w:cs="Calibri"/>
                <w:b w:val="0"/>
                <w:sz w:val="18"/>
                <w:szCs w:val="18"/>
                <w:lang w:val="hy-AM" w:eastAsia="en-US"/>
              </w:rPr>
            </w:pPr>
            <w:r w:rsidRPr="00603957">
              <w:rPr>
                <w:rFonts w:ascii="Calibri" w:hAnsi="Calibri" w:cs="Calibri"/>
                <w:b w:val="0"/>
                <w:sz w:val="18"/>
                <w:szCs w:val="18"/>
                <w:lang w:val="hy-AM" w:eastAsia="en-US"/>
              </w:rPr>
              <w:t> </w:t>
            </w:r>
          </w:p>
        </w:tc>
        <w:tc>
          <w:tcPr>
            <w:tcW w:w="1000" w:type="dxa"/>
            <w:tcBorders>
              <w:bottom w:val="single" w:sz="4" w:space="0" w:color="auto"/>
            </w:tcBorders>
            <w:shd w:val="clear" w:color="auto" w:fill="FFFFFF" w:themeFill="background1"/>
            <w:noWrap/>
            <w:vAlign w:val="center"/>
            <w:hideMark/>
          </w:tcPr>
          <w:p w14:paraId="6EBFCA9F" w14:textId="77777777" w:rsidR="00730639" w:rsidRPr="00603957" w:rsidRDefault="00730639" w:rsidP="00E94C66">
            <w:pPr>
              <w:spacing w:before="0" w:line="240" w:lineRule="auto"/>
              <w:jc w:val="center"/>
              <w:rPr>
                <w:rFonts w:cs="Calibri"/>
                <w:b w:val="0"/>
                <w:sz w:val="18"/>
                <w:szCs w:val="18"/>
                <w:lang w:val="en-US" w:eastAsia="en-US"/>
              </w:rPr>
            </w:pPr>
            <w:r w:rsidRPr="00603957">
              <w:rPr>
                <w:rFonts w:cs="Calibri"/>
                <w:b w:val="0"/>
                <w:sz w:val="18"/>
                <w:szCs w:val="18"/>
                <w:lang w:val="en-US" w:eastAsia="en-US"/>
              </w:rPr>
              <w:t>2020</w:t>
            </w:r>
          </w:p>
        </w:tc>
        <w:tc>
          <w:tcPr>
            <w:tcW w:w="1000" w:type="dxa"/>
            <w:tcBorders>
              <w:bottom w:val="single" w:sz="4" w:space="0" w:color="auto"/>
            </w:tcBorders>
            <w:shd w:val="clear" w:color="auto" w:fill="FFFFFF" w:themeFill="background1"/>
            <w:noWrap/>
            <w:vAlign w:val="center"/>
            <w:hideMark/>
          </w:tcPr>
          <w:p w14:paraId="4ECD2002" w14:textId="77777777" w:rsidR="00730639" w:rsidRPr="00603957" w:rsidRDefault="00730639" w:rsidP="00E94C66">
            <w:pPr>
              <w:spacing w:before="0" w:line="240" w:lineRule="auto"/>
              <w:jc w:val="center"/>
              <w:rPr>
                <w:rFonts w:cs="Calibri"/>
                <w:b w:val="0"/>
                <w:sz w:val="18"/>
                <w:szCs w:val="18"/>
                <w:lang w:val="en-US" w:eastAsia="en-US"/>
              </w:rPr>
            </w:pPr>
            <w:r w:rsidRPr="00603957">
              <w:rPr>
                <w:rFonts w:cs="Calibri"/>
                <w:b w:val="0"/>
                <w:sz w:val="18"/>
                <w:szCs w:val="18"/>
                <w:lang w:val="en-US" w:eastAsia="en-US"/>
              </w:rPr>
              <w:t>2021</w:t>
            </w:r>
          </w:p>
        </w:tc>
        <w:tc>
          <w:tcPr>
            <w:tcW w:w="1000" w:type="dxa"/>
            <w:tcBorders>
              <w:bottom w:val="single" w:sz="4" w:space="0" w:color="auto"/>
            </w:tcBorders>
            <w:shd w:val="clear" w:color="auto" w:fill="FFFFFF" w:themeFill="background1"/>
            <w:noWrap/>
            <w:vAlign w:val="center"/>
            <w:hideMark/>
          </w:tcPr>
          <w:p w14:paraId="2E51DC72" w14:textId="77777777" w:rsidR="00730639" w:rsidRPr="00603957" w:rsidRDefault="00730639" w:rsidP="00E94C66">
            <w:pPr>
              <w:spacing w:before="0" w:line="240" w:lineRule="auto"/>
              <w:jc w:val="center"/>
              <w:rPr>
                <w:rFonts w:cs="Calibri"/>
                <w:b w:val="0"/>
                <w:sz w:val="18"/>
                <w:szCs w:val="18"/>
                <w:lang w:val="en-US" w:eastAsia="en-US"/>
              </w:rPr>
            </w:pPr>
            <w:r w:rsidRPr="00603957">
              <w:rPr>
                <w:rFonts w:cs="Calibri"/>
                <w:b w:val="0"/>
                <w:sz w:val="18"/>
                <w:szCs w:val="18"/>
                <w:lang w:val="en-US" w:eastAsia="en-US"/>
              </w:rPr>
              <w:t>2022</w:t>
            </w:r>
          </w:p>
        </w:tc>
        <w:tc>
          <w:tcPr>
            <w:tcW w:w="1000" w:type="dxa"/>
            <w:shd w:val="clear" w:color="auto" w:fill="FFFFFF" w:themeFill="background1"/>
            <w:noWrap/>
            <w:vAlign w:val="center"/>
            <w:hideMark/>
          </w:tcPr>
          <w:p w14:paraId="1582D496" w14:textId="77777777" w:rsidR="00730639" w:rsidRPr="00603957" w:rsidRDefault="00730639" w:rsidP="00E94C66">
            <w:pPr>
              <w:spacing w:before="0" w:line="240" w:lineRule="auto"/>
              <w:jc w:val="center"/>
              <w:rPr>
                <w:rFonts w:cs="Calibri"/>
                <w:b w:val="0"/>
                <w:sz w:val="18"/>
                <w:szCs w:val="18"/>
                <w:lang w:val="en-US" w:eastAsia="en-US"/>
              </w:rPr>
            </w:pPr>
            <w:r w:rsidRPr="00603957">
              <w:rPr>
                <w:rFonts w:cs="Calibri"/>
                <w:b w:val="0"/>
                <w:sz w:val="18"/>
                <w:szCs w:val="18"/>
                <w:lang w:val="en-US" w:eastAsia="en-US"/>
              </w:rPr>
              <w:t>2023</w:t>
            </w:r>
          </w:p>
        </w:tc>
        <w:tc>
          <w:tcPr>
            <w:tcW w:w="1000" w:type="dxa"/>
            <w:tcBorders>
              <w:bottom w:val="single" w:sz="4" w:space="0" w:color="auto"/>
            </w:tcBorders>
            <w:shd w:val="clear" w:color="auto" w:fill="FFFFFF" w:themeFill="background1"/>
            <w:noWrap/>
            <w:vAlign w:val="center"/>
            <w:hideMark/>
          </w:tcPr>
          <w:p w14:paraId="572249CB" w14:textId="77777777" w:rsidR="00730639" w:rsidRPr="00603957" w:rsidRDefault="00730639" w:rsidP="00E94C66">
            <w:pPr>
              <w:spacing w:before="0" w:line="240" w:lineRule="auto"/>
              <w:jc w:val="center"/>
              <w:rPr>
                <w:rFonts w:cs="Calibri"/>
                <w:b w:val="0"/>
                <w:sz w:val="18"/>
                <w:szCs w:val="18"/>
                <w:lang w:val="en-US" w:eastAsia="en-US"/>
              </w:rPr>
            </w:pPr>
            <w:r w:rsidRPr="00603957">
              <w:rPr>
                <w:rFonts w:cs="Calibri"/>
                <w:b w:val="0"/>
                <w:sz w:val="18"/>
                <w:szCs w:val="18"/>
                <w:lang w:val="en-US" w:eastAsia="en-US"/>
              </w:rPr>
              <w:t>2024</w:t>
            </w:r>
          </w:p>
        </w:tc>
      </w:tr>
      <w:tr w:rsidR="00730639" w:rsidRPr="00603957" w14:paraId="70621A94" w14:textId="77777777" w:rsidTr="00E94C66">
        <w:trPr>
          <w:trHeight w:val="345"/>
        </w:trPr>
        <w:tc>
          <w:tcPr>
            <w:tcW w:w="4000" w:type="dxa"/>
            <w:shd w:val="clear" w:color="auto" w:fill="FFFFFF" w:themeFill="background1"/>
            <w:noWrap/>
            <w:vAlign w:val="center"/>
            <w:hideMark/>
          </w:tcPr>
          <w:p w14:paraId="1A1169D3" w14:textId="77777777" w:rsidR="00730639" w:rsidRPr="00603957" w:rsidRDefault="00730639" w:rsidP="00E94C66">
            <w:pPr>
              <w:spacing w:before="0" w:line="240" w:lineRule="auto"/>
              <w:jc w:val="center"/>
              <w:rPr>
                <w:rFonts w:cs="Calibri"/>
                <w:b w:val="0"/>
                <w:i/>
                <w:iCs/>
                <w:sz w:val="18"/>
                <w:szCs w:val="18"/>
                <w:lang w:val="en-US" w:eastAsia="en-US"/>
              </w:rPr>
            </w:pPr>
            <w:r w:rsidRPr="00603957">
              <w:rPr>
                <w:rFonts w:cs="Calibri"/>
                <w:b w:val="0"/>
                <w:i/>
                <w:iCs/>
                <w:sz w:val="18"/>
                <w:szCs w:val="18"/>
                <w:lang w:val="en-US" w:eastAsia="en-US"/>
              </w:rPr>
              <w:t>մլրդ դրամ</w:t>
            </w:r>
          </w:p>
        </w:tc>
        <w:tc>
          <w:tcPr>
            <w:tcW w:w="3000" w:type="dxa"/>
            <w:gridSpan w:val="3"/>
            <w:tcBorders>
              <w:top w:val="single" w:sz="4" w:space="0" w:color="auto"/>
            </w:tcBorders>
            <w:shd w:val="clear" w:color="auto" w:fill="FFFFFF" w:themeFill="background1"/>
            <w:noWrap/>
            <w:vAlign w:val="center"/>
            <w:hideMark/>
          </w:tcPr>
          <w:p w14:paraId="291595ED" w14:textId="77777777" w:rsidR="00730639" w:rsidRPr="00603957" w:rsidRDefault="00730639" w:rsidP="00E94C66">
            <w:pPr>
              <w:spacing w:before="0" w:line="240" w:lineRule="auto"/>
              <w:jc w:val="center"/>
              <w:rPr>
                <w:rFonts w:cs="Calibri"/>
                <w:b w:val="0"/>
                <w:sz w:val="18"/>
                <w:szCs w:val="18"/>
                <w:lang w:val="en-US" w:eastAsia="en-US"/>
              </w:rPr>
            </w:pPr>
            <w:r w:rsidRPr="00603957">
              <w:rPr>
                <w:rFonts w:cs="Calibri"/>
                <w:b w:val="0"/>
                <w:sz w:val="18"/>
                <w:szCs w:val="18"/>
                <w:lang w:val="en-US" w:eastAsia="en-US"/>
              </w:rPr>
              <w:t>Փաստացի</w:t>
            </w:r>
          </w:p>
        </w:tc>
        <w:tc>
          <w:tcPr>
            <w:tcW w:w="1000" w:type="dxa"/>
            <w:shd w:val="clear" w:color="auto" w:fill="FFFFFF" w:themeFill="background1"/>
            <w:noWrap/>
            <w:vAlign w:val="center"/>
            <w:hideMark/>
          </w:tcPr>
          <w:p w14:paraId="3C256982" w14:textId="77777777" w:rsidR="00730639" w:rsidRPr="00603957" w:rsidRDefault="00730639" w:rsidP="00E94C66">
            <w:pPr>
              <w:spacing w:before="0" w:line="240" w:lineRule="auto"/>
              <w:jc w:val="center"/>
              <w:rPr>
                <w:rFonts w:cs="Calibri"/>
                <w:b w:val="0"/>
                <w:sz w:val="18"/>
                <w:szCs w:val="18"/>
                <w:lang w:val="en-US" w:eastAsia="en-US"/>
              </w:rPr>
            </w:pPr>
            <w:r w:rsidRPr="00603957">
              <w:rPr>
                <w:rFonts w:cs="Calibri"/>
                <w:b w:val="0"/>
                <w:sz w:val="18"/>
                <w:szCs w:val="18"/>
                <w:lang w:val="en-US" w:eastAsia="en-US"/>
              </w:rPr>
              <w:t>Սպասում</w:t>
            </w:r>
          </w:p>
        </w:tc>
        <w:tc>
          <w:tcPr>
            <w:tcW w:w="1000" w:type="dxa"/>
            <w:tcBorders>
              <w:top w:val="single" w:sz="4" w:space="0" w:color="auto"/>
            </w:tcBorders>
            <w:shd w:val="clear" w:color="auto" w:fill="FFFFFF" w:themeFill="background1"/>
            <w:noWrap/>
            <w:vAlign w:val="center"/>
            <w:hideMark/>
          </w:tcPr>
          <w:p w14:paraId="024D73DA" w14:textId="77777777" w:rsidR="00730639" w:rsidRPr="00603957" w:rsidRDefault="00730639" w:rsidP="00E94C66">
            <w:pPr>
              <w:spacing w:before="0" w:line="240" w:lineRule="auto"/>
              <w:jc w:val="center"/>
              <w:rPr>
                <w:rFonts w:cs="Calibri"/>
                <w:b w:val="0"/>
                <w:sz w:val="18"/>
                <w:szCs w:val="18"/>
                <w:lang w:val="en-US" w:eastAsia="en-US"/>
              </w:rPr>
            </w:pPr>
            <w:r w:rsidRPr="00603957">
              <w:rPr>
                <w:rFonts w:cs="Calibri"/>
                <w:b w:val="0"/>
                <w:sz w:val="18"/>
                <w:szCs w:val="18"/>
                <w:lang w:val="en-US" w:eastAsia="en-US"/>
              </w:rPr>
              <w:t>Բյուջե</w:t>
            </w:r>
          </w:p>
        </w:tc>
      </w:tr>
      <w:tr w:rsidR="00730639" w:rsidRPr="00603957" w14:paraId="7A36B672" w14:textId="77777777" w:rsidTr="00E94C66">
        <w:trPr>
          <w:trHeight w:val="345"/>
        </w:trPr>
        <w:tc>
          <w:tcPr>
            <w:tcW w:w="4000" w:type="dxa"/>
            <w:shd w:val="clear" w:color="auto" w:fill="auto"/>
            <w:vAlign w:val="center"/>
            <w:hideMark/>
          </w:tcPr>
          <w:p w14:paraId="7EA29C4C" w14:textId="77777777" w:rsidR="00730639" w:rsidRPr="00603957" w:rsidRDefault="00730639" w:rsidP="00E94C66">
            <w:pPr>
              <w:spacing w:before="0" w:line="240" w:lineRule="auto"/>
              <w:jc w:val="center"/>
              <w:rPr>
                <w:rFonts w:cs="Calibri"/>
                <w:b w:val="0"/>
                <w:sz w:val="18"/>
                <w:szCs w:val="18"/>
                <w:lang w:val="en-US" w:eastAsia="en-US"/>
              </w:rPr>
            </w:pPr>
            <w:r w:rsidRPr="00603957">
              <w:rPr>
                <w:rFonts w:cs="Calibri"/>
                <w:b w:val="0"/>
                <w:sz w:val="18"/>
                <w:szCs w:val="18"/>
                <w:lang w:val="en-US" w:eastAsia="en-US"/>
              </w:rPr>
              <w:t>1</w:t>
            </w:r>
          </w:p>
        </w:tc>
        <w:tc>
          <w:tcPr>
            <w:tcW w:w="1000" w:type="dxa"/>
            <w:shd w:val="clear" w:color="auto" w:fill="auto"/>
            <w:noWrap/>
            <w:vAlign w:val="center"/>
            <w:hideMark/>
          </w:tcPr>
          <w:p w14:paraId="3F52FC2E" w14:textId="77777777" w:rsidR="00730639" w:rsidRPr="00603957" w:rsidRDefault="00730639" w:rsidP="00E94C66">
            <w:pPr>
              <w:spacing w:before="0" w:line="240" w:lineRule="auto"/>
              <w:jc w:val="center"/>
              <w:rPr>
                <w:rFonts w:cs="Calibri"/>
                <w:b w:val="0"/>
                <w:sz w:val="18"/>
                <w:szCs w:val="18"/>
                <w:lang w:val="en-US" w:eastAsia="en-US"/>
              </w:rPr>
            </w:pPr>
            <w:r w:rsidRPr="00603957">
              <w:rPr>
                <w:rFonts w:cs="Calibri"/>
                <w:b w:val="0"/>
                <w:sz w:val="18"/>
                <w:szCs w:val="18"/>
                <w:lang w:val="en-US" w:eastAsia="en-US"/>
              </w:rPr>
              <w:t>2</w:t>
            </w:r>
          </w:p>
        </w:tc>
        <w:tc>
          <w:tcPr>
            <w:tcW w:w="1000" w:type="dxa"/>
            <w:shd w:val="clear" w:color="auto" w:fill="auto"/>
            <w:vAlign w:val="center"/>
            <w:hideMark/>
          </w:tcPr>
          <w:p w14:paraId="6DA15231" w14:textId="77777777" w:rsidR="00730639" w:rsidRPr="00603957" w:rsidRDefault="00730639" w:rsidP="00E94C66">
            <w:pPr>
              <w:spacing w:before="0" w:line="240" w:lineRule="auto"/>
              <w:jc w:val="center"/>
              <w:rPr>
                <w:rFonts w:cs="Calibri"/>
                <w:b w:val="0"/>
                <w:sz w:val="18"/>
                <w:szCs w:val="18"/>
                <w:lang w:val="en-US" w:eastAsia="en-US"/>
              </w:rPr>
            </w:pPr>
            <w:r w:rsidRPr="00603957">
              <w:rPr>
                <w:rFonts w:cs="Calibri"/>
                <w:b w:val="0"/>
                <w:sz w:val="18"/>
                <w:szCs w:val="18"/>
                <w:lang w:val="en-US" w:eastAsia="en-US"/>
              </w:rPr>
              <w:t>3</w:t>
            </w:r>
          </w:p>
        </w:tc>
        <w:tc>
          <w:tcPr>
            <w:tcW w:w="1000" w:type="dxa"/>
            <w:shd w:val="clear" w:color="auto" w:fill="auto"/>
            <w:noWrap/>
            <w:vAlign w:val="center"/>
            <w:hideMark/>
          </w:tcPr>
          <w:p w14:paraId="60DB07B4" w14:textId="77777777" w:rsidR="00730639" w:rsidRPr="00603957" w:rsidRDefault="00730639" w:rsidP="00E94C66">
            <w:pPr>
              <w:spacing w:before="0" w:line="240" w:lineRule="auto"/>
              <w:jc w:val="center"/>
              <w:rPr>
                <w:rFonts w:cs="Calibri"/>
                <w:b w:val="0"/>
                <w:sz w:val="18"/>
                <w:szCs w:val="18"/>
                <w:lang w:val="en-US" w:eastAsia="en-US"/>
              </w:rPr>
            </w:pPr>
            <w:r w:rsidRPr="00603957">
              <w:rPr>
                <w:rFonts w:cs="Calibri"/>
                <w:b w:val="0"/>
                <w:sz w:val="18"/>
                <w:szCs w:val="18"/>
                <w:lang w:val="en-US" w:eastAsia="en-US"/>
              </w:rPr>
              <w:t>4</w:t>
            </w:r>
          </w:p>
        </w:tc>
        <w:tc>
          <w:tcPr>
            <w:tcW w:w="1000" w:type="dxa"/>
            <w:shd w:val="clear" w:color="auto" w:fill="FFFFFF" w:themeFill="background1"/>
            <w:noWrap/>
            <w:vAlign w:val="center"/>
            <w:hideMark/>
          </w:tcPr>
          <w:p w14:paraId="4DC35F6E" w14:textId="77777777" w:rsidR="00730639" w:rsidRPr="00603957" w:rsidRDefault="00730639" w:rsidP="00E94C66">
            <w:pPr>
              <w:spacing w:before="0" w:line="240" w:lineRule="auto"/>
              <w:jc w:val="center"/>
              <w:rPr>
                <w:rFonts w:cs="Calibri"/>
                <w:b w:val="0"/>
                <w:sz w:val="18"/>
                <w:szCs w:val="18"/>
                <w:lang w:val="en-US" w:eastAsia="en-US"/>
              </w:rPr>
            </w:pPr>
            <w:r w:rsidRPr="00603957">
              <w:rPr>
                <w:rFonts w:cs="Calibri"/>
                <w:b w:val="0"/>
                <w:sz w:val="18"/>
                <w:szCs w:val="18"/>
                <w:lang w:val="en-US" w:eastAsia="en-US"/>
              </w:rPr>
              <w:t>5</w:t>
            </w:r>
          </w:p>
        </w:tc>
        <w:tc>
          <w:tcPr>
            <w:tcW w:w="1000" w:type="dxa"/>
            <w:shd w:val="clear" w:color="auto" w:fill="FFFFFF" w:themeFill="background1"/>
            <w:noWrap/>
            <w:vAlign w:val="center"/>
            <w:hideMark/>
          </w:tcPr>
          <w:p w14:paraId="5B30CD09" w14:textId="77777777" w:rsidR="00730639" w:rsidRPr="00603957" w:rsidRDefault="00730639" w:rsidP="00E94C66">
            <w:pPr>
              <w:spacing w:before="0" w:line="240" w:lineRule="auto"/>
              <w:jc w:val="center"/>
              <w:rPr>
                <w:rFonts w:cs="Calibri"/>
                <w:b w:val="0"/>
                <w:sz w:val="18"/>
                <w:szCs w:val="18"/>
                <w:lang w:val="en-US" w:eastAsia="en-US"/>
              </w:rPr>
            </w:pPr>
            <w:r w:rsidRPr="00603957">
              <w:rPr>
                <w:rFonts w:cs="Calibri"/>
                <w:b w:val="0"/>
                <w:sz w:val="18"/>
                <w:szCs w:val="18"/>
                <w:lang w:val="en-US" w:eastAsia="en-US"/>
              </w:rPr>
              <w:t>6</w:t>
            </w:r>
          </w:p>
        </w:tc>
      </w:tr>
      <w:tr w:rsidR="00730639" w:rsidRPr="00603957" w14:paraId="3FFC2717" w14:textId="77777777" w:rsidTr="00E94C66">
        <w:trPr>
          <w:trHeight w:val="345"/>
        </w:trPr>
        <w:tc>
          <w:tcPr>
            <w:tcW w:w="4000" w:type="dxa"/>
            <w:shd w:val="clear" w:color="auto" w:fill="auto"/>
            <w:vAlign w:val="center"/>
            <w:hideMark/>
          </w:tcPr>
          <w:p w14:paraId="20022E00" w14:textId="77777777" w:rsidR="00730639" w:rsidRPr="00603957" w:rsidRDefault="00730639" w:rsidP="00E94C66">
            <w:pPr>
              <w:spacing w:before="0" w:line="240" w:lineRule="auto"/>
              <w:jc w:val="left"/>
              <w:rPr>
                <w:rFonts w:cs="Calibri"/>
                <w:b w:val="0"/>
                <w:sz w:val="18"/>
                <w:szCs w:val="18"/>
                <w:lang w:val="en-US" w:eastAsia="en-US"/>
              </w:rPr>
            </w:pPr>
            <w:r w:rsidRPr="00603957">
              <w:rPr>
                <w:rFonts w:cs="Calibri"/>
                <w:b w:val="0"/>
                <w:sz w:val="18"/>
                <w:szCs w:val="18"/>
                <w:lang w:val="en-US" w:eastAsia="en-US"/>
              </w:rPr>
              <w:t xml:space="preserve">Պետական բյուջեի եկամուտներ </w:t>
            </w:r>
          </w:p>
        </w:tc>
        <w:tc>
          <w:tcPr>
            <w:tcW w:w="1000" w:type="dxa"/>
            <w:shd w:val="clear" w:color="auto" w:fill="auto"/>
            <w:noWrap/>
            <w:vAlign w:val="center"/>
            <w:hideMark/>
          </w:tcPr>
          <w:p w14:paraId="0EAB6FC6"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1,574.0</w:t>
            </w:r>
          </w:p>
        </w:tc>
        <w:tc>
          <w:tcPr>
            <w:tcW w:w="1000" w:type="dxa"/>
            <w:shd w:val="clear" w:color="auto" w:fill="auto"/>
            <w:noWrap/>
            <w:vAlign w:val="center"/>
            <w:hideMark/>
          </w:tcPr>
          <w:p w14:paraId="61EBB421"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1,706.6</w:t>
            </w:r>
          </w:p>
        </w:tc>
        <w:tc>
          <w:tcPr>
            <w:tcW w:w="1000" w:type="dxa"/>
            <w:shd w:val="clear" w:color="auto" w:fill="auto"/>
            <w:noWrap/>
            <w:vAlign w:val="center"/>
            <w:hideMark/>
          </w:tcPr>
          <w:p w14:paraId="2A6A2E7B"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2,099.6</w:t>
            </w:r>
          </w:p>
        </w:tc>
        <w:tc>
          <w:tcPr>
            <w:tcW w:w="1000" w:type="dxa"/>
            <w:shd w:val="clear" w:color="auto" w:fill="FFFFFF" w:themeFill="background1"/>
            <w:noWrap/>
            <w:vAlign w:val="center"/>
            <w:hideMark/>
          </w:tcPr>
          <w:p w14:paraId="4685EC04"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2,408.1</w:t>
            </w:r>
          </w:p>
        </w:tc>
        <w:tc>
          <w:tcPr>
            <w:tcW w:w="1000" w:type="dxa"/>
            <w:shd w:val="clear" w:color="auto" w:fill="FFFFFF" w:themeFill="background1"/>
            <w:noWrap/>
            <w:vAlign w:val="center"/>
            <w:hideMark/>
          </w:tcPr>
          <w:p w14:paraId="1ABC2C4C"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2,723.6</w:t>
            </w:r>
          </w:p>
        </w:tc>
      </w:tr>
      <w:tr w:rsidR="00730639" w:rsidRPr="00603957" w14:paraId="3DDAE2AE" w14:textId="77777777" w:rsidTr="00E94C66">
        <w:trPr>
          <w:trHeight w:val="345"/>
        </w:trPr>
        <w:tc>
          <w:tcPr>
            <w:tcW w:w="4000" w:type="dxa"/>
            <w:shd w:val="clear" w:color="auto" w:fill="auto"/>
            <w:vAlign w:val="center"/>
            <w:hideMark/>
          </w:tcPr>
          <w:p w14:paraId="47748222" w14:textId="77777777" w:rsidR="00730639" w:rsidRPr="00603957" w:rsidRDefault="00730639" w:rsidP="00E94C66">
            <w:pPr>
              <w:spacing w:before="0" w:line="240" w:lineRule="auto"/>
              <w:ind w:firstLineChars="100" w:firstLine="180"/>
              <w:jc w:val="left"/>
              <w:rPr>
                <w:rFonts w:cs="Calibri"/>
                <w:b w:val="0"/>
                <w:sz w:val="18"/>
                <w:szCs w:val="18"/>
                <w:lang w:val="en-US" w:eastAsia="en-US"/>
              </w:rPr>
            </w:pPr>
            <w:r w:rsidRPr="00603957">
              <w:rPr>
                <w:rFonts w:cs="Calibri"/>
                <w:b w:val="0"/>
                <w:sz w:val="18"/>
                <w:szCs w:val="18"/>
                <w:lang w:val="en-US" w:eastAsia="en-US"/>
              </w:rPr>
              <w:t>Հարկային եկամուտներ և տուրքեր</w:t>
            </w:r>
          </w:p>
        </w:tc>
        <w:tc>
          <w:tcPr>
            <w:tcW w:w="1000" w:type="dxa"/>
            <w:shd w:val="clear" w:color="auto" w:fill="auto"/>
            <w:noWrap/>
            <w:vAlign w:val="center"/>
            <w:hideMark/>
          </w:tcPr>
          <w:p w14:paraId="5BB137F4"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1,398.6</w:t>
            </w:r>
          </w:p>
        </w:tc>
        <w:tc>
          <w:tcPr>
            <w:tcW w:w="1000" w:type="dxa"/>
            <w:shd w:val="clear" w:color="auto" w:fill="auto"/>
            <w:noWrap/>
            <w:vAlign w:val="center"/>
            <w:hideMark/>
          </w:tcPr>
          <w:p w14:paraId="38BC712B"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1,609.6</w:t>
            </w:r>
          </w:p>
        </w:tc>
        <w:tc>
          <w:tcPr>
            <w:tcW w:w="1000" w:type="dxa"/>
            <w:shd w:val="clear" w:color="auto" w:fill="auto"/>
            <w:noWrap/>
            <w:vAlign w:val="center"/>
            <w:hideMark/>
          </w:tcPr>
          <w:p w14:paraId="304E5D2F"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1,962.5</w:t>
            </w:r>
          </w:p>
        </w:tc>
        <w:tc>
          <w:tcPr>
            <w:tcW w:w="1000" w:type="dxa"/>
            <w:shd w:val="clear" w:color="auto" w:fill="FFFFFF" w:themeFill="background1"/>
            <w:noWrap/>
            <w:vAlign w:val="center"/>
            <w:hideMark/>
          </w:tcPr>
          <w:p w14:paraId="49599064"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2,277.8</w:t>
            </w:r>
          </w:p>
        </w:tc>
        <w:tc>
          <w:tcPr>
            <w:tcW w:w="1000" w:type="dxa"/>
            <w:shd w:val="clear" w:color="auto" w:fill="FFFFFF" w:themeFill="background1"/>
            <w:noWrap/>
            <w:vAlign w:val="center"/>
            <w:hideMark/>
          </w:tcPr>
          <w:p w14:paraId="0C052EA3"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2,613.6</w:t>
            </w:r>
          </w:p>
        </w:tc>
      </w:tr>
      <w:tr w:rsidR="00730639" w:rsidRPr="00603957" w14:paraId="10707CB3" w14:textId="77777777" w:rsidTr="00E94C66">
        <w:trPr>
          <w:trHeight w:val="555"/>
        </w:trPr>
        <w:tc>
          <w:tcPr>
            <w:tcW w:w="4000" w:type="dxa"/>
            <w:tcBorders>
              <w:bottom w:val="single" w:sz="4" w:space="0" w:color="auto"/>
            </w:tcBorders>
            <w:shd w:val="clear" w:color="auto" w:fill="auto"/>
            <w:vAlign w:val="center"/>
            <w:hideMark/>
          </w:tcPr>
          <w:p w14:paraId="11370149" w14:textId="77777777" w:rsidR="00730639" w:rsidRPr="00603957" w:rsidRDefault="00730639" w:rsidP="00E94C66">
            <w:pPr>
              <w:spacing w:before="0" w:line="240" w:lineRule="auto"/>
              <w:ind w:left="440"/>
              <w:jc w:val="left"/>
              <w:rPr>
                <w:rFonts w:cs="Calibri"/>
                <w:b w:val="0"/>
                <w:sz w:val="18"/>
                <w:szCs w:val="18"/>
                <w:lang w:eastAsia="en-US"/>
              </w:rPr>
            </w:pPr>
            <w:r w:rsidRPr="00603957">
              <w:rPr>
                <w:rFonts w:cs="Calibri"/>
                <w:b w:val="0"/>
                <w:sz w:val="18"/>
                <w:szCs w:val="18"/>
                <w:lang w:val="en-US" w:eastAsia="en-US"/>
              </w:rPr>
              <w:t>որից</w:t>
            </w:r>
            <w:r w:rsidRPr="00603957">
              <w:rPr>
                <w:rFonts w:cs="Calibri"/>
                <w:b w:val="0"/>
                <w:sz w:val="18"/>
                <w:szCs w:val="18"/>
                <w:lang w:eastAsia="en-US"/>
              </w:rPr>
              <w:t xml:space="preserve"> </w:t>
            </w:r>
            <w:r w:rsidRPr="00603957">
              <w:rPr>
                <w:rFonts w:cs="Calibri"/>
                <w:b w:val="0"/>
                <w:sz w:val="18"/>
                <w:szCs w:val="18"/>
                <w:lang w:val="en-US" w:eastAsia="en-US"/>
              </w:rPr>
              <w:t>հիպոթեքի</w:t>
            </w:r>
            <w:r w:rsidRPr="00603957">
              <w:rPr>
                <w:rFonts w:cs="Calibri"/>
                <w:b w:val="0"/>
                <w:sz w:val="18"/>
                <w:szCs w:val="18"/>
                <w:lang w:eastAsia="en-US"/>
              </w:rPr>
              <w:t xml:space="preserve"> </w:t>
            </w:r>
            <w:r w:rsidRPr="00603957">
              <w:rPr>
                <w:rFonts w:cs="Calibri"/>
                <w:b w:val="0"/>
                <w:sz w:val="18"/>
                <w:szCs w:val="18"/>
                <w:lang w:val="en-US" w:eastAsia="en-US"/>
              </w:rPr>
              <w:t>տոկոսագումարների</w:t>
            </w:r>
            <w:r w:rsidRPr="00603957">
              <w:rPr>
                <w:rFonts w:cs="Calibri"/>
                <w:b w:val="0"/>
                <w:sz w:val="18"/>
                <w:szCs w:val="18"/>
                <w:lang w:eastAsia="en-US"/>
              </w:rPr>
              <w:t xml:space="preserve"> </w:t>
            </w:r>
            <w:r w:rsidRPr="00603957">
              <w:rPr>
                <w:rFonts w:cs="Calibri"/>
                <w:b w:val="0"/>
                <w:sz w:val="18"/>
                <w:szCs w:val="18"/>
                <w:lang w:val="en-US" w:eastAsia="en-US"/>
              </w:rPr>
              <w:t>գծով</w:t>
            </w:r>
            <w:r w:rsidRPr="00603957">
              <w:rPr>
                <w:rFonts w:cs="Calibri"/>
                <w:b w:val="0"/>
                <w:sz w:val="18"/>
                <w:szCs w:val="18"/>
                <w:lang w:eastAsia="en-US"/>
              </w:rPr>
              <w:t xml:space="preserve"> </w:t>
            </w:r>
            <w:r w:rsidRPr="00603957">
              <w:rPr>
                <w:rFonts w:cs="Calibri"/>
                <w:b w:val="0"/>
                <w:sz w:val="18"/>
                <w:szCs w:val="18"/>
                <w:lang w:val="en-US" w:eastAsia="en-US"/>
              </w:rPr>
              <w:t>եկամտային</w:t>
            </w:r>
            <w:r w:rsidRPr="00603957">
              <w:rPr>
                <w:rFonts w:cs="Calibri"/>
                <w:b w:val="0"/>
                <w:sz w:val="18"/>
                <w:szCs w:val="18"/>
                <w:lang w:eastAsia="en-US"/>
              </w:rPr>
              <w:t xml:space="preserve"> </w:t>
            </w:r>
            <w:r w:rsidRPr="00603957">
              <w:rPr>
                <w:rFonts w:cs="Calibri"/>
                <w:b w:val="0"/>
                <w:sz w:val="18"/>
                <w:szCs w:val="18"/>
                <w:lang w:val="en-US" w:eastAsia="en-US"/>
              </w:rPr>
              <w:t>հարկի</w:t>
            </w:r>
            <w:r w:rsidRPr="00603957">
              <w:rPr>
                <w:rFonts w:cs="Calibri"/>
                <w:b w:val="0"/>
                <w:sz w:val="18"/>
                <w:szCs w:val="18"/>
                <w:lang w:eastAsia="en-US"/>
              </w:rPr>
              <w:t xml:space="preserve"> </w:t>
            </w:r>
            <w:r w:rsidRPr="00603957">
              <w:rPr>
                <w:rFonts w:cs="Calibri"/>
                <w:b w:val="0"/>
                <w:sz w:val="18"/>
                <w:szCs w:val="18"/>
                <w:lang w:val="en-US" w:eastAsia="en-US"/>
              </w:rPr>
              <w:t>վերադարձ</w:t>
            </w:r>
          </w:p>
        </w:tc>
        <w:tc>
          <w:tcPr>
            <w:tcW w:w="1000" w:type="dxa"/>
            <w:tcBorders>
              <w:bottom w:val="single" w:sz="4" w:space="0" w:color="auto"/>
            </w:tcBorders>
            <w:shd w:val="clear" w:color="auto" w:fill="auto"/>
            <w:noWrap/>
            <w:vAlign w:val="center"/>
            <w:hideMark/>
          </w:tcPr>
          <w:p w14:paraId="0638F95B"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13.3</w:t>
            </w:r>
          </w:p>
        </w:tc>
        <w:tc>
          <w:tcPr>
            <w:tcW w:w="1000" w:type="dxa"/>
            <w:tcBorders>
              <w:bottom w:val="single" w:sz="4" w:space="0" w:color="auto"/>
            </w:tcBorders>
            <w:shd w:val="clear" w:color="auto" w:fill="auto"/>
            <w:noWrap/>
            <w:vAlign w:val="center"/>
            <w:hideMark/>
          </w:tcPr>
          <w:p w14:paraId="52C2D580"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22.7</w:t>
            </w:r>
          </w:p>
        </w:tc>
        <w:tc>
          <w:tcPr>
            <w:tcW w:w="1000" w:type="dxa"/>
            <w:tcBorders>
              <w:bottom w:val="single" w:sz="4" w:space="0" w:color="auto"/>
            </w:tcBorders>
            <w:shd w:val="clear" w:color="auto" w:fill="auto"/>
            <w:noWrap/>
            <w:vAlign w:val="center"/>
            <w:hideMark/>
          </w:tcPr>
          <w:p w14:paraId="1785673E"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36.5</w:t>
            </w:r>
          </w:p>
        </w:tc>
        <w:tc>
          <w:tcPr>
            <w:tcW w:w="1000" w:type="dxa"/>
            <w:tcBorders>
              <w:bottom w:val="single" w:sz="4" w:space="0" w:color="auto"/>
            </w:tcBorders>
            <w:shd w:val="clear" w:color="auto" w:fill="FFFFFF" w:themeFill="background1"/>
            <w:noWrap/>
            <w:vAlign w:val="center"/>
            <w:hideMark/>
          </w:tcPr>
          <w:p w14:paraId="73D683E5"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53.0</w:t>
            </w:r>
          </w:p>
        </w:tc>
        <w:tc>
          <w:tcPr>
            <w:tcW w:w="1000" w:type="dxa"/>
            <w:tcBorders>
              <w:bottom w:val="single" w:sz="4" w:space="0" w:color="auto"/>
            </w:tcBorders>
            <w:shd w:val="clear" w:color="auto" w:fill="FFFFFF" w:themeFill="background1"/>
            <w:noWrap/>
            <w:vAlign w:val="center"/>
            <w:hideMark/>
          </w:tcPr>
          <w:p w14:paraId="078EE83F"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72.0</w:t>
            </w:r>
          </w:p>
        </w:tc>
      </w:tr>
      <w:tr w:rsidR="00730639" w:rsidRPr="00603957" w14:paraId="51B96F29" w14:textId="77777777" w:rsidTr="00E94C66">
        <w:trPr>
          <w:trHeight w:val="345"/>
        </w:trPr>
        <w:tc>
          <w:tcPr>
            <w:tcW w:w="4000" w:type="dxa"/>
            <w:tcBorders>
              <w:top w:val="single" w:sz="4" w:space="0" w:color="auto"/>
            </w:tcBorders>
            <w:shd w:val="clear" w:color="auto" w:fill="auto"/>
            <w:vAlign w:val="center"/>
            <w:hideMark/>
          </w:tcPr>
          <w:p w14:paraId="466CA144" w14:textId="77777777" w:rsidR="00730639" w:rsidRPr="00603957" w:rsidRDefault="00730639" w:rsidP="00E94C66">
            <w:pPr>
              <w:spacing w:before="0" w:line="240" w:lineRule="auto"/>
              <w:jc w:val="left"/>
              <w:rPr>
                <w:rFonts w:cs="Calibri"/>
                <w:b w:val="0"/>
                <w:sz w:val="18"/>
                <w:szCs w:val="18"/>
                <w:lang w:val="en-US" w:eastAsia="en-US"/>
              </w:rPr>
            </w:pPr>
            <w:r w:rsidRPr="00603957">
              <w:rPr>
                <w:rFonts w:cs="Calibri"/>
                <w:b w:val="0"/>
                <w:sz w:val="18"/>
                <w:szCs w:val="18"/>
                <w:lang w:val="en-US" w:eastAsia="en-US"/>
              </w:rPr>
              <w:t>Պետական բյուջեի ծախսեր</w:t>
            </w:r>
          </w:p>
        </w:tc>
        <w:tc>
          <w:tcPr>
            <w:tcW w:w="1000" w:type="dxa"/>
            <w:tcBorders>
              <w:top w:val="single" w:sz="4" w:space="0" w:color="auto"/>
            </w:tcBorders>
            <w:shd w:val="clear" w:color="auto" w:fill="auto"/>
            <w:noWrap/>
            <w:vAlign w:val="center"/>
            <w:hideMark/>
          </w:tcPr>
          <w:p w14:paraId="5073770F"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1,908.0</w:t>
            </w:r>
          </w:p>
        </w:tc>
        <w:tc>
          <w:tcPr>
            <w:tcW w:w="1000" w:type="dxa"/>
            <w:tcBorders>
              <w:top w:val="single" w:sz="4" w:space="0" w:color="auto"/>
            </w:tcBorders>
            <w:shd w:val="clear" w:color="auto" w:fill="auto"/>
            <w:noWrap/>
            <w:vAlign w:val="center"/>
            <w:hideMark/>
          </w:tcPr>
          <w:p w14:paraId="78AB4D9E"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2,027.0</w:t>
            </w:r>
          </w:p>
        </w:tc>
        <w:tc>
          <w:tcPr>
            <w:tcW w:w="1000" w:type="dxa"/>
            <w:tcBorders>
              <w:top w:val="single" w:sz="4" w:space="0" w:color="auto"/>
            </w:tcBorders>
            <w:shd w:val="clear" w:color="auto" w:fill="auto"/>
            <w:noWrap/>
            <w:vAlign w:val="center"/>
            <w:hideMark/>
          </w:tcPr>
          <w:p w14:paraId="5ECD9810"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2,279.1</w:t>
            </w:r>
          </w:p>
        </w:tc>
        <w:tc>
          <w:tcPr>
            <w:tcW w:w="1000" w:type="dxa"/>
            <w:tcBorders>
              <w:top w:val="single" w:sz="4" w:space="0" w:color="auto"/>
            </w:tcBorders>
            <w:shd w:val="clear" w:color="auto" w:fill="FFFFFF" w:themeFill="background1"/>
            <w:noWrap/>
            <w:vAlign w:val="center"/>
            <w:hideMark/>
          </w:tcPr>
          <w:p w14:paraId="104F8CC9"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2,653.4</w:t>
            </w:r>
          </w:p>
        </w:tc>
        <w:tc>
          <w:tcPr>
            <w:tcW w:w="1000" w:type="dxa"/>
            <w:tcBorders>
              <w:top w:val="single" w:sz="4" w:space="0" w:color="auto"/>
            </w:tcBorders>
            <w:shd w:val="clear" w:color="auto" w:fill="FFFFFF" w:themeFill="background1"/>
            <w:noWrap/>
            <w:vAlign w:val="center"/>
            <w:hideMark/>
          </w:tcPr>
          <w:p w14:paraId="56D8AEDE"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3,206.5</w:t>
            </w:r>
          </w:p>
        </w:tc>
      </w:tr>
      <w:tr w:rsidR="00730639" w:rsidRPr="00603957" w14:paraId="6483275C" w14:textId="77777777" w:rsidTr="00E94C66">
        <w:trPr>
          <w:trHeight w:val="345"/>
        </w:trPr>
        <w:tc>
          <w:tcPr>
            <w:tcW w:w="4000" w:type="dxa"/>
            <w:shd w:val="clear" w:color="auto" w:fill="auto"/>
            <w:vAlign w:val="center"/>
            <w:hideMark/>
          </w:tcPr>
          <w:p w14:paraId="51EA630B" w14:textId="77777777" w:rsidR="00730639" w:rsidRPr="00603957" w:rsidRDefault="00730639" w:rsidP="00E94C66">
            <w:pPr>
              <w:spacing w:before="0" w:line="240" w:lineRule="auto"/>
              <w:ind w:firstLineChars="100" w:firstLine="180"/>
              <w:jc w:val="left"/>
              <w:rPr>
                <w:rFonts w:cs="Calibri"/>
                <w:b w:val="0"/>
                <w:sz w:val="18"/>
                <w:szCs w:val="18"/>
                <w:lang w:val="en-US" w:eastAsia="en-US"/>
              </w:rPr>
            </w:pPr>
            <w:r w:rsidRPr="00603957">
              <w:rPr>
                <w:rFonts w:cs="Calibri"/>
                <w:b w:val="0"/>
                <w:sz w:val="18"/>
                <w:szCs w:val="18"/>
                <w:lang w:val="en-US" w:eastAsia="en-US"/>
              </w:rPr>
              <w:t>Ընթացիկ ծախսեր</w:t>
            </w:r>
          </w:p>
        </w:tc>
        <w:tc>
          <w:tcPr>
            <w:tcW w:w="1000" w:type="dxa"/>
            <w:shd w:val="clear" w:color="auto" w:fill="auto"/>
            <w:noWrap/>
            <w:vAlign w:val="center"/>
            <w:hideMark/>
          </w:tcPr>
          <w:p w14:paraId="27E66D19"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1,681.8</w:t>
            </w:r>
          </w:p>
        </w:tc>
        <w:tc>
          <w:tcPr>
            <w:tcW w:w="1000" w:type="dxa"/>
            <w:shd w:val="clear" w:color="auto" w:fill="auto"/>
            <w:noWrap/>
            <w:vAlign w:val="center"/>
            <w:hideMark/>
          </w:tcPr>
          <w:p w14:paraId="4DF4123A"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1,810.7</w:t>
            </w:r>
          </w:p>
        </w:tc>
        <w:tc>
          <w:tcPr>
            <w:tcW w:w="1000" w:type="dxa"/>
            <w:shd w:val="clear" w:color="auto" w:fill="auto"/>
            <w:noWrap/>
            <w:vAlign w:val="center"/>
            <w:hideMark/>
          </w:tcPr>
          <w:p w14:paraId="276C131D"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1,898.7</w:t>
            </w:r>
          </w:p>
        </w:tc>
        <w:tc>
          <w:tcPr>
            <w:tcW w:w="1000" w:type="dxa"/>
            <w:shd w:val="clear" w:color="auto" w:fill="FFFFFF" w:themeFill="background1"/>
            <w:noWrap/>
            <w:vAlign w:val="center"/>
            <w:hideMark/>
          </w:tcPr>
          <w:p w14:paraId="7826036B"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2,091.3</w:t>
            </w:r>
          </w:p>
        </w:tc>
        <w:tc>
          <w:tcPr>
            <w:tcW w:w="1000" w:type="dxa"/>
            <w:shd w:val="clear" w:color="auto" w:fill="FFFFFF" w:themeFill="background1"/>
            <w:noWrap/>
            <w:vAlign w:val="center"/>
            <w:hideMark/>
          </w:tcPr>
          <w:p w14:paraId="655E0F70"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2,511.2</w:t>
            </w:r>
          </w:p>
        </w:tc>
      </w:tr>
      <w:tr w:rsidR="00730639" w:rsidRPr="00603957" w14:paraId="37685E2E" w14:textId="77777777" w:rsidTr="00E94C66">
        <w:trPr>
          <w:trHeight w:val="555"/>
        </w:trPr>
        <w:tc>
          <w:tcPr>
            <w:tcW w:w="4000" w:type="dxa"/>
            <w:shd w:val="clear" w:color="auto" w:fill="auto"/>
            <w:vAlign w:val="center"/>
            <w:hideMark/>
          </w:tcPr>
          <w:p w14:paraId="1689CEF0" w14:textId="77777777" w:rsidR="00730639" w:rsidRPr="00603957" w:rsidRDefault="00730639" w:rsidP="00E94C66">
            <w:pPr>
              <w:spacing w:before="0" w:line="240" w:lineRule="auto"/>
              <w:ind w:left="440"/>
              <w:jc w:val="left"/>
              <w:rPr>
                <w:rFonts w:cs="Calibri"/>
                <w:b w:val="0"/>
                <w:sz w:val="18"/>
                <w:szCs w:val="18"/>
                <w:lang w:eastAsia="en-US"/>
              </w:rPr>
            </w:pPr>
            <w:r w:rsidRPr="00603957">
              <w:rPr>
                <w:rFonts w:cs="Calibri"/>
                <w:b w:val="0"/>
                <w:sz w:val="18"/>
                <w:szCs w:val="18"/>
                <w:lang w:val="en-US" w:eastAsia="en-US"/>
              </w:rPr>
              <w:t>որից</w:t>
            </w:r>
            <w:r w:rsidRPr="00603957">
              <w:rPr>
                <w:rFonts w:cs="Calibri"/>
                <w:b w:val="0"/>
                <w:sz w:val="18"/>
                <w:szCs w:val="18"/>
                <w:lang w:eastAsia="en-US"/>
              </w:rPr>
              <w:t xml:space="preserve"> </w:t>
            </w:r>
            <w:r w:rsidRPr="00603957">
              <w:rPr>
                <w:rFonts w:cs="Calibri"/>
                <w:b w:val="0"/>
                <w:sz w:val="18"/>
                <w:szCs w:val="18"/>
                <w:lang w:val="en-US" w:eastAsia="en-US"/>
              </w:rPr>
              <w:t>հիպոթեքի</w:t>
            </w:r>
            <w:r w:rsidRPr="00603957">
              <w:rPr>
                <w:rFonts w:cs="Calibri"/>
                <w:b w:val="0"/>
                <w:sz w:val="18"/>
                <w:szCs w:val="18"/>
                <w:lang w:eastAsia="en-US"/>
              </w:rPr>
              <w:t xml:space="preserve"> </w:t>
            </w:r>
            <w:r w:rsidRPr="00603957">
              <w:rPr>
                <w:rFonts w:cs="Calibri"/>
                <w:b w:val="0"/>
                <w:sz w:val="18"/>
                <w:szCs w:val="18"/>
                <w:lang w:val="en-US" w:eastAsia="en-US"/>
              </w:rPr>
              <w:t>տոկոսագումարների</w:t>
            </w:r>
            <w:r w:rsidRPr="00603957">
              <w:rPr>
                <w:rFonts w:cs="Calibri"/>
                <w:b w:val="0"/>
                <w:sz w:val="18"/>
                <w:szCs w:val="18"/>
                <w:lang w:eastAsia="en-US"/>
              </w:rPr>
              <w:t xml:space="preserve"> </w:t>
            </w:r>
            <w:r w:rsidRPr="00603957">
              <w:rPr>
                <w:rFonts w:cs="Calibri"/>
                <w:b w:val="0"/>
                <w:sz w:val="18"/>
                <w:szCs w:val="18"/>
                <w:lang w:val="en-US" w:eastAsia="en-US"/>
              </w:rPr>
              <w:t>գծով</w:t>
            </w:r>
            <w:r w:rsidRPr="00603957">
              <w:rPr>
                <w:rFonts w:cs="Calibri"/>
                <w:b w:val="0"/>
                <w:sz w:val="18"/>
                <w:szCs w:val="18"/>
                <w:lang w:eastAsia="en-US"/>
              </w:rPr>
              <w:t xml:space="preserve"> </w:t>
            </w:r>
            <w:r w:rsidRPr="00603957">
              <w:rPr>
                <w:rFonts w:cs="Calibri"/>
                <w:b w:val="0"/>
                <w:sz w:val="18"/>
                <w:szCs w:val="18"/>
                <w:lang w:val="en-US" w:eastAsia="en-US"/>
              </w:rPr>
              <w:t>եկամտային</w:t>
            </w:r>
            <w:r w:rsidRPr="00603957">
              <w:rPr>
                <w:rFonts w:cs="Calibri"/>
                <w:b w:val="0"/>
                <w:sz w:val="18"/>
                <w:szCs w:val="18"/>
                <w:lang w:eastAsia="en-US"/>
              </w:rPr>
              <w:t xml:space="preserve"> </w:t>
            </w:r>
            <w:r w:rsidRPr="00603957">
              <w:rPr>
                <w:rFonts w:cs="Calibri"/>
                <w:b w:val="0"/>
                <w:sz w:val="18"/>
                <w:szCs w:val="18"/>
                <w:lang w:val="en-US" w:eastAsia="en-US"/>
              </w:rPr>
              <w:t>հարկի</w:t>
            </w:r>
            <w:r w:rsidRPr="00603957">
              <w:rPr>
                <w:rFonts w:cs="Calibri"/>
                <w:b w:val="0"/>
                <w:sz w:val="18"/>
                <w:szCs w:val="18"/>
                <w:lang w:eastAsia="en-US"/>
              </w:rPr>
              <w:t xml:space="preserve"> </w:t>
            </w:r>
            <w:r w:rsidRPr="00603957">
              <w:rPr>
                <w:rFonts w:cs="Calibri"/>
                <w:b w:val="0"/>
                <w:sz w:val="18"/>
                <w:szCs w:val="18"/>
                <w:lang w:val="en-US" w:eastAsia="en-US"/>
              </w:rPr>
              <w:t>վերադարձ</w:t>
            </w:r>
          </w:p>
        </w:tc>
        <w:tc>
          <w:tcPr>
            <w:tcW w:w="1000" w:type="dxa"/>
            <w:shd w:val="clear" w:color="auto" w:fill="auto"/>
            <w:noWrap/>
            <w:vAlign w:val="center"/>
            <w:hideMark/>
          </w:tcPr>
          <w:p w14:paraId="3FD490D9" w14:textId="77777777" w:rsidR="00730639" w:rsidRPr="00603957" w:rsidRDefault="00730639" w:rsidP="00E94C66">
            <w:pPr>
              <w:spacing w:before="0" w:line="240" w:lineRule="auto"/>
              <w:jc w:val="right"/>
              <w:rPr>
                <w:rFonts w:cs="Calibri"/>
                <w:b w:val="0"/>
                <w:sz w:val="18"/>
                <w:szCs w:val="18"/>
                <w:lang w:val="hy-AM" w:eastAsia="en-US"/>
              </w:rPr>
            </w:pPr>
            <w:r w:rsidRPr="00603957">
              <w:rPr>
                <w:rFonts w:cs="Calibri"/>
                <w:b w:val="0"/>
                <w:sz w:val="18"/>
                <w:szCs w:val="18"/>
                <w:lang w:val="hy-AM" w:eastAsia="en-US"/>
              </w:rPr>
              <w:t>13.3</w:t>
            </w:r>
          </w:p>
        </w:tc>
        <w:tc>
          <w:tcPr>
            <w:tcW w:w="1000" w:type="dxa"/>
            <w:shd w:val="clear" w:color="auto" w:fill="auto"/>
            <w:noWrap/>
            <w:vAlign w:val="center"/>
            <w:hideMark/>
          </w:tcPr>
          <w:p w14:paraId="58C5AF7E" w14:textId="77777777" w:rsidR="00730639" w:rsidRPr="00603957" w:rsidRDefault="00730639" w:rsidP="00E94C66">
            <w:pPr>
              <w:spacing w:before="0" w:line="240" w:lineRule="auto"/>
              <w:jc w:val="right"/>
              <w:rPr>
                <w:rFonts w:cs="Calibri"/>
                <w:b w:val="0"/>
                <w:sz w:val="18"/>
                <w:szCs w:val="18"/>
                <w:lang w:val="hy-AM" w:eastAsia="en-US"/>
              </w:rPr>
            </w:pPr>
            <w:r w:rsidRPr="00603957">
              <w:rPr>
                <w:rFonts w:cs="Calibri"/>
                <w:b w:val="0"/>
                <w:sz w:val="18"/>
                <w:szCs w:val="18"/>
                <w:lang w:val="hy-AM" w:eastAsia="en-US"/>
              </w:rPr>
              <w:t>22.7</w:t>
            </w:r>
          </w:p>
        </w:tc>
        <w:tc>
          <w:tcPr>
            <w:tcW w:w="1000" w:type="dxa"/>
            <w:shd w:val="clear" w:color="auto" w:fill="auto"/>
            <w:noWrap/>
            <w:vAlign w:val="center"/>
            <w:hideMark/>
          </w:tcPr>
          <w:p w14:paraId="32EA6CBC" w14:textId="77777777" w:rsidR="00730639" w:rsidRPr="00603957" w:rsidRDefault="00730639" w:rsidP="00E94C66">
            <w:pPr>
              <w:spacing w:before="0" w:line="240" w:lineRule="auto"/>
              <w:jc w:val="right"/>
              <w:rPr>
                <w:rFonts w:cs="Calibri"/>
                <w:b w:val="0"/>
                <w:sz w:val="18"/>
                <w:szCs w:val="18"/>
                <w:lang w:val="hy-AM" w:eastAsia="en-US"/>
              </w:rPr>
            </w:pPr>
            <w:r w:rsidRPr="00603957">
              <w:rPr>
                <w:rFonts w:cs="Calibri"/>
                <w:b w:val="0"/>
                <w:sz w:val="18"/>
                <w:szCs w:val="18"/>
                <w:lang w:val="hy-AM" w:eastAsia="en-US"/>
              </w:rPr>
              <w:t>36.5</w:t>
            </w:r>
          </w:p>
        </w:tc>
        <w:tc>
          <w:tcPr>
            <w:tcW w:w="1000" w:type="dxa"/>
            <w:shd w:val="clear" w:color="auto" w:fill="FFFFFF" w:themeFill="background1"/>
            <w:noWrap/>
            <w:vAlign w:val="center"/>
            <w:hideMark/>
          </w:tcPr>
          <w:p w14:paraId="665A3AB7" w14:textId="77777777" w:rsidR="00730639" w:rsidRPr="00603957" w:rsidRDefault="00730639" w:rsidP="00E94C66">
            <w:pPr>
              <w:spacing w:before="0" w:line="240" w:lineRule="auto"/>
              <w:jc w:val="right"/>
              <w:rPr>
                <w:rFonts w:cs="Calibri"/>
                <w:b w:val="0"/>
                <w:sz w:val="18"/>
                <w:szCs w:val="18"/>
                <w:lang w:val="hy-AM" w:eastAsia="en-US"/>
              </w:rPr>
            </w:pPr>
            <w:r w:rsidRPr="00603957">
              <w:rPr>
                <w:rFonts w:cs="Calibri"/>
                <w:b w:val="0"/>
                <w:sz w:val="18"/>
                <w:szCs w:val="18"/>
                <w:lang w:val="hy-AM" w:eastAsia="en-US"/>
              </w:rPr>
              <w:t>53.0</w:t>
            </w:r>
          </w:p>
        </w:tc>
        <w:tc>
          <w:tcPr>
            <w:tcW w:w="1000" w:type="dxa"/>
            <w:shd w:val="clear" w:color="auto" w:fill="FFFFFF" w:themeFill="background1"/>
            <w:noWrap/>
            <w:vAlign w:val="center"/>
            <w:hideMark/>
          </w:tcPr>
          <w:p w14:paraId="2E8B7731" w14:textId="77777777" w:rsidR="00730639" w:rsidRPr="00603957" w:rsidRDefault="00730639" w:rsidP="00E94C66">
            <w:pPr>
              <w:spacing w:before="0" w:line="240" w:lineRule="auto"/>
              <w:jc w:val="right"/>
              <w:rPr>
                <w:rFonts w:cs="Calibri"/>
                <w:b w:val="0"/>
                <w:sz w:val="18"/>
                <w:szCs w:val="18"/>
                <w:lang w:val="hy-AM" w:eastAsia="en-US"/>
              </w:rPr>
            </w:pPr>
            <w:r w:rsidRPr="00603957">
              <w:rPr>
                <w:rFonts w:cs="Calibri"/>
                <w:b w:val="0"/>
                <w:sz w:val="18"/>
                <w:szCs w:val="18"/>
                <w:lang w:val="hy-AM" w:eastAsia="en-US"/>
              </w:rPr>
              <w:t>72.0</w:t>
            </w:r>
          </w:p>
        </w:tc>
      </w:tr>
      <w:tr w:rsidR="00730639" w:rsidRPr="00603957" w14:paraId="1E3654B4" w14:textId="77777777" w:rsidTr="00E94C66">
        <w:trPr>
          <w:trHeight w:val="675"/>
        </w:trPr>
        <w:tc>
          <w:tcPr>
            <w:tcW w:w="4000" w:type="dxa"/>
            <w:tcBorders>
              <w:bottom w:val="single" w:sz="4" w:space="0" w:color="auto"/>
            </w:tcBorders>
            <w:shd w:val="clear" w:color="auto" w:fill="auto"/>
            <w:vAlign w:val="center"/>
            <w:hideMark/>
          </w:tcPr>
          <w:p w14:paraId="39F1DA36" w14:textId="77777777" w:rsidR="00730639" w:rsidRPr="00603957" w:rsidRDefault="00730639" w:rsidP="00E94C66">
            <w:pPr>
              <w:spacing w:before="0" w:line="240" w:lineRule="auto"/>
              <w:ind w:firstLineChars="100" w:firstLine="180"/>
              <w:jc w:val="left"/>
              <w:rPr>
                <w:rFonts w:cs="Calibri"/>
                <w:b w:val="0"/>
                <w:sz w:val="18"/>
                <w:szCs w:val="18"/>
                <w:lang w:eastAsia="en-US"/>
              </w:rPr>
            </w:pPr>
            <w:r w:rsidRPr="00603957">
              <w:rPr>
                <w:rFonts w:cs="Calibri"/>
                <w:b w:val="0"/>
                <w:sz w:val="18"/>
                <w:szCs w:val="18"/>
                <w:lang w:val="en-US" w:eastAsia="en-US"/>
              </w:rPr>
              <w:t>Ոչ</w:t>
            </w:r>
            <w:r w:rsidRPr="00603957">
              <w:rPr>
                <w:rFonts w:cs="Calibri"/>
                <w:b w:val="0"/>
                <w:sz w:val="18"/>
                <w:szCs w:val="18"/>
                <w:lang w:eastAsia="en-US"/>
              </w:rPr>
              <w:t xml:space="preserve"> </w:t>
            </w:r>
            <w:r w:rsidRPr="00603957">
              <w:rPr>
                <w:rFonts w:cs="Calibri"/>
                <w:b w:val="0"/>
                <w:sz w:val="18"/>
                <w:szCs w:val="18"/>
                <w:lang w:val="en-US" w:eastAsia="en-US"/>
              </w:rPr>
              <w:t>ֆինանսական</w:t>
            </w:r>
            <w:r w:rsidRPr="00603957">
              <w:rPr>
                <w:rFonts w:cs="Calibri"/>
                <w:b w:val="0"/>
                <w:sz w:val="18"/>
                <w:szCs w:val="18"/>
                <w:lang w:eastAsia="en-US"/>
              </w:rPr>
              <w:t xml:space="preserve"> </w:t>
            </w:r>
            <w:r w:rsidRPr="00603957">
              <w:rPr>
                <w:rFonts w:cs="Calibri"/>
                <w:b w:val="0"/>
                <w:sz w:val="18"/>
                <w:szCs w:val="18"/>
                <w:lang w:val="en-US" w:eastAsia="en-US"/>
              </w:rPr>
              <w:t>ակտիվների</w:t>
            </w:r>
            <w:r w:rsidRPr="00603957">
              <w:rPr>
                <w:rFonts w:cs="Calibri"/>
                <w:b w:val="0"/>
                <w:sz w:val="18"/>
                <w:szCs w:val="18"/>
                <w:lang w:eastAsia="en-US"/>
              </w:rPr>
              <w:t xml:space="preserve"> </w:t>
            </w:r>
            <w:r w:rsidRPr="00603957">
              <w:rPr>
                <w:rFonts w:cs="Calibri"/>
                <w:b w:val="0"/>
                <w:sz w:val="18"/>
                <w:szCs w:val="18"/>
                <w:lang w:val="en-US" w:eastAsia="en-US"/>
              </w:rPr>
              <w:t>հետ</w:t>
            </w:r>
            <w:r w:rsidRPr="00603957">
              <w:rPr>
                <w:rFonts w:cs="Calibri"/>
                <w:b w:val="0"/>
                <w:sz w:val="18"/>
                <w:szCs w:val="18"/>
                <w:lang w:eastAsia="en-US"/>
              </w:rPr>
              <w:t xml:space="preserve"> </w:t>
            </w:r>
            <w:r w:rsidRPr="00603957">
              <w:rPr>
                <w:rFonts w:cs="Calibri"/>
                <w:b w:val="0"/>
                <w:sz w:val="18"/>
                <w:szCs w:val="18"/>
                <w:lang w:val="en-US" w:eastAsia="en-US"/>
              </w:rPr>
              <w:t>գործառնություններ</w:t>
            </w:r>
          </w:p>
        </w:tc>
        <w:tc>
          <w:tcPr>
            <w:tcW w:w="1000" w:type="dxa"/>
            <w:tcBorders>
              <w:bottom w:val="single" w:sz="4" w:space="0" w:color="auto"/>
            </w:tcBorders>
            <w:shd w:val="clear" w:color="auto" w:fill="auto"/>
            <w:noWrap/>
            <w:vAlign w:val="center"/>
            <w:hideMark/>
          </w:tcPr>
          <w:p w14:paraId="0E4D18BF"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226.2</w:t>
            </w:r>
          </w:p>
        </w:tc>
        <w:tc>
          <w:tcPr>
            <w:tcW w:w="1000" w:type="dxa"/>
            <w:tcBorders>
              <w:bottom w:val="single" w:sz="4" w:space="0" w:color="auto"/>
            </w:tcBorders>
            <w:shd w:val="clear" w:color="auto" w:fill="auto"/>
            <w:noWrap/>
            <w:vAlign w:val="center"/>
            <w:hideMark/>
          </w:tcPr>
          <w:p w14:paraId="3EBB03AB"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216.3</w:t>
            </w:r>
          </w:p>
        </w:tc>
        <w:tc>
          <w:tcPr>
            <w:tcW w:w="1000" w:type="dxa"/>
            <w:tcBorders>
              <w:bottom w:val="single" w:sz="4" w:space="0" w:color="auto"/>
            </w:tcBorders>
            <w:shd w:val="clear" w:color="auto" w:fill="auto"/>
            <w:noWrap/>
            <w:vAlign w:val="center"/>
            <w:hideMark/>
          </w:tcPr>
          <w:p w14:paraId="27889E60"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380.4</w:t>
            </w:r>
          </w:p>
        </w:tc>
        <w:tc>
          <w:tcPr>
            <w:tcW w:w="1000" w:type="dxa"/>
            <w:tcBorders>
              <w:bottom w:val="single" w:sz="4" w:space="0" w:color="auto"/>
            </w:tcBorders>
            <w:shd w:val="clear" w:color="auto" w:fill="FFFFFF" w:themeFill="background1"/>
            <w:noWrap/>
            <w:vAlign w:val="center"/>
            <w:hideMark/>
          </w:tcPr>
          <w:p w14:paraId="3F3087E4"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562.1</w:t>
            </w:r>
          </w:p>
        </w:tc>
        <w:tc>
          <w:tcPr>
            <w:tcW w:w="1000" w:type="dxa"/>
            <w:tcBorders>
              <w:bottom w:val="single" w:sz="4" w:space="0" w:color="auto"/>
            </w:tcBorders>
            <w:shd w:val="clear" w:color="auto" w:fill="FFFFFF" w:themeFill="background1"/>
            <w:noWrap/>
            <w:vAlign w:val="center"/>
            <w:hideMark/>
          </w:tcPr>
          <w:p w14:paraId="43DA0673"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695.3</w:t>
            </w:r>
          </w:p>
        </w:tc>
      </w:tr>
      <w:tr w:rsidR="00730639" w:rsidRPr="00603957" w14:paraId="0A377DD7" w14:textId="77777777" w:rsidTr="00E94C66">
        <w:trPr>
          <w:trHeight w:val="675"/>
        </w:trPr>
        <w:tc>
          <w:tcPr>
            <w:tcW w:w="4000" w:type="dxa"/>
            <w:tcBorders>
              <w:top w:val="single" w:sz="4" w:space="0" w:color="auto"/>
              <w:bottom w:val="single" w:sz="4" w:space="0" w:color="auto"/>
            </w:tcBorders>
            <w:shd w:val="clear" w:color="auto" w:fill="auto"/>
            <w:vAlign w:val="center"/>
            <w:hideMark/>
          </w:tcPr>
          <w:p w14:paraId="255C3896" w14:textId="77777777" w:rsidR="00730639" w:rsidRPr="00603957" w:rsidRDefault="00730639" w:rsidP="00E94C66">
            <w:pPr>
              <w:spacing w:before="0" w:line="240" w:lineRule="auto"/>
              <w:jc w:val="left"/>
              <w:rPr>
                <w:rFonts w:cs="Calibri"/>
                <w:b w:val="0"/>
                <w:sz w:val="18"/>
                <w:szCs w:val="18"/>
                <w:lang w:val="en-US" w:eastAsia="en-US"/>
              </w:rPr>
            </w:pPr>
            <w:r w:rsidRPr="00603957">
              <w:rPr>
                <w:rFonts w:cs="Calibri"/>
                <w:b w:val="0"/>
                <w:sz w:val="18"/>
                <w:szCs w:val="18"/>
                <w:lang w:val="en-US" w:eastAsia="en-US"/>
              </w:rPr>
              <w:t>Պետական բյուջեի պակասուրդ(-) / պրոֆիցիտ (+)</w:t>
            </w:r>
          </w:p>
        </w:tc>
        <w:tc>
          <w:tcPr>
            <w:tcW w:w="1000" w:type="dxa"/>
            <w:tcBorders>
              <w:top w:val="single" w:sz="4" w:space="0" w:color="auto"/>
              <w:bottom w:val="single" w:sz="4" w:space="0" w:color="auto"/>
            </w:tcBorders>
            <w:shd w:val="clear" w:color="auto" w:fill="auto"/>
            <w:noWrap/>
            <w:vAlign w:val="center"/>
            <w:hideMark/>
          </w:tcPr>
          <w:p w14:paraId="5DF39900"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-334.0</w:t>
            </w:r>
          </w:p>
        </w:tc>
        <w:tc>
          <w:tcPr>
            <w:tcW w:w="1000" w:type="dxa"/>
            <w:tcBorders>
              <w:top w:val="single" w:sz="4" w:space="0" w:color="auto"/>
              <w:bottom w:val="single" w:sz="4" w:space="0" w:color="auto"/>
            </w:tcBorders>
            <w:shd w:val="clear" w:color="auto" w:fill="auto"/>
            <w:noWrap/>
            <w:vAlign w:val="center"/>
            <w:hideMark/>
          </w:tcPr>
          <w:p w14:paraId="65416BEA"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-320.5</w:t>
            </w:r>
          </w:p>
        </w:tc>
        <w:tc>
          <w:tcPr>
            <w:tcW w:w="1000" w:type="dxa"/>
            <w:tcBorders>
              <w:top w:val="single" w:sz="4" w:space="0" w:color="auto"/>
              <w:bottom w:val="single" w:sz="4" w:space="0" w:color="auto"/>
            </w:tcBorders>
            <w:shd w:val="clear" w:color="auto" w:fill="auto"/>
            <w:noWrap/>
            <w:vAlign w:val="center"/>
            <w:hideMark/>
          </w:tcPr>
          <w:p w14:paraId="19D5E4D3"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-179.5</w:t>
            </w:r>
          </w:p>
        </w:tc>
        <w:tc>
          <w:tcPr>
            <w:tcW w:w="1000" w:type="dxa"/>
            <w:tcBorders>
              <w:top w:val="single" w:sz="4" w:space="0" w:color="auto"/>
              <w:bottom w:val="single" w:sz="4" w:space="0" w:color="auto"/>
            </w:tcBorders>
            <w:shd w:val="clear" w:color="auto" w:fill="FFFFFF" w:themeFill="background1"/>
            <w:noWrap/>
            <w:vAlign w:val="center"/>
            <w:hideMark/>
          </w:tcPr>
          <w:p w14:paraId="3DB82CF2"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-245.3</w:t>
            </w:r>
          </w:p>
        </w:tc>
        <w:tc>
          <w:tcPr>
            <w:tcW w:w="1000" w:type="dxa"/>
            <w:tcBorders>
              <w:top w:val="single" w:sz="4" w:space="0" w:color="auto"/>
              <w:bottom w:val="single" w:sz="4" w:space="0" w:color="auto"/>
            </w:tcBorders>
            <w:shd w:val="clear" w:color="auto" w:fill="FFFFFF" w:themeFill="background1"/>
            <w:noWrap/>
            <w:vAlign w:val="center"/>
            <w:hideMark/>
          </w:tcPr>
          <w:p w14:paraId="5DA125E4"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-482.9</w:t>
            </w:r>
          </w:p>
        </w:tc>
      </w:tr>
      <w:tr w:rsidR="00730639" w:rsidRPr="00603957" w14:paraId="7BF93A0C" w14:textId="77777777" w:rsidTr="00E94C66">
        <w:trPr>
          <w:trHeight w:val="390"/>
        </w:trPr>
        <w:tc>
          <w:tcPr>
            <w:tcW w:w="4000" w:type="dxa"/>
            <w:tcBorders>
              <w:top w:val="single" w:sz="4" w:space="0" w:color="auto"/>
              <w:bottom w:val="single" w:sz="4" w:space="0" w:color="auto"/>
            </w:tcBorders>
            <w:shd w:val="clear" w:color="auto" w:fill="auto"/>
            <w:vAlign w:val="center"/>
            <w:hideMark/>
          </w:tcPr>
          <w:p w14:paraId="0DE344B3" w14:textId="77777777" w:rsidR="00730639" w:rsidRPr="00603957" w:rsidRDefault="00730639" w:rsidP="00E94C66">
            <w:pPr>
              <w:spacing w:before="0" w:line="240" w:lineRule="auto"/>
              <w:jc w:val="left"/>
              <w:rPr>
                <w:rFonts w:cs="Calibri"/>
                <w:b w:val="0"/>
                <w:sz w:val="18"/>
                <w:szCs w:val="18"/>
                <w:lang w:val="en-US" w:eastAsia="en-US"/>
              </w:rPr>
            </w:pPr>
            <w:r w:rsidRPr="00603957">
              <w:rPr>
                <w:rFonts w:cs="Calibri"/>
                <w:b w:val="0"/>
                <w:sz w:val="18"/>
                <w:szCs w:val="18"/>
                <w:lang w:val="en-US" w:eastAsia="en-US"/>
              </w:rPr>
              <w:t>Կառավարության պարտք</w:t>
            </w:r>
          </w:p>
        </w:tc>
        <w:tc>
          <w:tcPr>
            <w:tcW w:w="1000" w:type="dxa"/>
            <w:tcBorders>
              <w:top w:val="single" w:sz="4" w:space="0" w:color="auto"/>
              <w:bottom w:val="single" w:sz="4" w:space="0" w:color="auto"/>
            </w:tcBorders>
            <w:shd w:val="clear" w:color="auto" w:fill="auto"/>
            <w:noWrap/>
            <w:vAlign w:val="center"/>
            <w:hideMark/>
          </w:tcPr>
          <w:p w14:paraId="62CF4537"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3,923.9</w:t>
            </w:r>
          </w:p>
        </w:tc>
        <w:tc>
          <w:tcPr>
            <w:tcW w:w="1000" w:type="dxa"/>
            <w:tcBorders>
              <w:top w:val="single" w:sz="4" w:space="0" w:color="auto"/>
              <w:bottom w:val="single" w:sz="4" w:space="0" w:color="auto"/>
            </w:tcBorders>
            <w:shd w:val="clear" w:color="auto" w:fill="auto"/>
            <w:noWrap/>
            <w:vAlign w:val="center"/>
            <w:hideMark/>
          </w:tcPr>
          <w:p w14:paraId="449F460B"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4,209.8</w:t>
            </w:r>
          </w:p>
        </w:tc>
        <w:tc>
          <w:tcPr>
            <w:tcW w:w="1000" w:type="dxa"/>
            <w:tcBorders>
              <w:top w:val="single" w:sz="4" w:space="0" w:color="auto"/>
              <w:bottom w:val="single" w:sz="4" w:space="0" w:color="auto"/>
            </w:tcBorders>
            <w:shd w:val="clear" w:color="auto" w:fill="auto"/>
            <w:noWrap/>
            <w:vAlign w:val="center"/>
            <w:hideMark/>
          </w:tcPr>
          <w:p w14:paraId="2D4EDF86"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3,969.7</w:t>
            </w:r>
          </w:p>
        </w:tc>
        <w:tc>
          <w:tcPr>
            <w:tcW w:w="1000" w:type="dxa"/>
            <w:tcBorders>
              <w:top w:val="single" w:sz="4" w:space="0" w:color="auto"/>
              <w:bottom w:val="single" w:sz="4" w:space="0" w:color="auto"/>
            </w:tcBorders>
            <w:shd w:val="clear" w:color="auto" w:fill="FFFFFF" w:themeFill="background1"/>
            <w:noWrap/>
            <w:vAlign w:val="center"/>
            <w:hideMark/>
          </w:tcPr>
          <w:p w14:paraId="45E1F51D"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4,446.1</w:t>
            </w:r>
          </w:p>
        </w:tc>
        <w:tc>
          <w:tcPr>
            <w:tcW w:w="1000" w:type="dxa"/>
            <w:tcBorders>
              <w:top w:val="single" w:sz="4" w:space="0" w:color="auto"/>
              <w:bottom w:val="single" w:sz="4" w:space="0" w:color="auto"/>
            </w:tcBorders>
            <w:shd w:val="clear" w:color="auto" w:fill="FFFFFF" w:themeFill="background1"/>
            <w:noWrap/>
            <w:vAlign w:val="center"/>
            <w:hideMark/>
          </w:tcPr>
          <w:p w14:paraId="088546C9"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5,082.9</w:t>
            </w:r>
          </w:p>
        </w:tc>
      </w:tr>
      <w:tr w:rsidR="00730639" w:rsidRPr="00603957" w14:paraId="1D1CB5A6" w14:textId="77777777" w:rsidTr="00E94C66">
        <w:trPr>
          <w:trHeight w:val="315"/>
        </w:trPr>
        <w:tc>
          <w:tcPr>
            <w:tcW w:w="7000" w:type="dxa"/>
            <w:gridSpan w:val="4"/>
            <w:tcBorders>
              <w:top w:val="single" w:sz="4" w:space="0" w:color="auto"/>
            </w:tcBorders>
            <w:shd w:val="clear" w:color="auto" w:fill="auto"/>
            <w:noWrap/>
            <w:vAlign w:val="center"/>
            <w:hideMark/>
          </w:tcPr>
          <w:p w14:paraId="2334E4EF" w14:textId="77777777" w:rsidR="00730639" w:rsidRPr="00603957" w:rsidRDefault="00730639" w:rsidP="00E94C66">
            <w:pPr>
              <w:spacing w:before="0" w:line="240" w:lineRule="auto"/>
              <w:jc w:val="center"/>
              <w:rPr>
                <w:rFonts w:cs="Calibri"/>
                <w:b w:val="0"/>
                <w:i/>
                <w:iCs/>
                <w:sz w:val="18"/>
                <w:szCs w:val="18"/>
                <w:lang w:val="en-US" w:eastAsia="en-US"/>
              </w:rPr>
            </w:pPr>
            <w:r w:rsidRPr="00603957">
              <w:rPr>
                <w:rFonts w:cs="Calibri"/>
                <w:b w:val="0"/>
                <w:i/>
                <w:iCs/>
                <w:sz w:val="18"/>
                <w:szCs w:val="18"/>
                <w:lang w:val="en-US" w:eastAsia="en-US"/>
              </w:rPr>
              <w:t>կշիռը ՀՆԱ-ում, %</w:t>
            </w:r>
          </w:p>
        </w:tc>
        <w:tc>
          <w:tcPr>
            <w:tcW w:w="1000" w:type="dxa"/>
            <w:tcBorders>
              <w:top w:val="single" w:sz="4" w:space="0" w:color="auto"/>
            </w:tcBorders>
            <w:shd w:val="clear" w:color="auto" w:fill="FFFFFF" w:themeFill="background1"/>
            <w:noWrap/>
            <w:vAlign w:val="center"/>
            <w:hideMark/>
          </w:tcPr>
          <w:p w14:paraId="3F3F60FE" w14:textId="77777777" w:rsidR="00730639" w:rsidRPr="00603957" w:rsidRDefault="00730639" w:rsidP="00E94C66">
            <w:pPr>
              <w:spacing w:before="0" w:line="240" w:lineRule="auto"/>
              <w:jc w:val="right"/>
              <w:rPr>
                <w:rFonts w:ascii="Calibri" w:hAnsi="Calibri" w:cs="Calibri"/>
                <w:b w:val="0"/>
                <w:sz w:val="18"/>
                <w:szCs w:val="18"/>
                <w:lang w:val="en-US" w:eastAsia="en-US"/>
              </w:rPr>
            </w:pPr>
            <w:r w:rsidRPr="00603957">
              <w:rPr>
                <w:rFonts w:ascii="Calibri" w:hAnsi="Calibri" w:cs="Calibri"/>
                <w:b w:val="0"/>
                <w:sz w:val="18"/>
                <w:szCs w:val="18"/>
                <w:lang w:val="en-US" w:eastAsia="en-US"/>
              </w:rPr>
              <w:t> </w:t>
            </w:r>
          </w:p>
        </w:tc>
        <w:tc>
          <w:tcPr>
            <w:tcW w:w="1000" w:type="dxa"/>
            <w:tcBorders>
              <w:top w:val="single" w:sz="4" w:space="0" w:color="auto"/>
            </w:tcBorders>
            <w:shd w:val="clear" w:color="auto" w:fill="FFFFFF" w:themeFill="background1"/>
            <w:noWrap/>
            <w:vAlign w:val="center"/>
            <w:hideMark/>
          </w:tcPr>
          <w:p w14:paraId="7D78C4A4" w14:textId="77777777" w:rsidR="00730639" w:rsidRPr="00603957" w:rsidRDefault="00730639" w:rsidP="00E94C66">
            <w:pPr>
              <w:spacing w:before="0" w:line="240" w:lineRule="auto"/>
              <w:jc w:val="right"/>
              <w:rPr>
                <w:rFonts w:ascii="Calibri" w:hAnsi="Calibri" w:cs="Calibri"/>
                <w:b w:val="0"/>
                <w:sz w:val="18"/>
                <w:szCs w:val="18"/>
                <w:lang w:val="en-US" w:eastAsia="en-US"/>
              </w:rPr>
            </w:pPr>
            <w:r w:rsidRPr="00603957">
              <w:rPr>
                <w:rFonts w:ascii="Calibri" w:hAnsi="Calibri" w:cs="Calibri"/>
                <w:b w:val="0"/>
                <w:sz w:val="18"/>
                <w:szCs w:val="18"/>
                <w:lang w:val="en-US" w:eastAsia="en-US"/>
              </w:rPr>
              <w:t> </w:t>
            </w:r>
          </w:p>
        </w:tc>
      </w:tr>
      <w:tr w:rsidR="00730639" w:rsidRPr="00603957" w14:paraId="11369194" w14:textId="77777777" w:rsidTr="00E94C66">
        <w:trPr>
          <w:trHeight w:val="345"/>
        </w:trPr>
        <w:tc>
          <w:tcPr>
            <w:tcW w:w="4000" w:type="dxa"/>
            <w:shd w:val="clear" w:color="auto" w:fill="auto"/>
            <w:vAlign w:val="center"/>
            <w:hideMark/>
          </w:tcPr>
          <w:p w14:paraId="717174B2" w14:textId="77777777" w:rsidR="00730639" w:rsidRPr="00603957" w:rsidRDefault="00730639" w:rsidP="00E94C66">
            <w:pPr>
              <w:spacing w:before="0" w:line="240" w:lineRule="auto"/>
              <w:jc w:val="left"/>
              <w:rPr>
                <w:rFonts w:cs="Calibri"/>
                <w:b w:val="0"/>
                <w:sz w:val="18"/>
                <w:szCs w:val="18"/>
                <w:lang w:val="en-US" w:eastAsia="en-US"/>
              </w:rPr>
            </w:pPr>
            <w:r w:rsidRPr="00603957">
              <w:rPr>
                <w:rFonts w:cs="Calibri"/>
                <w:b w:val="0"/>
                <w:sz w:val="18"/>
                <w:szCs w:val="18"/>
                <w:lang w:val="en-US" w:eastAsia="en-US"/>
              </w:rPr>
              <w:t>Պետական բյուջեի եկամուտներ</w:t>
            </w:r>
          </w:p>
        </w:tc>
        <w:tc>
          <w:tcPr>
            <w:tcW w:w="1000" w:type="dxa"/>
            <w:shd w:val="clear" w:color="auto" w:fill="auto"/>
            <w:noWrap/>
            <w:vAlign w:val="center"/>
            <w:hideMark/>
          </w:tcPr>
          <w:p w14:paraId="2896D73D"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25.5</w:t>
            </w:r>
          </w:p>
        </w:tc>
        <w:tc>
          <w:tcPr>
            <w:tcW w:w="1000" w:type="dxa"/>
            <w:shd w:val="clear" w:color="auto" w:fill="auto"/>
            <w:noWrap/>
            <w:vAlign w:val="center"/>
            <w:hideMark/>
          </w:tcPr>
          <w:p w14:paraId="3DCBFB54"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24.4</w:t>
            </w:r>
          </w:p>
        </w:tc>
        <w:tc>
          <w:tcPr>
            <w:tcW w:w="1000" w:type="dxa"/>
            <w:shd w:val="clear" w:color="auto" w:fill="auto"/>
            <w:noWrap/>
            <w:vAlign w:val="center"/>
            <w:hideMark/>
          </w:tcPr>
          <w:p w14:paraId="557599E2"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24.7</w:t>
            </w:r>
          </w:p>
        </w:tc>
        <w:tc>
          <w:tcPr>
            <w:tcW w:w="1000" w:type="dxa"/>
            <w:shd w:val="clear" w:color="auto" w:fill="FFFFFF" w:themeFill="background1"/>
            <w:noWrap/>
            <w:vAlign w:val="center"/>
            <w:hideMark/>
          </w:tcPr>
          <w:p w14:paraId="1B9D612C"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25.5</w:t>
            </w:r>
          </w:p>
        </w:tc>
        <w:tc>
          <w:tcPr>
            <w:tcW w:w="1000" w:type="dxa"/>
            <w:shd w:val="clear" w:color="auto" w:fill="FFFFFF" w:themeFill="background1"/>
            <w:noWrap/>
            <w:vAlign w:val="center"/>
            <w:hideMark/>
          </w:tcPr>
          <w:p w14:paraId="7FA5A84D"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25.9</w:t>
            </w:r>
          </w:p>
        </w:tc>
      </w:tr>
      <w:tr w:rsidR="00730639" w:rsidRPr="00603957" w14:paraId="15DF159C" w14:textId="77777777" w:rsidTr="00E94C66">
        <w:trPr>
          <w:trHeight w:val="360"/>
        </w:trPr>
        <w:tc>
          <w:tcPr>
            <w:tcW w:w="4000" w:type="dxa"/>
            <w:shd w:val="clear" w:color="auto" w:fill="auto"/>
            <w:vAlign w:val="center"/>
            <w:hideMark/>
          </w:tcPr>
          <w:p w14:paraId="757B9B20" w14:textId="77777777" w:rsidR="00730639" w:rsidRPr="00603957" w:rsidRDefault="00730639" w:rsidP="00E94C66">
            <w:pPr>
              <w:spacing w:before="0" w:line="240" w:lineRule="auto"/>
              <w:ind w:firstLineChars="100" w:firstLine="180"/>
              <w:jc w:val="left"/>
              <w:rPr>
                <w:rFonts w:cs="Calibri"/>
                <w:b w:val="0"/>
                <w:sz w:val="18"/>
                <w:szCs w:val="18"/>
                <w:lang w:val="en-US" w:eastAsia="en-US"/>
              </w:rPr>
            </w:pPr>
            <w:r w:rsidRPr="00603957">
              <w:rPr>
                <w:rFonts w:cs="Calibri"/>
                <w:b w:val="0"/>
                <w:sz w:val="18"/>
                <w:szCs w:val="18"/>
                <w:lang w:val="en-US" w:eastAsia="en-US"/>
              </w:rPr>
              <w:t>Հարկային եկամուտներ և տուրքեր</w:t>
            </w:r>
          </w:p>
        </w:tc>
        <w:tc>
          <w:tcPr>
            <w:tcW w:w="1000" w:type="dxa"/>
            <w:shd w:val="clear" w:color="auto" w:fill="auto"/>
            <w:noWrap/>
            <w:vAlign w:val="center"/>
            <w:hideMark/>
          </w:tcPr>
          <w:p w14:paraId="21FB1BF4"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22.6</w:t>
            </w:r>
          </w:p>
        </w:tc>
        <w:tc>
          <w:tcPr>
            <w:tcW w:w="1000" w:type="dxa"/>
            <w:shd w:val="clear" w:color="auto" w:fill="auto"/>
            <w:noWrap/>
            <w:vAlign w:val="center"/>
            <w:hideMark/>
          </w:tcPr>
          <w:p w14:paraId="396C26E6"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23.0</w:t>
            </w:r>
          </w:p>
        </w:tc>
        <w:tc>
          <w:tcPr>
            <w:tcW w:w="1000" w:type="dxa"/>
            <w:shd w:val="clear" w:color="auto" w:fill="auto"/>
            <w:noWrap/>
            <w:vAlign w:val="center"/>
            <w:hideMark/>
          </w:tcPr>
          <w:p w14:paraId="051D156F"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23.1</w:t>
            </w:r>
          </w:p>
        </w:tc>
        <w:tc>
          <w:tcPr>
            <w:tcW w:w="1000" w:type="dxa"/>
            <w:shd w:val="clear" w:color="auto" w:fill="FFFFFF" w:themeFill="background1"/>
            <w:noWrap/>
            <w:vAlign w:val="center"/>
            <w:hideMark/>
          </w:tcPr>
          <w:p w14:paraId="47CBE890"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24.1</w:t>
            </w:r>
          </w:p>
        </w:tc>
        <w:tc>
          <w:tcPr>
            <w:tcW w:w="1000" w:type="dxa"/>
            <w:shd w:val="clear" w:color="auto" w:fill="FFFFFF" w:themeFill="background1"/>
            <w:noWrap/>
            <w:vAlign w:val="center"/>
            <w:hideMark/>
          </w:tcPr>
          <w:p w14:paraId="74A5C0B7"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24.9</w:t>
            </w:r>
          </w:p>
        </w:tc>
      </w:tr>
      <w:tr w:rsidR="00730639" w:rsidRPr="00603957" w14:paraId="0EC18C9A" w14:textId="77777777" w:rsidTr="00E94C66">
        <w:trPr>
          <w:trHeight w:val="555"/>
        </w:trPr>
        <w:tc>
          <w:tcPr>
            <w:tcW w:w="4000" w:type="dxa"/>
            <w:shd w:val="clear" w:color="auto" w:fill="auto"/>
            <w:vAlign w:val="center"/>
            <w:hideMark/>
          </w:tcPr>
          <w:p w14:paraId="2A4CAF28" w14:textId="77777777" w:rsidR="00730639" w:rsidRPr="00603957" w:rsidRDefault="00730639" w:rsidP="00E94C66">
            <w:pPr>
              <w:spacing w:before="0" w:line="240" w:lineRule="auto"/>
              <w:ind w:firstLineChars="300" w:firstLine="540"/>
              <w:jc w:val="left"/>
              <w:rPr>
                <w:rFonts w:cs="Calibri"/>
                <w:b w:val="0"/>
                <w:sz w:val="18"/>
                <w:szCs w:val="18"/>
                <w:lang w:eastAsia="en-US"/>
              </w:rPr>
            </w:pPr>
            <w:r w:rsidRPr="00603957">
              <w:rPr>
                <w:rFonts w:cs="Calibri"/>
                <w:b w:val="0"/>
                <w:sz w:val="18"/>
                <w:szCs w:val="18"/>
                <w:lang w:val="en-US" w:eastAsia="en-US"/>
              </w:rPr>
              <w:t>որից</w:t>
            </w:r>
            <w:r w:rsidRPr="00603957">
              <w:rPr>
                <w:rFonts w:cs="Calibri"/>
                <w:b w:val="0"/>
                <w:sz w:val="18"/>
                <w:szCs w:val="18"/>
                <w:lang w:eastAsia="en-US"/>
              </w:rPr>
              <w:t xml:space="preserve"> </w:t>
            </w:r>
            <w:r w:rsidRPr="00603957">
              <w:rPr>
                <w:rFonts w:cs="Calibri"/>
                <w:b w:val="0"/>
                <w:sz w:val="18"/>
                <w:szCs w:val="18"/>
                <w:lang w:val="en-US" w:eastAsia="en-US"/>
              </w:rPr>
              <w:t>հիպոթեքի</w:t>
            </w:r>
            <w:r w:rsidRPr="00603957">
              <w:rPr>
                <w:rFonts w:cs="Calibri"/>
                <w:b w:val="0"/>
                <w:sz w:val="18"/>
                <w:szCs w:val="18"/>
                <w:lang w:eastAsia="en-US"/>
              </w:rPr>
              <w:t xml:space="preserve"> </w:t>
            </w:r>
            <w:r w:rsidRPr="00603957">
              <w:rPr>
                <w:rFonts w:cs="Calibri"/>
                <w:b w:val="0"/>
                <w:sz w:val="18"/>
                <w:szCs w:val="18"/>
                <w:lang w:val="en-US" w:eastAsia="en-US"/>
              </w:rPr>
              <w:t>տոկոսագումարների</w:t>
            </w:r>
            <w:r w:rsidRPr="00603957">
              <w:rPr>
                <w:rFonts w:cs="Calibri"/>
                <w:b w:val="0"/>
                <w:sz w:val="18"/>
                <w:szCs w:val="18"/>
                <w:lang w:eastAsia="en-US"/>
              </w:rPr>
              <w:t xml:space="preserve"> </w:t>
            </w:r>
            <w:r w:rsidRPr="00603957">
              <w:rPr>
                <w:rFonts w:cs="Calibri"/>
                <w:b w:val="0"/>
                <w:sz w:val="18"/>
                <w:szCs w:val="18"/>
                <w:lang w:val="en-US" w:eastAsia="en-US"/>
              </w:rPr>
              <w:t>գծով</w:t>
            </w:r>
            <w:r w:rsidRPr="00603957">
              <w:rPr>
                <w:rFonts w:cs="Calibri"/>
                <w:b w:val="0"/>
                <w:sz w:val="18"/>
                <w:szCs w:val="18"/>
                <w:lang w:eastAsia="en-US"/>
              </w:rPr>
              <w:t xml:space="preserve"> </w:t>
            </w:r>
            <w:r w:rsidRPr="00603957">
              <w:rPr>
                <w:rFonts w:cs="Calibri"/>
                <w:b w:val="0"/>
                <w:sz w:val="18"/>
                <w:szCs w:val="18"/>
                <w:lang w:val="en-US" w:eastAsia="en-US"/>
              </w:rPr>
              <w:t>եկամտային</w:t>
            </w:r>
            <w:r w:rsidRPr="00603957">
              <w:rPr>
                <w:rFonts w:cs="Calibri"/>
                <w:b w:val="0"/>
                <w:sz w:val="18"/>
                <w:szCs w:val="18"/>
                <w:lang w:eastAsia="en-US"/>
              </w:rPr>
              <w:t xml:space="preserve"> </w:t>
            </w:r>
            <w:r w:rsidRPr="00603957">
              <w:rPr>
                <w:rFonts w:cs="Calibri"/>
                <w:b w:val="0"/>
                <w:sz w:val="18"/>
                <w:szCs w:val="18"/>
                <w:lang w:val="en-US" w:eastAsia="en-US"/>
              </w:rPr>
              <w:t>հարկի</w:t>
            </w:r>
            <w:r w:rsidRPr="00603957">
              <w:rPr>
                <w:rFonts w:cs="Calibri"/>
                <w:b w:val="0"/>
                <w:sz w:val="18"/>
                <w:szCs w:val="18"/>
                <w:lang w:eastAsia="en-US"/>
              </w:rPr>
              <w:t xml:space="preserve"> </w:t>
            </w:r>
            <w:r w:rsidRPr="00603957">
              <w:rPr>
                <w:rFonts w:cs="Calibri"/>
                <w:b w:val="0"/>
                <w:sz w:val="18"/>
                <w:szCs w:val="18"/>
                <w:lang w:val="en-US" w:eastAsia="en-US"/>
              </w:rPr>
              <w:t>վերադարձ</w:t>
            </w:r>
          </w:p>
        </w:tc>
        <w:tc>
          <w:tcPr>
            <w:tcW w:w="1000" w:type="dxa"/>
            <w:shd w:val="clear" w:color="auto" w:fill="auto"/>
            <w:noWrap/>
            <w:vAlign w:val="center"/>
            <w:hideMark/>
          </w:tcPr>
          <w:p w14:paraId="5AE84ED2" w14:textId="77777777" w:rsidR="00730639" w:rsidRPr="00603957" w:rsidRDefault="00730639" w:rsidP="00E94C66">
            <w:pPr>
              <w:spacing w:before="0" w:line="240" w:lineRule="auto"/>
              <w:jc w:val="right"/>
              <w:rPr>
                <w:rFonts w:cs="Calibri"/>
                <w:b w:val="0"/>
                <w:sz w:val="18"/>
                <w:szCs w:val="18"/>
                <w:lang w:val="hy-AM" w:eastAsia="en-US"/>
              </w:rPr>
            </w:pPr>
            <w:r w:rsidRPr="00603957">
              <w:rPr>
                <w:rFonts w:cs="Calibri"/>
                <w:b w:val="0"/>
                <w:sz w:val="18"/>
                <w:szCs w:val="18"/>
                <w:lang w:val="hy-AM" w:eastAsia="en-US"/>
              </w:rPr>
              <w:t>0.2</w:t>
            </w:r>
          </w:p>
        </w:tc>
        <w:tc>
          <w:tcPr>
            <w:tcW w:w="1000" w:type="dxa"/>
            <w:shd w:val="clear" w:color="auto" w:fill="auto"/>
            <w:noWrap/>
            <w:vAlign w:val="center"/>
            <w:hideMark/>
          </w:tcPr>
          <w:p w14:paraId="1D24BE76" w14:textId="77777777" w:rsidR="00730639" w:rsidRPr="00603957" w:rsidRDefault="00730639" w:rsidP="00E94C66">
            <w:pPr>
              <w:spacing w:before="0" w:line="240" w:lineRule="auto"/>
              <w:jc w:val="right"/>
              <w:rPr>
                <w:rFonts w:cs="Calibri"/>
                <w:b w:val="0"/>
                <w:sz w:val="18"/>
                <w:szCs w:val="18"/>
                <w:lang w:val="hy-AM" w:eastAsia="en-US"/>
              </w:rPr>
            </w:pPr>
            <w:r w:rsidRPr="00603957">
              <w:rPr>
                <w:rFonts w:cs="Calibri"/>
                <w:b w:val="0"/>
                <w:sz w:val="18"/>
                <w:szCs w:val="18"/>
                <w:lang w:val="hy-AM" w:eastAsia="en-US"/>
              </w:rPr>
              <w:t>0.3</w:t>
            </w:r>
          </w:p>
        </w:tc>
        <w:tc>
          <w:tcPr>
            <w:tcW w:w="1000" w:type="dxa"/>
            <w:shd w:val="clear" w:color="auto" w:fill="auto"/>
            <w:noWrap/>
            <w:vAlign w:val="center"/>
            <w:hideMark/>
          </w:tcPr>
          <w:p w14:paraId="25AB651F" w14:textId="77777777" w:rsidR="00730639" w:rsidRPr="00603957" w:rsidRDefault="00730639" w:rsidP="00E94C66">
            <w:pPr>
              <w:spacing w:before="0" w:line="240" w:lineRule="auto"/>
              <w:jc w:val="right"/>
              <w:rPr>
                <w:rFonts w:cs="Calibri"/>
                <w:b w:val="0"/>
                <w:sz w:val="18"/>
                <w:szCs w:val="18"/>
                <w:lang w:val="hy-AM" w:eastAsia="en-US"/>
              </w:rPr>
            </w:pPr>
            <w:r w:rsidRPr="00603957">
              <w:rPr>
                <w:rFonts w:cs="Calibri"/>
                <w:b w:val="0"/>
                <w:sz w:val="18"/>
                <w:szCs w:val="18"/>
                <w:lang w:val="hy-AM" w:eastAsia="en-US"/>
              </w:rPr>
              <w:t>0.4</w:t>
            </w:r>
          </w:p>
        </w:tc>
        <w:tc>
          <w:tcPr>
            <w:tcW w:w="1000" w:type="dxa"/>
            <w:shd w:val="clear" w:color="auto" w:fill="FFFFFF" w:themeFill="background1"/>
            <w:noWrap/>
            <w:vAlign w:val="center"/>
            <w:hideMark/>
          </w:tcPr>
          <w:p w14:paraId="3B532F34" w14:textId="77777777" w:rsidR="00730639" w:rsidRPr="00603957" w:rsidRDefault="00730639" w:rsidP="00E94C66">
            <w:pPr>
              <w:spacing w:before="0" w:line="240" w:lineRule="auto"/>
              <w:jc w:val="right"/>
              <w:rPr>
                <w:rFonts w:cs="Calibri"/>
                <w:b w:val="0"/>
                <w:sz w:val="18"/>
                <w:szCs w:val="18"/>
                <w:lang w:val="hy-AM" w:eastAsia="en-US"/>
              </w:rPr>
            </w:pPr>
            <w:r w:rsidRPr="00603957">
              <w:rPr>
                <w:rFonts w:cs="Calibri"/>
                <w:b w:val="0"/>
                <w:sz w:val="18"/>
                <w:szCs w:val="18"/>
                <w:lang w:val="hy-AM" w:eastAsia="en-US"/>
              </w:rPr>
              <w:t>0.6</w:t>
            </w:r>
          </w:p>
        </w:tc>
        <w:tc>
          <w:tcPr>
            <w:tcW w:w="1000" w:type="dxa"/>
            <w:shd w:val="clear" w:color="auto" w:fill="FFFFFF" w:themeFill="background1"/>
            <w:noWrap/>
            <w:vAlign w:val="center"/>
            <w:hideMark/>
          </w:tcPr>
          <w:p w14:paraId="0146A8AC" w14:textId="77777777" w:rsidR="00730639" w:rsidRPr="00603957" w:rsidRDefault="00730639" w:rsidP="00E94C66">
            <w:pPr>
              <w:spacing w:before="0" w:line="240" w:lineRule="auto"/>
              <w:jc w:val="right"/>
              <w:rPr>
                <w:rFonts w:cs="Calibri"/>
                <w:b w:val="0"/>
                <w:sz w:val="18"/>
                <w:szCs w:val="18"/>
                <w:lang w:val="hy-AM" w:eastAsia="en-US"/>
              </w:rPr>
            </w:pPr>
            <w:r w:rsidRPr="00603957">
              <w:rPr>
                <w:rFonts w:cs="Calibri"/>
                <w:b w:val="0"/>
                <w:sz w:val="18"/>
                <w:szCs w:val="18"/>
                <w:lang w:val="hy-AM" w:eastAsia="en-US"/>
              </w:rPr>
              <w:t>0.7</w:t>
            </w:r>
          </w:p>
        </w:tc>
      </w:tr>
      <w:tr w:rsidR="00730639" w:rsidRPr="00603957" w14:paraId="7247A1B3" w14:textId="77777777" w:rsidTr="00E94C66">
        <w:trPr>
          <w:trHeight w:val="345"/>
        </w:trPr>
        <w:tc>
          <w:tcPr>
            <w:tcW w:w="4000" w:type="dxa"/>
            <w:tcBorders>
              <w:bottom w:val="single" w:sz="4" w:space="0" w:color="auto"/>
            </w:tcBorders>
            <w:shd w:val="clear" w:color="auto" w:fill="auto"/>
            <w:vAlign w:val="center"/>
            <w:hideMark/>
          </w:tcPr>
          <w:p w14:paraId="323BB9AD" w14:textId="77777777" w:rsidR="00730639" w:rsidRPr="00603957" w:rsidRDefault="00730639" w:rsidP="00E94C66">
            <w:pPr>
              <w:spacing w:before="0" w:line="240" w:lineRule="auto"/>
              <w:jc w:val="left"/>
              <w:rPr>
                <w:rFonts w:cs="Calibri"/>
                <w:b w:val="0"/>
                <w:sz w:val="18"/>
                <w:szCs w:val="18"/>
                <w:lang w:val="en-US" w:eastAsia="en-US"/>
              </w:rPr>
            </w:pPr>
            <w:r w:rsidRPr="00603957">
              <w:rPr>
                <w:rFonts w:cs="Calibri"/>
                <w:b w:val="0"/>
                <w:sz w:val="18"/>
                <w:szCs w:val="18"/>
                <w:lang w:val="en-US" w:eastAsia="en-US"/>
              </w:rPr>
              <w:t>Պետական բյուջեի ծախսեր</w:t>
            </w:r>
          </w:p>
        </w:tc>
        <w:tc>
          <w:tcPr>
            <w:tcW w:w="1000" w:type="dxa"/>
            <w:tcBorders>
              <w:bottom w:val="single" w:sz="4" w:space="0" w:color="auto"/>
            </w:tcBorders>
            <w:shd w:val="clear" w:color="auto" w:fill="auto"/>
            <w:noWrap/>
            <w:vAlign w:val="center"/>
            <w:hideMark/>
          </w:tcPr>
          <w:p w14:paraId="384EFD00"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30.9</w:t>
            </w:r>
          </w:p>
        </w:tc>
        <w:tc>
          <w:tcPr>
            <w:tcW w:w="1000" w:type="dxa"/>
            <w:tcBorders>
              <w:bottom w:val="single" w:sz="4" w:space="0" w:color="auto"/>
            </w:tcBorders>
            <w:shd w:val="clear" w:color="auto" w:fill="auto"/>
            <w:noWrap/>
            <w:vAlign w:val="center"/>
            <w:hideMark/>
          </w:tcPr>
          <w:p w14:paraId="494CAE59"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29.0</w:t>
            </w:r>
          </w:p>
        </w:tc>
        <w:tc>
          <w:tcPr>
            <w:tcW w:w="1000" w:type="dxa"/>
            <w:tcBorders>
              <w:bottom w:val="single" w:sz="4" w:space="0" w:color="auto"/>
            </w:tcBorders>
            <w:shd w:val="clear" w:color="auto" w:fill="auto"/>
            <w:noWrap/>
            <w:vAlign w:val="center"/>
            <w:hideMark/>
          </w:tcPr>
          <w:p w14:paraId="1DC9571D"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26.8</w:t>
            </w:r>
          </w:p>
        </w:tc>
        <w:tc>
          <w:tcPr>
            <w:tcW w:w="1000" w:type="dxa"/>
            <w:tcBorders>
              <w:bottom w:val="single" w:sz="4" w:space="0" w:color="auto"/>
            </w:tcBorders>
            <w:shd w:val="clear" w:color="auto" w:fill="FFFFFF" w:themeFill="background1"/>
            <w:noWrap/>
            <w:vAlign w:val="center"/>
            <w:hideMark/>
          </w:tcPr>
          <w:p w14:paraId="501FB1A6"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28.1</w:t>
            </w:r>
          </w:p>
        </w:tc>
        <w:tc>
          <w:tcPr>
            <w:tcW w:w="1000" w:type="dxa"/>
            <w:tcBorders>
              <w:bottom w:val="single" w:sz="4" w:space="0" w:color="auto"/>
            </w:tcBorders>
            <w:shd w:val="clear" w:color="auto" w:fill="FFFFFF" w:themeFill="background1"/>
            <w:noWrap/>
            <w:vAlign w:val="center"/>
            <w:hideMark/>
          </w:tcPr>
          <w:p w14:paraId="6AEF1D65"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30.5</w:t>
            </w:r>
          </w:p>
        </w:tc>
      </w:tr>
      <w:tr w:rsidR="00730639" w:rsidRPr="00603957" w14:paraId="5A8417B5" w14:textId="77777777" w:rsidTr="00E94C66">
        <w:trPr>
          <w:trHeight w:val="345"/>
        </w:trPr>
        <w:tc>
          <w:tcPr>
            <w:tcW w:w="4000" w:type="dxa"/>
            <w:tcBorders>
              <w:top w:val="single" w:sz="4" w:space="0" w:color="auto"/>
            </w:tcBorders>
            <w:shd w:val="clear" w:color="auto" w:fill="auto"/>
            <w:vAlign w:val="center"/>
            <w:hideMark/>
          </w:tcPr>
          <w:p w14:paraId="41135387" w14:textId="77777777" w:rsidR="00730639" w:rsidRPr="00603957" w:rsidRDefault="00730639" w:rsidP="00E94C66">
            <w:pPr>
              <w:spacing w:before="0" w:line="240" w:lineRule="auto"/>
              <w:ind w:firstLineChars="100" w:firstLine="180"/>
              <w:jc w:val="left"/>
              <w:rPr>
                <w:rFonts w:cs="Calibri"/>
                <w:b w:val="0"/>
                <w:sz w:val="18"/>
                <w:szCs w:val="18"/>
                <w:lang w:val="en-US" w:eastAsia="en-US"/>
              </w:rPr>
            </w:pPr>
            <w:r w:rsidRPr="00603957">
              <w:rPr>
                <w:rFonts w:cs="Calibri"/>
                <w:b w:val="0"/>
                <w:sz w:val="18"/>
                <w:szCs w:val="18"/>
                <w:lang w:val="en-US" w:eastAsia="en-US"/>
              </w:rPr>
              <w:t>Ընթացիկ ծախսեր</w:t>
            </w:r>
          </w:p>
        </w:tc>
        <w:tc>
          <w:tcPr>
            <w:tcW w:w="1000" w:type="dxa"/>
            <w:tcBorders>
              <w:top w:val="single" w:sz="4" w:space="0" w:color="auto"/>
            </w:tcBorders>
            <w:shd w:val="clear" w:color="auto" w:fill="auto"/>
            <w:noWrap/>
            <w:vAlign w:val="center"/>
            <w:hideMark/>
          </w:tcPr>
          <w:p w14:paraId="1D78337E"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27.2</w:t>
            </w:r>
          </w:p>
        </w:tc>
        <w:tc>
          <w:tcPr>
            <w:tcW w:w="1000" w:type="dxa"/>
            <w:tcBorders>
              <w:top w:val="single" w:sz="4" w:space="0" w:color="auto"/>
            </w:tcBorders>
            <w:shd w:val="clear" w:color="auto" w:fill="auto"/>
            <w:noWrap/>
            <w:vAlign w:val="center"/>
            <w:hideMark/>
          </w:tcPr>
          <w:p w14:paraId="275C2D42"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25.9</w:t>
            </w:r>
          </w:p>
        </w:tc>
        <w:tc>
          <w:tcPr>
            <w:tcW w:w="1000" w:type="dxa"/>
            <w:tcBorders>
              <w:top w:val="single" w:sz="4" w:space="0" w:color="auto"/>
            </w:tcBorders>
            <w:shd w:val="clear" w:color="auto" w:fill="auto"/>
            <w:noWrap/>
            <w:vAlign w:val="center"/>
            <w:hideMark/>
          </w:tcPr>
          <w:p w14:paraId="16411791"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22.3</w:t>
            </w:r>
          </w:p>
        </w:tc>
        <w:tc>
          <w:tcPr>
            <w:tcW w:w="1000" w:type="dxa"/>
            <w:tcBorders>
              <w:top w:val="single" w:sz="4" w:space="0" w:color="auto"/>
            </w:tcBorders>
            <w:shd w:val="clear" w:color="auto" w:fill="FFFFFF" w:themeFill="background1"/>
            <w:noWrap/>
            <w:vAlign w:val="center"/>
            <w:hideMark/>
          </w:tcPr>
          <w:p w14:paraId="5A31E04E"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22.1</w:t>
            </w:r>
          </w:p>
        </w:tc>
        <w:tc>
          <w:tcPr>
            <w:tcW w:w="1000" w:type="dxa"/>
            <w:tcBorders>
              <w:top w:val="single" w:sz="4" w:space="0" w:color="auto"/>
            </w:tcBorders>
            <w:shd w:val="clear" w:color="auto" w:fill="FFFFFF" w:themeFill="background1"/>
            <w:noWrap/>
            <w:vAlign w:val="center"/>
            <w:hideMark/>
          </w:tcPr>
          <w:p w14:paraId="4676E6E1"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23.9</w:t>
            </w:r>
          </w:p>
        </w:tc>
      </w:tr>
      <w:tr w:rsidR="00730639" w:rsidRPr="00603957" w14:paraId="1DA45768" w14:textId="77777777" w:rsidTr="00E94C66">
        <w:trPr>
          <w:trHeight w:val="555"/>
        </w:trPr>
        <w:tc>
          <w:tcPr>
            <w:tcW w:w="4000" w:type="dxa"/>
            <w:shd w:val="clear" w:color="auto" w:fill="auto"/>
            <w:vAlign w:val="center"/>
            <w:hideMark/>
          </w:tcPr>
          <w:p w14:paraId="188E7005" w14:textId="77777777" w:rsidR="00730639" w:rsidRPr="00603957" w:rsidRDefault="00730639" w:rsidP="00E94C66">
            <w:pPr>
              <w:spacing w:before="0" w:line="240" w:lineRule="auto"/>
              <w:ind w:firstLineChars="300" w:firstLine="540"/>
              <w:jc w:val="left"/>
              <w:rPr>
                <w:rFonts w:cs="Calibri"/>
                <w:b w:val="0"/>
                <w:sz w:val="18"/>
                <w:szCs w:val="18"/>
                <w:lang w:eastAsia="en-US"/>
              </w:rPr>
            </w:pPr>
            <w:r w:rsidRPr="00603957">
              <w:rPr>
                <w:rFonts w:cs="Calibri"/>
                <w:b w:val="0"/>
                <w:sz w:val="18"/>
                <w:szCs w:val="18"/>
                <w:lang w:val="en-US" w:eastAsia="en-US"/>
              </w:rPr>
              <w:t>որից</w:t>
            </w:r>
            <w:r w:rsidRPr="00603957">
              <w:rPr>
                <w:rFonts w:cs="Calibri"/>
                <w:b w:val="0"/>
                <w:sz w:val="18"/>
                <w:szCs w:val="18"/>
                <w:lang w:eastAsia="en-US"/>
              </w:rPr>
              <w:t xml:space="preserve"> </w:t>
            </w:r>
            <w:r w:rsidRPr="00603957">
              <w:rPr>
                <w:rFonts w:cs="Calibri"/>
                <w:b w:val="0"/>
                <w:sz w:val="18"/>
                <w:szCs w:val="18"/>
                <w:lang w:val="en-US" w:eastAsia="en-US"/>
              </w:rPr>
              <w:t>հիպոթեքի</w:t>
            </w:r>
            <w:r w:rsidRPr="00603957">
              <w:rPr>
                <w:rFonts w:cs="Calibri"/>
                <w:b w:val="0"/>
                <w:sz w:val="18"/>
                <w:szCs w:val="18"/>
                <w:lang w:eastAsia="en-US"/>
              </w:rPr>
              <w:t xml:space="preserve"> </w:t>
            </w:r>
            <w:r w:rsidRPr="00603957">
              <w:rPr>
                <w:rFonts w:cs="Calibri"/>
                <w:b w:val="0"/>
                <w:sz w:val="18"/>
                <w:szCs w:val="18"/>
                <w:lang w:val="en-US" w:eastAsia="en-US"/>
              </w:rPr>
              <w:t>տոկոսագումարների</w:t>
            </w:r>
            <w:r w:rsidRPr="00603957">
              <w:rPr>
                <w:rFonts w:cs="Calibri"/>
                <w:b w:val="0"/>
                <w:sz w:val="18"/>
                <w:szCs w:val="18"/>
                <w:lang w:eastAsia="en-US"/>
              </w:rPr>
              <w:t xml:space="preserve"> </w:t>
            </w:r>
            <w:r w:rsidRPr="00603957">
              <w:rPr>
                <w:rFonts w:cs="Calibri"/>
                <w:b w:val="0"/>
                <w:sz w:val="18"/>
                <w:szCs w:val="18"/>
                <w:lang w:val="en-US" w:eastAsia="en-US"/>
              </w:rPr>
              <w:t>գծով</w:t>
            </w:r>
            <w:r w:rsidRPr="00603957">
              <w:rPr>
                <w:rFonts w:cs="Calibri"/>
                <w:b w:val="0"/>
                <w:sz w:val="18"/>
                <w:szCs w:val="18"/>
                <w:lang w:eastAsia="en-US"/>
              </w:rPr>
              <w:t xml:space="preserve"> </w:t>
            </w:r>
            <w:r w:rsidRPr="00603957">
              <w:rPr>
                <w:rFonts w:cs="Calibri"/>
                <w:b w:val="0"/>
                <w:sz w:val="18"/>
                <w:szCs w:val="18"/>
                <w:lang w:val="en-US" w:eastAsia="en-US"/>
              </w:rPr>
              <w:t>եկամտային</w:t>
            </w:r>
            <w:r w:rsidRPr="00603957">
              <w:rPr>
                <w:rFonts w:cs="Calibri"/>
                <w:b w:val="0"/>
                <w:sz w:val="18"/>
                <w:szCs w:val="18"/>
                <w:lang w:eastAsia="en-US"/>
              </w:rPr>
              <w:t xml:space="preserve"> </w:t>
            </w:r>
            <w:r w:rsidRPr="00603957">
              <w:rPr>
                <w:rFonts w:cs="Calibri"/>
                <w:b w:val="0"/>
                <w:sz w:val="18"/>
                <w:szCs w:val="18"/>
                <w:lang w:val="en-US" w:eastAsia="en-US"/>
              </w:rPr>
              <w:t>հարկի</w:t>
            </w:r>
            <w:r w:rsidRPr="00603957">
              <w:rPr>
                <w:rFonts w:cs="Calibri"/>
                <w:b w:val="0"/>
                <w:sz w:val="18"/>
                <w:szCs w:val="18"/>
                <w:lang w:eastAsia="en-US"/>
              </w:rPr>
              <w:t xml:space="preserve"> </w:t>
            </w:r>
            <w:r w:rsidRPr="00603957">
              <w:rPr>
                <w:rFonts w:cs="Calibri"/>
                <w:b w:val="0"/>
                <w:sz w:val="18"/>
                <w:szCs w:val="18"/>
                <w:lang w:val="en-US" w:eastAsia="en-US"/>
              </w:rPr>
              <w:t>վերադարձ</w:t>
            </w:r>
          </w:p>
        </w:tc>
        <w:tc>
          <w:tcPr>
            <w:tcW w:w="1000" w:type="dxa"/>
            <w:shd w:val="clear" w:color="auto" w:fill="auto"/>
            <w:noWrap/>
            <w:vAlign w:val="center"/>
            <w:hideMark/>
          </w:tcPr>
          <w:p w14:paraId="2B6C2D8F" w14:textId="77777777" w:rsidR="00730639" w:rsidRPr="00603957" w:rsidRDefault="00730639" w:rsidP="00E94C66">
            <w:pPr>
              <w:spacing w:before="0" w:line="240" w:lineRule="auto"/>
              <w:jc w:val="right"/>
              <w:rPr>
                <w:rFonts w:cs="Calibri"/>
                <w:b w:val="0"/>
                <w:sz w:val="18"/>
                <w:szCs w:val="18"/>
                <w:lang w:val="hy-AM" w:eastAsia="en-US"/>
              </w:rPr>
            </w:pPr>
            <w:r w:rsidRPr="00603957">
              <w:rPr>
                <w:rFonts w:cs="Calibri"/>
                <w:b w:val="0"/>
                <w:sz w:val="18"/>
                <w:szCs w:val="18"/>
                <w:lang w:val="hy-AM" w:eastAsia="en-US"/>
              </w:rPr>
              <w:t>0.2</w:t>
            </w:r>
          </w:p>
        </w:tc>
        <w:tc>
          <w:tcPr>
            <w:tcW w:w="1000" w:type="dxa"/>
            <w:shd w:val="clear" w:color="auto" w:fill="auto"/>
            <w:noWrap/>
            <w:vAlign w:val="center"/>
            <w:hideMark/>
          </w:tcPr>
          <w:p w14:paraId="701C9433" w14:textId="77777777" w:rsidR="00730639" w:rsidRPr="00603957" w:rsidRDefault="00730639" w:rsidP="00E94C66">
            <w:pPr>
              <w:spacing w:before="0" w:line="240" w:lineRule="auto"/>
              <w:jc w:val="right"/>
              <w:rPr>
                <w:rFonts w:cs="Calibri"/>
                <w:b w:val="0"/>
                <w:sz w:val="18"/>
                <w:szCs w:val="18"/>
                <w:lang w:val="hy-AM" w:eastAsia="en-US"/>
              </w:rPr>
            </w:pPr>
            <w:r w:rsidRPr="00603957">
              <w:rPr>
                <w:rFonts w:cs="Calibri"/>
                <w:b w:val="0"/>
                <w:sz w:val="18"/>
                <w:szCs w:val="18"/>
                <w:lang w:val="hy-AM" w:eastAsia="en-US"/>
              </w:rPr>
              <w:t>0.3</w:t>
            </w:r>
          </w:p>
        </w:tc>
        <w:tc>
          <w:tcPr>
            <w:tcW w:w="1000" w:type="dxa"/>
            <w:shd w:val="clear" w:color="auto" w:fill="auto"/>
            <w:noWrap/>
            <w:vAlign w:val="center"/>
            <w:hideMark/>
          </w:tcPr>
          <w:p w14:paraId="136E4CC9" w14:textId="77777777" w:rsidR="00730639" w:rsidRPr="00603957" w:rsidRDefault="00730639" w:rsidP="00E94C66">
            <w:pPr>
              <w:spacing w:before="0" w:line="240" w:lineRule="auto"/>
              <w:jc w:val="right"/>
              <w:rPr>
                <w:rFonts w:cs="Calibri"/>
                <w:b w:val="0"/>
                <w:sz w:val="18"/>
                <w:szCs w:val="18"/>
                <w:lang w:val="hy-AM" w:eastAsia="en-US"/>
              </w:rPr>
            </w:pPr>
            <w:r w:rsidRPr="00603957">
              <w:rPr>
                <w:rFonts w:cs="Calibri"/>
                <w:b w:val="0"/>
                <w:sz w:val="18"/>
                <w:szCs w:val="18"/>
                <w:lang w:val="hy-AM" w:eastAsia="en-US"/>
              </w:rPr>
              <w:t>0.4</w:t>
            </w:r>
          </w:p>
        </w:tc>
        <w:tc>
          <w:tcPr>
            <w:tcW w:w="1000" w:type="dxa"/>
            <w:shd w:val="clear" w:color="auto" w:fill="FFFFFF" w:themeFill="background1"/>
            <w:noWrap/>
            <w:vAlign w:val="center"/>
            <w:hideMark/>
          </w:tcPr>
          <w:p w14:paraId="09846FFF" w14:textId="77777777" w:rsidR="00730639" w:rsidRPr="00603957" w:rsidRDefault="00730639" w:rsidP="00E94C66">
            <w:pPr>
              <w:spacing w:before="0" w:line="240" w:lineRule="auto"/>
              <w:jc w:val="right"/>
              <w:rPr>
                <w:rFonts w:cs="Calibri"/>
                <w:b w:val="0"/>
                <w:sz w:val="18"/>
                <w:szCs w:val="18"/>
                <w:lang w:val="hy-AM" w:eastAsia="en-US"/>
              </w:rPr>
            </w:pPr>
            <w:r w:rsidRPr="00603957">
              <w:rPr>
                <w:rFonts w:cs="Calibri"/>
                <w:b w:val="0"/>
                <w:sz w:val="18"/>
                <w:szCs w:val="18"/>
                <w:lang w:val="hy-AM" w:eastAsia="en-US"/>
              </w:rPr>
              <w:t>0.6</w:t>
            </w:r>
          </w:p>
        </w:tc>
        <w:tc>
          <w:tcPr>
            <w:tcW w:w="1000" w:type="dxa"/>
            <w:shd w:val="clear" w:color="auto" w:fill="FFFFFF" w:themeFill="background1"/>
            <w:noWrap/>
            <w:vAlign w:val="center"/>
            <w:hideMark/>
          </w:tcPr>
          <w:p w14:paraId="38C94D39" w14:textId="77777777" w:rsidR="00730639" w:rsidRPr="00603957" w:rsidRDefault="00730639" w:rsidP="00E94C66">
            <w:pPr>
              <w:spacing w:before="0" w:line="240" w:lineRule="auto"/>
              <w:jc w:val="right"/>
              <w:rPr>
                <w:rFonts w:cs="Calibri"/>
                <w:b w:val="0"/>
                <w:sz w:val="18"/>
                <w:szCs w:val="18"/>
                <w:lang w:val="hy-AM" w:eastAsia="en-US"/>
              </w:rPr>
            </w:pPr>
            <w:r w:rsidRPr="00603957">
              <w:rPr>
                <w:rFonts w:cs="Calibri"/>
                <w:b w:val="0"/>
                <w:sz w:val="18"/>
                <w:szCs w:val="18"/>
                <w:lang w:val="hy-AM" w:eastAsia="en-US"/>
              </w:rPr>
              <w:t>0.7</w:t>
            </w:r>
          </w:p>
        </w:tc>
      </w:tr>
      <w:tr w:rsidR="00730639" w:rsidRPr="00603957" w14:paraId="168DF409" w14:textId="77777777" w:rsidTr="00E94C66">
        <w:trPr>
          <w:trHeight w:val="675"/>
        </w:trPr>
        <w:tc>
          <w:tcPr>
            <w:tcW w:w="4000" w:type="dxa"/>
            <w:tcBorders>
              <w:bottom w:val="single" w:sz="4" w:space="0" w:color="auto"/>
            </w:tcBorders>
            <w:shd w:val="clear" w:color="auto" w:fill="auto"/>
            <w:vAlign w:val="center"/>
            <w:hideMark/>
          </w:tcPr>
          <w:p w14:paraId="44B9E023" w14:textId="77777777" w:rsidR="00730639" w:rsidRPr="00603957" w:rsidRDefault="00730639" w:rsidP="00E94C66">
            <w:pPr>
              <w:spacing w:before="0" w:line="240" w:lineRule="auto"/>
              <w:ind w:firstLineChars="100" w:firstLine="180"/>
              <w:jc w:val="left"/>
              <w:rPr>
                <w:rFonts w:cs="Calibri"/>
                <w:b w:val="0"/>
                <w:sz w:val="18"/>
                <w:szCs w:val="18"/>
                <w:lang w:eastAsia="en-US"/>
              </w:rPr>
            </w:pPr>
            <w:r w:rsidRPr="00603957">
              <w:rPr>
                <w:rFonts w:cs="Calibri"/>
                <w:b w:val="0"/>
                <w:sz w:val="18"/>
                <w:szCs w:val="18"/>
                <w:lang w:val="en-US" w:eastAsia="en-US"/>
              </w:rPr>
              <w:t>Ոչ</w:t>
            </w:r>
            <w:r w:rsidRPr="00603957">
              <w:rPr>
                <w:rFonts w:cs="Calibri"/>
                <w:b w:val="0"/>
                <w:sz w:val="18"/>
                <w:szCs w:val="18"/>
                <w:lang w:eastAsia="en-US"/>
              </w:rPr>
              <w:t xml:space="preserve"> </w:t>
            </w:r>
            <w:r w:rsidRPr="00603957">
              <w:rPr>
                <w:rFonts w:cs="Calibri"/>
                <w:b w:val="0"/>
                <w:sz w:val="18"/>
                <w:szCs w:val="18"/>
                <w:lang w:val="en-US" w:eastAsia="en-US"/>
              </w:rPr>
              <w:t>ֆինանսական</w:t>
            </w:r>
            <w:r w:rsidRPr="00603957">
              <w:rPr>
                <w:rFonts w:cs="Calibri"/>
                <w:b w:val="0"/>
                <w:sz w:val="18"/>
                <w:szCs w:val="18"/>
                <w:lang w:eastAsia="en-US"/>
              </w:rPr>
              <w:t xml:space="preserve"> </w:t>
            </w:r>
            <w:r w:rsidRPr="00603957">
              <w:rPr>
                <w:rFonts w:cs="Calibri"/>
                <w:b w:val="0"/>
                <w:sz w:val="18"/>
                <w:szCs w:val="18"/>
                <w:lang w:val="en-US" w:eastAsia="en-US"/>
              </w:rPr>
              <w:t>ակտիվների</w:t>
            </w:r>
            <w:r w:rsidRPr="00603957">
              <w:rPr>
                <w:rFonts w:cs="Calibri"/>
                <w:b w:val="0"/>
                <w:sz w:val="18"/>
                <w:szCs w:val="18"/>
                <w:lang w:eastAsia="en-US"/>
              </w:rPr>
              <w:t xml:space="preserve"> </w:t>
            </w:r>
            <w:r w:rsidRPr="00603957">
              <w:rPr>
                <w:rFonts w:cs="Calibri"/>
                <w:b w:val="0"/>
                <w:sz w:val="18"/>
                <w:szCs w:val="18"/>
                <w:lang w:val="en-US" w:eastAsia="en-US"/>
              </w:rPr>
              <w:t>հետ</w:t>
            </w:r>
            <w:r w:rsidRPr="00603957">
              <w:rPr>
                <w:rFonts w:cs="Calibri"/>
                <w:b w:val="0"/>
                <w:sz w:val="18"/>
                <w:szCs w:val="18"/>
                <w:lang w:eastAsia="en-US"/>
              </w:rPr>
              <w:t xml:space="preserve"> </w:t>
            </w:r>
            <w:r w:rsidRPr="00603957">
              <w:rPr>
                <w:rFonts w:cs="Calibri"/>
                <w:b w:val="0"/>
                <w:sz w:val="18"/>
                <w:szCs w:val="18"/>
                <w:lang w:val="en-US" w:eastAsia="en-US"/>
              </w:rPr>
              <w:t>գործառնություններ</w:t>
            </w:r>
          </w:p>
        </w:tc>
        <w:tc>
          <w:tcPr>
            <w:tcW w:w="1000" w:type="dxa"/>
            <w:tcBorders>
              <w:bottom w:val="single" w:sz="4" w:space="0" w:color="auto"/>
            </w:tcBorders>
            <w:shd w:val="clear" w:color="auto" w:fill="auto"/>
            <w:noWrap/>
            <w:vAlign w:val="center"/>
            <w:hideMark/>
          </w:tcPr>
          <w:p w14:paraId="29D870C3"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3.7</w:t>
            </w:r>
          </w:p>
        </w:tc>
        <w:tc>
          <w:tcPr>
            <w:tcW w:w="1000" w:type="dxa"/>
            <w:tcBorders>
              <w:bottom w:val="single" w:sz="4" w:space="0" w:color="auto"/>
            </w:tcBorders>
            <w:shd w:val="clear" w:color="auto" w:fill="auto"/>
            <w:noWrap/>
            <w:vAlign w:val="center"/>
            <w:hideMark/>
          </w:tcPr>
          <w:p w14:paraId="6F6ABEB5"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3.1</w:t>
            </w:r>
          </w:p>
        </w:tc>
        <w:tc>
          <w:tcPr>
            <w:tcW w:w="1000" w:type="dxa"/>
            <w:tcBorders>
              <w:bottom w:val="single" w:sz="4" w:space="0" w:color="auto"/>
            </w:tcBorders>
            <w:shd w:val="clear" w:color="auto" w:fill="auto"/>
            <w:noWrap/>
            <w:vAlign w:val="center"/>
            <w:hideMark/>
          </w:tcPr>
          <w:p w14:paraId="6D2305BC"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4.5</w:t>
            </w:r>
          </w:p>
        </w:tc>
        <w:tc>
          <w:tcPr>
            <w:tcW w:w="1000" w:type="dxa"/>
            <w:tcBorders>
              <w:bottom w:val="single" w:sz="4" w:space="0" w:color="auto"/>
            </w:tcBorders>
            <w:shd w:val="clear" w:color="auto" w:fill="FFFFFF" w:themeFill="background1"/>
            <w:noWrap/>
            <w:vAlign w:val="center"/>
            <w:hideMark/>
          </w:tcPr>
          <w:p w14:paraId="739FF15C"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5.9</w:t>
            </w:r>
          </w:p>
        </w:tc>
        <w:tc>
          <w:tcPr>
            <w:tcW w:w="1000" w:type="dxa"/>
            <w:tcBorders>
              <w:bottom w:val="single" w:sz="4" w:space="0" w:color="auto"/>
            </w:tcBorders>
            <w:shd w:val="clear" w:color="auto" w:fill="FFFFFF" w:themeFill="background1"/>
            <w:noWrap/>
            <w:vAlign w:val="center"/>
            <w:hideMark/>
          </w:tcPr>
          <w:p w14:paraId="59FB3E32"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6.6</w:t>
            </w:r>
          </w:p>
        </w:tc>
      </w:tr>
      <w:tr w:rsidR="00730639" w:rsidRPr="00603957" w14:paraId="46DCB3C5" w14:textId="77777777" w:rsidTr="00E94C66">
        <w:trPr>
          <w:trHeight w:val="690"/>
        </w:trPr>
        <w:tc>
          <w:tcPr>
            <w:tcW w:w="4000" w:type="dxa"/>
            <w:tcBorders>
              <w:top w:val="single" w:sz="4" w:space="0" w:color="auto"/>
              <w:bottom w:val="single" w:sz="4" w:space="0" w:color="auto"/>
            </w:tcBorders>
            <w:shd w:val="clear" w:color="auto" w:fill="auto"/>
            <w:vAlign w:val="center"/>
            <w:hideMark/>
          </w:tcPr>
          <w:p w14:paraId="5ED7B803" w14:textId="77777777" w:rsidR="00730639" w:rsidRPr="00603957" w:rsidRDefault="00730639" w:rsidP="00E94C66">
            <w:pPr>
              <w:spacing w:before="0" w:line="240" w:lineRule="auto"/>
              <w:jc w:val="left"/>
              <w:rPr>
                <w:rFonts w:cs="Calibri"/>
                <w:b w:val="0"/>
                <w:sz w:val="18"/>
                <w:szCs w:val="18"/>
                <w:lang w:val="en-US" w:eastAsia="en-US"/>
              </w:rPr>
            </w:pPr>
            <w:r w:rsidRPr="00603957">
              <w:rPr>
                <w:rFonts w:cs="Calibri"/>
                <w:b w:val="0"/>
                <w:sz w:val="18"/>
                <w:szCs w:val="18"/>
                <w:lang w:val="en-US" w:eastAsia="en-US"/>
              </w:rPr>
              <w:t>Պետական բյուջեի պակասուրդ(-) / պրոֆիցիտ (+)</w:t>
            </w:r>
          </w:p>
        </w:tc>
        <w:tc>
          <w:tcPr>
            <w:tcW w:w="1000" w:type="dxa"/>
            <w:tcBorders>
              <w:top w:val="single" w:sz="4" w:space="0" w:color="auto"/>
              <w:bottom w:val="single" w:sz="4" w:space="0" w:color="auto"/>
            </w:tcBorders>
            <w:shd w:val="clear" w:color="auto" w:fill="auto"/>
            <w:noWrap/>
            <w:vAlign w:val="center"/>
            <w:hideMark/>
          </w:tcPr>
          <w:p w14:paraId="14BB3484"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-5.4</w:t>
            </w:r>
          </w:p>
        </w:tc>
        <w:tc>
          <w:tcPr>
            <w:tcW w:w="1000" w:type="dxa"/>
            <w:tcBorders>
              <w:top w:val="single" w:sz="4" w:space="0" w:color="auto"/>
              <w:bottom w:val="single" w:sz="4" w:space="0" w:color="auto"/>
            </w:tcBorders>
            <w:shd w:val="clear" w:color="auto" w:fill="auto"/>
            <w:noWrap/>
            <w:vAlign w:val="center"/>
            <w:hideMark/>
          </w:tcPr>
          <w:p w14:paraId="6CDA753B"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-4.6</w:t>
            </w:r>
          </w:p>
        </w:tc>
        <w:tc>
          <w:tcPr>
            <w:tcW w:w="1000" w:type="dxa"/>
            <w:tcBorders>
              <w:top w:val="single" w:sz="4" w:space="0" w:color="auto"/>
              <w:bottom w:val="single" w:sz="4" w:space="0" w:color="auto"/>
            </w:tcBorders>
            <w:shd w:val="clear" w:color="auto" w:fill="auto"/>
            <w:noWrap/>
            <w:vAlign w:val="center"/>
            <w:hideMark/>
          </w:tcPr>
          <w:p w14:paraId="13D04B01"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-2.1</w:t>
            </w:r>
          </w:p>
        </w:tc>
        <w:tc>
          <w:tcPr>
            <w:tcW w:w="1000" w:type="dxa"/>
            <w:tcBorders>
              <w:top w:val="single" w:sz="4" w:space="0" w:color="auto"/>
              <w:bottom w:val="single" w:sz="4" w:space="0" w:color="auto"/>
            </w:tcBorders>
            <w:shd w:val="clear" w:color="auto" w:fill="FFFFFF" w:themeFill="background1"/>
            <w:noWrap/>
            <w:vAlign w:val="center"/>
            <w:hideMark/>
          </w:tcPr>
          <w:p w14:paraId="38DA0E80"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-2.6</w:t>
            </w:r>
          </w:p>
        </w:tc>
        <w:tc>
          <w:tcPr>
            <w:tcW w:w="1000" w:type="dxa"/>
            <w:tcBorders>
              <w:top w:val="single" w:sz="4" w:space="0" w:color="auto"/>
              <w:bottom w:val="single" w:sz="4" w:space="0" w:color="auto"/>
            </w:tcBorders>
            <w:shd w:val="clear" w:color="auto" w:fill="FFFFFF" w:themeFill="background1"/>
            <w:noWrap/>
            <w:vAlign w:val="center"/>
            <w:hideMark/>
          </w:tcPr>
          <w:p w14:paraId="206B13A0"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-4.6</w:t>
            </w:r>
          </w:p>
        </w:tc>
      </w:tr>
      <w:tr w:rsidR="00730639" w:rsidRPr="00603957" w14:paraId="2C5CE40D" w14:textId="77777777" w:rsidTr="00E94C66">
        <w:trPr>
          <w:trHeight w:val="360"/>
        </w:trPr>
        <w:tc>
          <w:tcPr>
            <w:tcW w:w="4000" w:type="dxa"/>
            <w:tcBorders>
              <w:top w:val="single" w:sz="4" w:space="0" w:color="auto"/>
            </w:tcBorders>
            <w:shd w:val="clear" w:color="auto" w:fill="auto"/>
            <w:vAlign w:val="center"/>
            <w:hideMark/>
          </w:tcPr>
          <w:p w14:paraId="1BE973D2" w14:textId="77777777" w:rsidR="00730639" w:rsidRPr="00603957" w:rsidRDefault="00730639" w:rsidP="00E94C66">
            <w:pPr>
              <w:spacing w:before="0" w:line="240" w:lineRule="auto"/>
              <w:jc w:val="left"/>
              <w:rPr>
                <w:rFonts w:cs="Calibri"/>
                <w:b w:val="0"/>
                <w:sz w:val="18"/>
                <w:szCs w:val="18"/>
                <w:lang w:val="en-US" w:eastAsia="en-US"/>
              </w:rPr>
            </w:pPr>
            <w:r w:rsidRPr="00603957">
              <w:rPr>
                <w:rFonts w:cs="Calibri"/>
                <w:b w:val="0"/>
                <w:sz w:val="18"/>
                <w:szCs w:val="18"/>
                <w:lang w:val="en-US" w:eastAsia="en-US"/>
              </w:rPr>
              <w:t>Կառավարության պարտք</w:t>
            </w:r>
          </w:p>
        </w:tc>
        <w:tc>
          <w:tcPr>
            <w:tcW w:w="1000" w:type="dxa"/>
            <w:tcBorders>
              <w:top w:val="single" w:sz="4" w:space="0" w:color="auto"/>
            </w:tcBorders>
            <w:shd w:val="clear" w:color="auto" w:fill="auto"/>
            <w:noWrap/>
            <w:vAlign w:val="center"/>
            <w:hideMark/>
          </w:tcPr>
          <w:p w14:paraId="660CFE4D"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63.5</w:t>
            </w:r>
          </w:p>
        </w:tc>
        <w:tc>
          <w:tcPr>
            <w:tcW w:w="1000" w:type="dxa"/>
            <w:tcBorders>
              <w:top w:val="single" w:sz="4" w:space="0" w:color="auto"/>
            </w:tcBorders>
            <w:shd w:val="clear" w:color="auto" w:fill="auto"/>
            <w:noWrap/>
            <w:vAlign w:val="center"/>
            <w:hideMark/>
          </w:tcPr>
          <w:p w14:paraId="1B84C6F6"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60.2</w:t>
            </w:r>
          </w:p>
        </w:tc>
        <w:tc>
          <w:tcPr>
            <w:tcW w:w="1000" w:type="dxa"/>
            <w:tcBorders>
              <w:top w:val="single" w:sz="4" w:space="0" w:color="auto"/>
            </w:tcBorders>
            <w:shd w:val="clear" w:color="auto" w:fill="auto"/>
            <w:noWrap/>
            <w:vAlign w:val="center"/>
            <w:hideMark/>
          </w:tcPr>
          <w:p w14:paraId="4FD18FED"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46.7</w:t>
            </w:r>
          </w:p>
        </w:tc>
        <w:tc>
          <w:tcPr>
            <w:tcW w:w="1000" w:type="dxa"/>
            <w:tcBorders>
              <w:top w:val="single" w:sz="4" w:space="0" w:color="auto"/>
            </w:tcBorders>
            <w:shd w:val="clear" w:color="auto" w:fill="FFFFFF" w:themeFill="background1"/>
            <w:noWrap/>
            <w:vAlign w:val="center"/>
            <w:hideMark/>
          </w:tcPr>
          <w:p w14:paraId="358B58A8"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47.0</w:t>
            </w:r>
          </w:p>
        </w:tc>
        <w:tc>
          <w:tcPr>
            <w:tcW w:w="1000" w:type="dxa"/>
            <w:tcBorders>
              <w:top w:val="single" w:sz="4" w:space="0" w:color="auto"/>
            </w:tcBorders>
            <w:shd w:val="clear" w:color="auto" w:fill="FFFFFF" w:themeFill="background1"/>
            <w:noWrap/>
            <w:vAlign w:val="center"/>
            <w:hideMark/>
          </w:tcPr>
          <w:p w14:paraId="3DD4EB8A" w14:textId="77777777" w:rsidR="00730639" w:rsidRPr="00603957" w:rsidRDefault="00730639" w:rsidP="00E94C66">
            <w:pPr>
              <w:spacing w:before="0" w:line="240" w:lineRule="auto"/>
              <w:jc w:val="right"/>
              <w:rPr>
                <w:rFonts w:cs="Calibri"/>
                <w:b w:val="0"/>
                <w:sz w:val="18"/>
                <w:szCs w:val="18"/>
                <w:lang w:val="en-US" w:eastAsia="en-US"/>
              </w:rPr>
            </w:pPr>
            <w:r w:rsidRPr="00603957">
              <w:rPr>
                <w:rFonts w:cs="Calibri"/>
                <w:b w:val="0"/>
                <w:sz w:val="18"/>
                <w:szCs w:val="18"/>
                <w:lang w:val="en-US" w:eastAsia="en-US"/>
              </w:rPr>
              <w:t>48.3</w:t>
            </w:r>
          </w:p>
        </w:tc>
      </w:tr>
    </w:tbl>
    <w:p w14:paraId="02A5952D" w14:textId="77777777" w:rsidR="00730639" w:rsidRPr="001C5EA5" w:rsidRDefault="00730639" w:rsidP="00730639">
      <w:pPr>
        <w:spacing w:before="0"/>
        <w:rPr>
          <w:rFonts w:asciiTheme="minorHAnsi" w:eastAsiaTheme="minorHAnsi" w:hAnsiTheme="minorHAnsi" w:cstheme="minorBidi"/>
          <w:b w:val="0"/>
          <w:kern w:val="2"/>
          <w:szCs w:val="22"/>
          <w:lang w:val="hy-AM" w:eastAsia="en-US"/>
          <w14:ligatures w14:val="standardContextual"/>
        </w:rPr>
      </w:pPr>
      <w:r>
        <w:rPr>
          <w:rFonts w:eastAsia="Calibri"/>
          <w:lang w:val="hy-AM" w:eastAsia="en-US"/>
        </w:rPr>
        <w:fldChar w:fldCharType="begin"/>
      </w:r>
      <w:r>
        <w:rPr>
          <w:rFonts w:eastAsia="Calibri"/>
          <w:lang w:val="hy-AM" w:eastAsia="en-US"/>
        </w:rPr>
        <w:instrText xml:space="preserve"> LINK Excel.Sheet.12 "\\\\172.20.215.254\\Share\\macroeconomic\\Share\\Armine\\2023\\09\\2.Charts-and-Tables-Գլուխ 2.xlsx" "Աղյուսակ 2.1!R4C2:R25C7" \a \f 4 \h  \* MERGEFORMAT </w:instrText>
      </w:r>
      <w:r>
        <w:rPr>
          <w:rFonts w:eastAsia="Calibri"/>
          <w:lang w:val="hy-AM" w:eastAsia="en-US"/>
        </w:rPr>
        <w:fldChar w:fldCharType="separate"/>
      </w:r>
    </w:p>
    <w:p w14:paraId="255899A5" w14:textId="77777777" w:rsidR="00730639" w:rsidRPr="007414C5" w:rsidRDefault="00730639" w:rsidP="00730639">
      <w:pPr>
        <w:spacing w:before="0"/>
        <w:rPr>
          <w:rFonts w:cs="Calibri"/>
          <w:b w:val="0"/>
          <w:i/>
          <w:iCs/>
          <w:color w:val="000000"/>
          <w:sz w:val="20"/>
          <w:szCs w:val="20"/>
          <w:lang w:val="hy-AM"/>
        </w:rPr>
      </w:pPr>
      <w:r>
        <w:rPr>
          <w:rFonts w:eastAsia="Calibri" w:cs="Arial"/>
          <w:b w:val="0"/>
          <w:bCs/>
          <w:iCs/>
          <w:szCs w:val="22"/>
          <w:lang w:val="hy-AM" w:eastAsia="en-US"/>
        </w:rPr>
        <w:fldChar w:fldCharType="end"/>
      </w:r>
      <w:r w:rsidRPr="007414C5">
        <w:rPr>
          <w:rFonts w:cs="Calibri"/>
          <w:b w:val="0"/>
          <w:i/>
          <w:iCs/>
          <w:color w:val="000000"/>
          <w:sz w:val="20"/>
          <w:szCs w:val="20"/>
          <w:lang w:val="hy-AM"/>
        </w:rPr>
        <w:t>Աղբյուրը՝ ՀՀ ՖՆ կանխատեսումներ:</w:t>
      </w:r>
    </w:p>
    <w:p w14:paraId="530B0E8F" w14:textId="1CD81F20" w:rsidR="00730639" w:rsidRPr="007414C5" w:rsidRDefault="00730639" w:rsidP="00730639">
      <w:pPr>
        <w:spacing w:before="0"/>
        <w:rPr>
          <w:rFonts w:cs="Calibri"/>
          <w:b w:val="0"/>
          <w:i/>
          <w:iCs/>
          <w:color w:val="000000"/>
          <w:sz w:val="20"/>
          <w:szCs w:val="20"/>
          <w:lang w:val="hy-AM"/>
        </w:rPr>
      </w:pPr>
      <w:r w:rsidRPr="007414C5">
        <w:rPr>
          <w:rFonts w:cs="Calibri"/>
          <w:b w:val="0"/>
          <w:i/>
          <w:iCs/>
          <w:color w:val="000000"/>
          <w:sz w:val="20"/>
          <w:szCs w:val="20"/>
          <w:lang w:val="hy-AM"/>
        </w:rPr>
        <w:t>*Ինչպես կանխատեսված, այնպես էլ փաստացի տվյալներում ներառված է հիպոթեկի տոկոսագումարների գծով եկամտային հարկի վերադարձը։</w:t>
      </w:r>
    </w:p>
    <w:p w14:paraId="2A2EBFDB" w14:textId="77777777" w:rsidR="00730639" w:rsidRDefault="00730639" w:rsidP="00730639">
      <w:pPr>
        <w:spacing w:before="0"/>
        <w:rPr>
          <w:rFonts w:cs="Calibri"/>
          <w:b w:val="0"/>
          <w:i/>
          <w:iCs/>
          <w:color w:val="000000"/>
          <w:sz w:val="18"/>
          <w:szCs w:val="18"/>
          <w:lang w:val="hy-AM"/>
        </w:rPr>
      </w:pPr>
    </w:p>
    <w:p w14:paraId="7D912883" w14:textId="77777777" w:rsidR="00D178DD" w:rsidRDefault="00D178DD" w:rsidP="003B373F">
      <w:pPr>
        <w:keepNext/>
        <w:keepLines/>
        <w:spacing w:before="0"/>
        <w:ind w:firstLine="284"/>
        <w:outlineLvl w:val="2"/>
        <w:rPr>
          <w:rFonts w:eastAsiaTheme="majorEastAsia" w:cstheme="majorBidi"/>
          <w:bCs/>
          <w:color w:val="1F497D" w:themeColor="text2"/>
          <w:sz w:val="24"/>
          <w:lang w:val="hy-AM" w:eastAsia="en-US"/>
        </w:rPr>
      </w:pPr>
      <w:bookmarkStart w:id="93" w:name="_Toc153184470"/>
      <w:bookmarkStart w:id="94" w:name="_Hlk152316627"/>
      <w:bookmarkStart w:id="95" w:name="_Toc165901461"/>
      <w:r w:rsidRPr="00290696">
        <w:rPr>
          <w:rFonts w:eastAsiaTheme="majorEastAsia" w:cstheme="majorBidi"/>
          <w:bCs/>
          <w:color w:val="1F497D" w:themeColor="text2"/>
          <w:sz w:val="24"/>
          <w:lang w:val="hy-AM" w:eastAsia="en-US"/>
        </w:rPr>
        <w:t>2.2. ՀԱՐԿԱԲՅՈՒՋԵՏԱՅԻՆ ՔԱՂԱՔԱԿԱՆՈՒԹՅԱՆ ՄԻՏՈՒՄՆԵՐԸ ԵՎ ԿԱՆԽԱՏԵՍՈՒՄՆԵՐԸ</w:t>
      </w:r>
      <w:bookmarkEnd w:id="87"/>
      <w:bookmarkEnd w:id="88"/>
      <w:bookmarkEnd w:id="89"/>
      <w:bookmarkEnd w:id="90"/>
      <w:bookmarkEnd w:id="91"/>
      <w:bookmarkEnd w:id="92"/>
      <w:bookmarkEnd w:id="93"/>
      <w:bookmarkEnd w:id="95"/>
    </w:p>
    <w:bookmarkEnd w:id="94"/>
    <w:p w14:paraId="689715F8" w14:textId="77777777" w:rsidR="00730639" w:rsidRPr="004A1E79" w:rsidRDefault="00730639" w:rsidP="00730639">
      <w:pPr>
        <w:rPr>
          <w:rFonts w:eastAsia="GHEA Grapalat" w:cs="GHEA Grapalat"/>
          <w:szCs w:val="22"/>
          <w:lang w:val="hy-AM"/>
        </w:rPr>
      </w:pPr>
      <w:r w:rsidRPr="004A1E79">
        <w:rPr>
          <w:bCs/>
          <w:lang w:val="hy-AM"/>
        </w:rPr>
        <w:t>2022թ</w:t>
      </w:r>
      <w:r w:rsidRPr="004A1E79">
        <w:rPr>
          <w:rFonts w:ascii="Cambria Math" w:hAnsi="Cambria Math" w:cs="Cambria Math"/>
          <w:bCs/>
          <w:lang w:val="hy-AM"/>
        </w:rPr>
        <w:t>․</w:t>
      </w:r>
      <w:r w:rsidRPr="004A1E79">
        <w:rPr>
          <w:bCs/>
          <w:lang w:val="hy-AM"/>
        </w:rPr>
        <w:t xml:space="preserve"> հարկաբյուջետային քաղաքականությունն ուղղված է եղել տնտեսական շոկերին արդյունավետ արձագանքելու միջոցով մակրոտնտեսական և հարկաբյուջետային կայունության ապահովմանը: Այդ նպատակից ելնելով, 2022 թ. կանխատեսվածից բարձր տնտեսական աճի պայմաններում կառավարությունը պլանավորված չեզոք հարկաբյուջետային քաղաքականության փոխարեն իրականացրել է զսպող քաղաքականություն՝ միևնույն ժամանակ իրականացնելով </w:t>
      </w:r>
      <w:r w:rsidRPr="004A1E79">
        <w:rPr>
          <w:bCs/>
          <w:lang w:val="hy-AM"/>
        </w:rPr>
        <w:lastRenderedPageBreak/>
        <w:t xml:space="preserve">տնտեսական ներուժի բարձրացմանը միտված միջոցառումներ և նպաստելով պարտքի կայունության ապահովմանը: </w:t>
      </w:r>
    </w:p>
    <w:p w14:paraId="0732B5CC" w14:textId="77777777" w:rsidR="00730639" w:rsidRPr="004A1E79" w:rsidRDefault="00730639" w:rsidP="00730639">
      <w:pPr>
        <w:rPr>
          <w:rFonts w:eastAsia="GHEA Grapalat" w:cs="GHEA Grapalat"/>
          <w:b w:val="0"/>
          <w:szCs w:val="22"/>
          <w:lang w:val="hy-AM"/>
        </w:rPr>
      </w:pPr>
      <w:r w:rsidRPr="004A1E79">
        <w:rPr>
          <w:rFonts w:eastAsia="GHEA Grapalat" w:cs="GHEA Grapalat"/>
          <w:i/>
          <w:szCs w:val="22"/>
          <w:lang w:val="hy-AM"/>
        </w:rPr>
        <w:t>Պետական բյուջեի եկամուտները</w:t>
      </w:r>
      <w:r w:rsidRPr="004A1E79">
        <w:rPr>
          <w:rFonts w:eastAsia="GHEA Grapalat" w:cs="GHEA Grapalat"/>
          <w:b w:val="0"/>
          <w:i/>
          <w:szCs w:val="22"/>
          <w:lang w:val="hy-AM"/>
        </w:rPr>
        <w:t>:</w:t>
      </w:r>
      <w:r w:rsidRPr="004A1E79">
        <w:rPr>
          <w:rFonts w:eastAsia="GHEA Grapalat" w:cs="GHEA Grapalat"/>
          <w:b w:val="0"/>
          <w:szCs w:val="22"/>
          <w:lang w:val="hy-AM"/>
        </w:rPr>
        <w:t xml:space="preserve"> </w:t>
      </w:r>
      <w:r w:rsidRPr="004A1E79">
        <w:rPr>
          <w:rFonts w:eastAsia="GHEA Grapalat" w:cs="GHEA Grapalat"/>
          <w:bCs/>
          <w:szCs w:val="22"/>
          <w:lang w:val="hy-AM"/>
        </w:rPr>
        <w:t>2022 թվականին ՀՀ պետական բյուջեի եկամուտներն աճել են՝ պայմանավորված տնտեսության վերականգնման և հարկային օրենսդրության փոփոխությունների արդյունքում հարկային եկամուտների աճով:</w:t>
      </w:r>
      <w:r w:rsidRPr="004A1E79">
        <w:rPr>
          <w:rFonts w:eastAsia="GHEA Grapalat" w:cs="GHEA Grapalat"/>
          <w:b w:val="0"/>
          <w:szCs w:val="22"/>
          <w:lang w:val="hy-AM"/>
        </w:rPr>
        <w:t xml:space="preserve"> 2022 թվականին ՀՀ պետական բյուջեի ընդհանուր եկամուտները կազմել են 2063.1 մլրդ դրամ՝ նախորդ տարվա համեմատ աճելով 22.5%-ով,</w:t>
      </w:r>
      <w:r w:rsidRPr="004A1E79">
        <w:rPr>
          <w:rFonts w:eastAsia="Calibri" w:cs="Sylfaen"/>
          <w:szCs w:val="22"/>
          <w:lang w:val="hy-AM"/>
        </w:rPr>
        <w:t xml:space="preserve"> </w:t>
      </w:r>
      <w:r w:rsidRPr="004A1E79">
        <w:rPr>
          <w:rFonts w:eastAsia="Calibri" w:cs="Sylfaen"/>
          <w:b w:val="0"/>
          <w:bCs/>
          <w:szCs w:val="22"/>
          <w:lang w:val="hy-AM"/>
        </w:rPr>
        <w:t xml:space="preserve">որի վրա ազդել են ինչպես տնտեսական աճի և գնաճի բարձր տեմպերը, այնպես էլ հարկային օրենսդրության փոփոխությունները: ՀՀ պետական բյուջեի ընդհանուր եկամուտները (առանց </w:t>
      </w:r>
      <w:r w:rsidRPr="004A1E79">
        <w:rPr>
          <w:rFonts w:eastAsia="GHEA Grapalat" w:cs="GHEA Grapalat"/>
          <w:b w:val="0"/>
          <w:szCs w:val="22"/>
          <w:lang w:val="hy-AM"/>
        </w:rPr>
        <w:t>հիփոթեքային վարկերի տոկոսավճարների գծով եկամտային հարկի վերադարձի</w:t>
      </w:r>
      <w:r w:rsidRPr="004A1E79">
        <w:rPr>
          <w:rFonts w:eastAsia="Calibri" w:cs="Sylfaen"/>
          <w:b w:val="0"/>
          <w:bCs/>
          <w:szCs w:val="22"/>
          <w:lang w:val="hy-AM"/>
        </w:rPr>
        <w:t>) ՀՆԱ-ի նկատմամբ կազմել են 24.3%</w:t>
      </w:r>
      <w:r w:rsidRPr="004A1E79">
        <w:rPr>
          <w:rFonts w:eastAsia="Calibri" w:cs="Sylfaen"/>
          <w:b w:val="0"/>
          <w:bCs/>
          <w:szCs w:val="22"/>
          <w:lang w:val="hy-AM"/>
        </w:rPr>
        <w:noBreakHyphen/>
        <w:t xml:space="preserve">ը՝ նախորդ տարվա 24.1%-ի դիմաց, ինչը հիմնականում պայմանավորված է եղել ՀՆԱ-ի նկատմամբ այլ եկամուտների կշռի ավելացմամբ: </w:t>
      </w:r>
      <w:r w:rsidRPr="004A1E79">
        <w:rPr>
          <w:rFonts w:eastAsia="GHEA Grapalat" w:cs="GHEA Grapalat"/>
          <w:b w:val="0"/>
          <w:szCs w:val="22"/>
          <w:lang w:val="hy-AM"/>
        </w:rPr>
        <w:t xml:space="preserve"> Հարկեր և տուրքերը նույն ժամանակահատվածում կազմել են 1926.0 մլրդ դրամ (հիփոթեքային վարկերի տոկոսավճարների գծով եկամտային հարկի վերադարձը </w:t>
      </w:r>
      <w:r>
        <w:rPr>
          <w:rFonts w:eastAsia="GHEA Grapalat" w:cs="GHEA Grapalat"/>
          <w:b w:val="0"/>
          <w:szCs w:val="22"/>
          <w:lang w:val="hy-AM"/>
        </w:rPr>
        <w:t>ներառ</w:t>
      </w:r>
      <w:r w:rsidRPr="004A1E79">
        <w:rPr>
          <w:rFonts w:eastAsia="GHEA Grapalat" w:cs="GHEA Grapalat"/>
          <w:b w:val="0"/>
          <w:szCs w:val="22"/>
          <w:lang w:val="hy-AM"/>
        </w:rPr>
        <w:t xml:space="preserve">ելու դեպքում՝ 1,962.5 մլրդ դրամ)՝ նախորդ տարվա համեմատ աճելով 21.4%-ով՝ Հարկերի և տուրքերի աճը հիմնականում պայմանավորված է հարկման բազաների (հիմնականում՝ սպառման և ներմուծման, ինչպես նաև՝ շահույթների և աշխատավարձերի) աճի, ինչպես նաև 2021 թվականին իրականացված հարկային օրենսդրության բարեփոխումներով, մասնավորապես՝ մետաղական հանքանյութերի արտահանման տուրքի ներդրմամբ, որը գործել է մինչև 2022 թվականի սեպտեմբերի 1-ը: Չնայած որ 2022 թվականին ներմուծման հարկերի մասով արձանագրվել է աճ, սակայն մաքսատուրքերը նվազել են, որը պայմանավորված է ԵԱՏՄ երկրների՝ երրորդ երկրներից ընդհանուր ներմուծման ծավալի նվազմամբ: Այս պայմաններում հարկեր և տուրքերը կազմել են ՀՆԱ-ի 22.7%-ը (հիփոթեքային վարկերի տոկոսավճարների գծով եկամտային հարկի վերադարձը </w:t>
      </w:r>
      <w:r>
        <w:rPr>
          <w:rFonts w:eastAsia="GHEA Grapalat" w:cs="GHEA Grapalat"/>
          <w:b w:val="0"/>
          <w:szCs w:val="22"/>
          <w:lang w:val="hy-AM"/>
        </w:rPr>
        <w:t>ներառ</w:t>
      </w:r>
      <w:r w:rsidRPr="004A1E79">
        <w:rPr>
          <w:rFonts w:eastAsia="GHEA Grapalat" w:cs="GHEA Grapalat"/>
          <w:b w:val="0"/>
          <w:szCs w:val="22"/>
          <w:lang w:val="hy-AM"/>
        </w:rPr>
        <w:t xml:space="preserve">ելու դեպքում՝ </w:t>
      </w:r>
      <w:r>
        <w:rPr>
          <w:rFonts w:eastAsia="GHEA Grapalat" w:cs="GHEA Grapalat"/>
          <w:b w:val="0"/>
          <w:szCs w:val="22"/>
          <w:lang w:val="hy-AM"/>
        </w:rPr>
        <w:t>23.</w:t>
      </w:r>
      <w:r w:rsidRPr="004A1E79">
        <w:rPr>
          <w:rFonts w:eastAsia="GHEA Grapalat" w:cs="GHEA Grapalat"/>
          <w:b w:val="0"/>
          <w:szCs w:val="22"/>
          <w:lang w:val="hy-AM"/>
        </w:rPr>
        <w:t xml:space="preserve">1%)՝ պահպանվելով նախորդ տարվա գրեթե նույն մակարդակում (նվազելով 0.04 տոկոսային կետով, սակայն եթե հարկերի ցուցանիշում ներառենք հիփոթեքային վարկերի տոկոսավճարների գծով եկամտային հարկի վերադարձը, ապա բարելավումը կկազմի 0.1 տոկոսային կետ): </w:t>
      </w:r>
    </w:p>
    <w:p w14:paraId="3F74F966" w14:textId="77777777" w:rsidR="00730639" w:rsidRPr="004A1E79" w:rsidRDefault="00730639" w:rsidP="00730639">
      <w:pPr>
        <w:rPr>
          <w:rFonts w:eastAsia="GHEA Grapalat" w:cs="GHEA Grapalat"/>
          <w:b w:val="0"/>
          <w:szCs w:val="22"/>
          <w:lang w:val="hy-AM"/>
        </w:rPr>
      </w:pPr>
      <w:r w:rsidRPr="004A1E79">
        <w:rPr>
          <w:rFonts w:eastAsia="GHEA Grapalat" w:cs="GHEA Grapalat"/>
          <w:i/>
          <w:szCs w:val="22"/>
          <w:lang w:val="hy-AM"/>
        </w:rPr>
        <w:t>Պետական բյուջեի ծախսերը:</w:t>
      </w:r>
      <w:r w:rsidRPr="004A1E79">
        <w:rPr>
          <w:rFonts w:eastAsia="GHEA Grapalat" w:cs="GHEA Grapalat"/>
          <w:b w:val="0"/>
          <w:szCs w:val="22"/>
          <w:lang w:val="hy-AM"/>
        </w:rPr>
        <w:t xml:space="preserve"> </w:t>
      </w:r>
      <w:r w:rsidRPr="004A1E79">
        <w:rPr>
          <w:rFonts w:eastAsia="GHEA Grapalat" w:cs="GHEA Grapalat"/>
          <w:bCs/>
          <w:szCs w:val="22"/>
          <w:lang w:val="hy-AM"/>
        </w:rPr>
        <w:t>Պետական բյուջեի ծախսերը 2022 թվականին աճել են, սակայն ծախսերի կշիռը ՀՆԱ-ում նվազել է:</w:t>
      </w:r>
      <w:r w:rsidRPr="004A1E79">
        <w:rPr>
          <w:rFonts w:eastAsia="GHEA Grapalat" w:cs="GHEA Grapalat"/>
          <w:b w:val="0"/>
          <w:szCs w:val="22"/>
          <w:lang w:val="hy-AM"/>
        </w:rPr>
        <w:t xml:space="preserve"> 2022 թվականին պետական բյուջեի ծախսերը (</w:t>
      </w:r>
      <w:r w:rsidRPr="004A1E79">
        <w:rPr>
          <w:rFonts w:eastAsia="Calibri" w:cs="Sylfaen"/>
          <w:b w:val="0"/>
          <w:bCs/>
          <w:szCs w:val="22"/>
          <w:lang w:val="hy-AM"/>
        </w:rPr>
        <w:t xml:space="preserve">առանց </w:t>
      </w:r>
      <w:r w:rsidRPr="004A1E79">
        <w:rPr>
          <w:rFonts w:eastAsia="GHEA Grapalat" w:cs="GHEA Grapalat"/>
          <w:b w:val="0"/>
          <w:szCs w:val="22"/>
          <w:lang w:val="hy-AM"/>
        </w:rPr>
        <w:t>հիփոթեքային վարկերի տոկոսավճարների գծով եկամտային հարկի վերադարձի) կազմել են 2,242.6 մլրդ դրամ՝ նախորդ տարվա համեմատ աճելով 11.9%-ով: Ընդ որում, ընթացիկ ծախսերը կազմել են 1,862.2 մլրդ դրամ` նախորդ տարվա համեմատ աճելով 4.2%-ով: Պետական բյուջեի ծախսերի կշիռը ՀՆԱ-ում 2021 թվականի նկատմամբ նվազել է 2.3 տոկոսային կետով՝ կազմելով 26.4%, որում ընթացիկ ծախսերի կշիռը նվազել է 3.7 տոկոսային կետով՝ կազմելով 21.9%:</w:t>
      </w:r>
    </w:p>
    <w:p w14:paraId="059090EE" w14:textId="77777777" w:rsidR="00730639" w:rsidRPr="004A1E79" w:rsidRDefault="00730639" w:rsidP="00730639">
      <w:pPr>
        <w:rPr>
          <w:rFonts w:eastAsia="GHEA Grapalat" w:cs="GHEA Grapalat"/>
          <w:b w:val="0"/>
          <w:szCs w:val="22"/>
          <w:lang w:val="hy-AM"/>
        </w:rPr>
      </w:pPr>
      <w:r w:rsidRPr="004A1E79">
        <w:rPr>
          <w:rFonts w:eastAsia="GHEA Grapalat" w:cs="GHEA Grapalat"/>
          <w:b w:val="0"/>
          <w:szCs w:val="22"/>
          <w:lang w:val="hy-AM"/>
        </w:rPr>
        <w:t>Ոչ ֆինանսական ակտիվների հետ գործառնությունները կազմել են 380.4 մլրդ դրամ, որում ոչ ֆինանսական ակտիվների գծով ծախսերը (կապիտալ ծախսեր) կազմել են 389.1 մլրդ դրամ` նախորդ տարվա նկատմամբ աճելով 78.2%-ով: Ոչ ֆինանսական ակտիվների հետ գործառնությունների կշիռը ՀՆԱ-ում աճել է 1.4 տոկոսային կետով՝ կազմելով 4.5%: Միևնույն ժամանակ, 2020-2021 թվականների կապիտալ ծախսերի թերակատարման խնդիրը 2022 թվականին մեղմվել է, և կատարողականը ճշտված ծրագրի նկատմամբ կազմել է 94.9%՝ նախորդ տարվա 92.5%-ի համեմատ բարելավվելով 2.4 տոկոսային կետով:</w:t>
      </w:r>
    </w:p>
    <w:p w14:paraId="1614A9E5" w14:textId="77777777" w:rsidR="00730639" w:rsidRPr="004A1E79" w:rsidRDefault="00730639" w:rsidP="00730639">
      <w:pPr>
        <w:rPr>
          <w:rFonts w:eastAsia="GHEA Grapalat" w:cs="GHEA Grapalat"/>
          <w:b w:val="0"/>
          <w:szCs w:val="22"/>
          <w:lang w:val="hy-AM"/>
        </w:rPr>
      </w:pPr>
      <w:r w:rsidRPr="004A1E79">
        <w:rPr>
          <w:rFonts w:eastAsia="GHEA Grapalat" w:cs="GHEA Grapalat"/>
          <w:i/>
          <w:szCs w:val="22"/>
          <w:lang w:val="hy-AM"/>
        </w:rPr>
        <w:lastRenderedPageBreak/>
        <w:t>Պետական բյուջեի պակասուրդը և կառավարության պարտքը:</w:t>
      </w:r>
      <w:r w:rsidRPr="004A1E79">
        <w:rPr>
          <w:rFonts w:eastAsia="GHEA Grapalat" w:cs="GHEA Grapalat"/>
          <w:b w:val="0"/>
          <w:szCs w:val="22"/>
          <w:lang w:val="hy-AM"/>
        </w:rPr>
        <w:t xml:space="preserve"> </w:t>
      </w:r>
      <w:r w:rsidRPr="004A1E79">
        <w:rPr>
          <w:rFonts w:eastAsia="GHEA Grapalat" w:cs="GHEA Grapalat"/>
          <w:bCs/>
          <w:szCs w:val="22"/>
          <w:lang w:val="hy-AM"/>
        </w:rPr>
        <w:t>2022 թվականի բարձր տնտեսական աճը և հարկաբյուջետային քաղաքականության ջանքերը թույլ են տվել ապահովելու ՀՆԱ համեմատությամբ պետական բյուջեի պակասուրդի և կառավարության պարտքի նվազում, որը հիմքեր է ստեղծել 2022-2026թթ. պարտքի բեռի նվազեցման ծրագրի թիրախների իրականացման համար՝ միաժամանակ չխաթարելով 2020 թվականի շոկերից հետո տնտեսության վերականգնումը։</w:t>
      </w:r>
      <w:r w:rsidRPr="004A1E79">
        <w:rPr>
          <w:rFonts w:eastAsia="GHEA Grapalat" w:cs="GHEA Grapalat"/>
          <w:b w:val="0"/>
          <w:szCs w:val="22"/>
          <w:lang w:val="hy-AM"/>
        </w:rPr>
        <w:t xml:space="preserve"> 2022 թվականի ընթացքում ձևավորվել է պետական բյուջեի 179.5 մլրդ դրամ պակասուրդ՝ նախորդ տարվա 320.5 մլրդ դրամի համեմատ: ՀՆԱ-ի նկատմամբ, պետական բյուջեի պակասուրդը կազմել է 2.1%՝ նախորդ տարվա համեմատ նվազելով 2.5 տոկոսային կետով: ՀՀ կառավարության պարտք/ՀՆԱ ցուցանիշը կազմել է 46.7%՝ նախորդ տարվա նկատմամբ նվազելով 13.6 տոկոսային կետով:</w:t>
      </w:r>
    </w:p>
    <w:p w14:paraId="31C668D8" w14:textId="77777777" w:rsidR="00730639" w:rsidRPr="004A1E79" w:rsidRDefault="00730639" w:rsidP="00730639">
      <w:pPr>
        <w:rPr>
          <w:rFonts w:eastAsia="GHEA Grapalat" w:cs="GHEA Grapalat"/>
          <w:b w:val="0"/>
          <w:szCs w:val="22"/>
          <w:lang w:val="hy-AM"/>
        </w:rPr>
      </w:pPr>
      <w:r w:rsidRPr="004A1E79">
        <w:rPr>
          <w:rFonts w:eastAsia="GHEA Grapalat" w:cs="GHEA Grapalat"/>
          <w:b w:val="0"/>
          <w:szCs w:val="22"/>
          <w:lang w:val="hy-AM"/>
        </w:rPr>
        <w:t>Կառավարության պարտք/ՀՆԱ ցուցանիշի նվազումը հիմնականում պայմանավորվել է ՀՀ դրամի արժևորմամբ և ՀՆԱ իրական աճով։ Կառավարության պարտք/ՀՆԱ ցուցանիշի 13.6 տոկոսային կետով նվազմանը 11 տոկոսային կետով նպաստել է ԱՄՆ դոլարի նկատմամբ ՀՀ դրամի արժևորումը, 6.2 տոկոսային կետով՝ տնտեսական աճը, 1.8 տոկոսային կետով` իրական տոկոսադրույքի նվազումը, և 0.2 տոկոսային կետով՝ առաջնային պակասուրդը։ Պետական բյուջեից զուտ վարկավորումը կազմել է ՀՆԱ-ի 1.7%-ը:</w:t>
      </w:r>
    </w:p>
    <w:p w14:paraId="23B0F838" w14:textId="77777777" w:rsidR="00730639" w:rsidRPr="004A1E79" w:rsidRDefault="00730639" w:rsidP="00730639">
      <w:pPr>
        <w:rPr>
          <w:rFonts w:eastAsia="GHEA Grapalat" w:cs="GHEA Grapalat"/>
          <w:b w:val="0"/>
          <w:bCs/>
          <w:szCs w:val="22"/>
          <w:lang w:val="hy-AM"/>
        </w:rPr>
      </w:pPr>
      <w:r w:rsidRPr="004A1E79">
        <w:rPr>
          <w:rFonts w:eastAsia="GHEA Grapalat" w:cs="GHEA Grapalat"/>
          <w:i/>
          <w:szCs w:val="22"/>
          <w:lang w:val="hy-AM"/>
        </w:rPr>
        <w:t>Հարկաբյուջետային դիրքը և ազդակը:</w:t>
      </w:r>
      <w:r w:rsidRPr="004A1E79">
        <w:rPr>
          <w:rFonts w:eastAsia="GHEA Grapalat" w:cs="GHEA Grapalat"/>
          <w:szCs w:val="22"/>
          <w:lang w:val="hy-AM"/>
        </w:rPr>
        <w:t xml:space="preserve"> </w:t>
      </w:r>
      <w:r w:rsidRPr="004A1E79">
        <w:rPr>
          <w:rFonts w:eastAsia="GHEA Grapalat" w:cs="GHEA Grapalat"/>
          <w:b w:val="0"/>
          <w:bCs/>
          <w:szCs w:val="22"/>
          <w:lang w:val="hy-AM"/>
        </w:rPr>
        <w:t xml:space="preserve">2022 թվականի պետական բյուջեի ընդհանուր և առաջնային պակասուրդի ցուցանիշները զգալիորեն ցածր են եղել նախորդ 10 տարիների միջին ցուցանիշներից՝ արտացոլելով կառավարության կողմից նախանշված հարկաբյուջետային կոնսոլիդացիայի քաղաքականության իրականացումը և սպասվածից ավելի դրական տնտեսական զարգացումները։ Արդյունքում, համախառն պահանջարկի վրա հարկաբյուջետային քաղաքականությունը 2022 թվականին նախորդ տարվա նկատմամբ ունեցել է 2.2 զսպող ազդեցություն` պայմանավորված եկամուտների չեզոք (0.2), ծախսերի զսպող (2.1) ազդեցություններով: </w:t>
      </w:r>
    </w:p>
    <w:p w14:paraId="572F3656" w14:textId="77777777" w:rsidR="00730639" w:rsidRPr="004A1E79" w:rsidRDefault="00730639" w:rsidP="00730639">
      <w:pPr>
        <w:rPr>
          <w:rFonts w:eastAsia="Calibri" w:cs="Arial"/>
          <w:bCs/>
          <w:color w:val="1F497D" w:themeColor="text2"/>
          <w:szCs w:val="22"/>
          <w:u w:val="single"/>
          <w:lang w:val="hy-AM" w:eastAsia="en-US"/>
        </w:rPr>
      </w:pPr>
      <w:r w:rsidRPr="004A1E79">
        <w:rPr>
          <w:rFonts w:eastAsia="Calibri" w:cs="Arial"/>
          <w:bCs/>
          <w:color w:val="1F497D" w:themeColor="text2"/>
          <w:szCs w:val="22"/>
          <w:u w:val="single"/>
          <w:lang w:val="hy-AM" w:eastAsia="en-US"/>
        </w:rPr>
        <w:t>2023թ. ընթացիկ զարգացումներ</w:t>
      </w:r>
    </w:p>
    <w:p w14:paraId="494471B6" w14:textId="77777777" w:rsidR="00730639" w:rsidRPr="004A1E79" w:rsidRDefault="00730639" w:rsidP="00730639">
      <w:pPr>
        <w:autoSpaceDE w:val="0"/>
        <w:autoSpaceDN w:val="0"/>
        <w:adjustRightInd w:val="0"/>
        <w:rPr>
          <w:b w:val="0"/>
          <w:bCs/>
          <w:lang w:val="hy-AM"/>
        </w:rPr>
      </w:pPr>
      <w:r w:rsidRPr="004A1E79">
        <w:rPr>
          <w:rFonts w:eastAsia="Calibri"/>
          <w:szCs w:val="22"/>
          <w:lang w:val="hy-AM" w:eastAsia="en-US"/>
        </w:rPr>
        <w:tab/>
        <w:t xml:space="preserve">2023 թվականի առաջին կիսամյակում տնտեսական բարձր աճի պայմաններում և հարկաբյուջետային քաղաքականության ազդեցությունը ամբողջական պահանջարկի վրա գնահատվում է զսպող: </w:t>
      </w:r>
      <w:r w:rsidRPr="004A1E79">
        <w:rPr>
          <w:b w:val="0"/>
          <w:bCs/>
          <w:lang w:val="hy-AM"/>
        </w:rPr>
        <w:t>Ընդ որում, մի կողմից արձանագրվել է պետական բյուջեի եկամուտների գերակատարում, մյուս կողմից ծախսերի թերակատարում, ինչի արդյունքում ձևավորվել է պետական բյուջեի հավելուրդ՝ պլանավորված պակասուրդի փոխարեն:</w:t>
      </w:r>
    </w:p>
    <w:p w14:paraId="61CB1F3E" w14:textId="77777777" w:rsidR="00730639" w:rsidRPr="004A1E79" w:rsidRDefault="00730639" w:rsidP="00730639">
      <w:pPr>
        <w:autoSpaceDE w:val="0"/>
        <w:autoSpaceDN w:val="0"/>
        <w:adjustRightInd w:val="0"/>
        <w:rPr>
          <w:rFonts w:eastAsia="Calibri"/>
          <w:b w:val="0"/>
          <w:bCs/>
          <w:szCs w:val="22"/>
          <w:lang w:val="hy-AM" w:eastAsia="en-US"/>
        </w:rPr>
      </w:pPr>
      <w:r w:rsidRPr="004A1E79">
        <w:rPr>
          <w:rFonts w:eastAsia="Calibri"/>
          <w:b w:val="0"/>
          <w:bCs/>
          <w:szCs w:val="22"/>
          <w:lang w:val="hy-AM" w:eastAsia="en-US"/>
        </w:rPr>
        <w:t>Միևնույն ժամանակ, կառավարությունը շարունակել է իրականացնել տնտեսական ներուժի բարձրացման, ոլորտային զարգացման քաղաքականությունների և լրացուցիչ սոցիալական պաշտպանության միջոցառումները:</w:t>
      </w:r>
    </w:p>
    <w:p w14:paraId="487A7C58" w14:textId="77777777" w:rsidR="00730639" w:rsidRPr="00654AEF" w:rsidRDefault="00730639" w:rsidP="00730639">
      <w:pPr>
        <w:rPr>
          <w:rFonts w:cs="GHEA Grapalat"/>
          <w:bCs/>
          <w:lang w:val="hy-AM"/>
        </w:rPr>
      </w:pPr>
      <w:r w:rsidRPr="004A1E79">
        <w:rPr>
          <w:rFonts w:eastAsia="Calibri"/>
          <w:i/>
          <w:szCs w:val="22"/>
          <w:lang w:val="hy-AM" w:eastAsia="en-US"/>
        </w:rPr>
        <w:t>Պետական բյուջեի եկամուտները:</w:t>
      </w:r>
      <w:r w:rsidRPr="004A1E79">
        <w:rPr>
          <w:rFonts w:eastAsia="Calibri"/>
          <w:b w:val="0"/>
          <w:szCs w:val="22"/>
          <w:lang w:val="hy-AM" w:eastAsia="en-US"/>
        </w:rPr>
        <w:t xml:space="preserve"> </w:t>
      </w:r>
      <w:r w:rsidRPr="004A1E79">
        <w:rPr>
          <w:rFonts w:cs="GHEA Grapalat"/>
          <w:bCs/>
          <w:lang w:val="hy-AM"/>
        </w:rPr>
        <w:t>2023թ</w:t>
      </w:r>
      <w:r w:rsidRPr="004A1E79">
        <w:rPr>
          <w:rFonts w:ascii="Cambria Math" w:hAnsi="Cambria Math" w:cs="Cambria Math"/>
          <w:bCs/>
          <w:lang w:val="hy-AM"/>
        </w:rPr>
        <w:t>.</w:t>
      </w:r>
      <w:r w:rsidRPr="004A1E79">
        <w:rPr>
          <w:rFonts w:cs="GHEA Grapalat"/>
          <w:bCs/>
          <w:lang w:val="hy-AM"/>
        </w:rPr>
        <w:t xml:space="preserve"> ութ ամիսներին ՀՀ պետական բյուջեի եկամուտները շարունակում են աճել բարձր տեմպերով՝ հիմնականում պայմանավորված պահպանվող բարձր տնտեսական աճով և որոշ հարկատեսակների համար՝ տնտեսական ակտիվությանն առաջանցիկ հարկման բազաների աճերով։ </w:t>
      </w:r>
      <w:r w:rsidRPr="004A1E79">
        <w:rPr>
          <w:rFonts w:cs="GHEA Grapalat"/>
          <w:b w:val="0"/>
          <w:szCs w:val="22"/>
          <w:lang w:val="hy-AM"/>
        </w:rPr>
        <w:t>2023 թվականի հունվար-օգոստոս ամիսների արդյունքներով ՀՀ պետական բյուջեի ընդհանուր եկամուտները կազմել են 1502.2</w:t>
      </w:r>
      <w:r w:rsidRPr="004A1E79">
        <w:rPr>
          <w:rFonts w:ascii="Calibri" w:hAnsi="Calibri" w:cs="Calibri"/>
          <w:b w:val="0"/>
          <w:szCs w:val="22"/>
          <w:lang w:val="hy-AM"/>
        </w:rPr>
        <w:t> </w:t>
      </w:r>
      <w:r w:rsidRPr="004A1E79">
        <w:rPr>
          <w:rFonts w:cs="GHEA Grapalat"/>
          <w:b w:val="0"/>
          <w:szCs w:val="22"/>
          <w:lang w:val="hy-AM"/>
        </w:rPr>
        <w:t xml:space="preserve">մլրդ դրամ՝ նախորդ տարվա նույն ժամանակահատվածի համեմատ աճելով 14.5%-ով, իսկ հարկերը և տուրքերը կազմել են 1422.9 մլրդ դրամ՝ նախորդ տարվա նույն ժամանակահատվածի համեմատ </w:t>
      </w:r>
      <w:r w:rsidRPr="004A1E79">
        <w:rPr>
          <w:rFonts w:cs="GHEA Grapalat"/>
          <w:b w:val="0"/>
          <w:szCs w:val="22"/>
          <w:lang w:val="hy-AM"/>
        </w:rPr>
        <w:lastRenderedPageBreak/>
        <w:t xml:space="preserve">աճելով 15.5%-ով: </w:t>
      </w:r>
      <w:r w:rsidRPr="004A1E79">
        <w:rPr>
          <w:rFonts w:eastAsia="GHEA Grapalat" w:cs="GHEA Grapalat"/>
          <w:b w:val="0"/>
          <w:lang w:val="hy-AM"/>
        </w:rPr>
        <w:t>Հարկային եկամուտների աճը հիմնականում պայմանավորված է հարկման բազաների (հիմնականում սպառման և ներմուծման, ինչպես նաև շահույթների և աշխատավարձերի) աճով։ Միևնույն ժամանակ, հարկային եկամուտների աճին հակազդել են եկամտային հարկի դրույքաչափի նվազումը և վերադարձի ծավալների աճը, ինչպես նաև մետաղական հանքանյութերի նկատմամբ արտահանման տուրքի գործողության դադարեցումը (2022թ. սեպտեմբերի 1-ից):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716"/>
      </w:tblGrid>
      <w:tr w:rsidR="00730639" w:rsidRPr="00654AEF" w14:paraId="0A70A132" w14:textId="77777777" w:rsidTr="00E94C66">
        <w:tc>
          <w:tcPr>
            <w:tcW w:w="4705" w:type="dxa"/>
          </w:tcPr>
          <w:p w14:paraId="1E010840" w14:textId="77777777" w:rsidR="00730639" w:rsidRPr="00654AEF" w:rsidRDefault="00730639" w:rsidP="00E94C66">
            <w:pPr>
              <w:keepNext/>
              <w:keepLines/>
              <w:spacing w:line="240" w:lineRule="auto"/>
              <w:jc w:val="center"/>
              <w:rPr>
                <w:rFonts w:eastAsia="GHEA Grapalat" w:cs="GHEA Grapalat"/>
                <w:lang w:val="hy-AM"/>
              </w:rPr>
            </w:pPr>
            <w:r w:rsidRPr="00654AEF">
              <w:rPr>
                <w:rFonts w:eastAsiaTheme="majorEastAsia"/>
                <w:lang w:val="hy-AM"/>
              </w:rPr>
              <w:t>Գծապատկեր 2.1. Պետական բյուջեի հարկային եկամուտները և դրանց աճի տեմպը 2022-2023 թթ</w:t>
            </w:r>
            <w:r w:rsidRPr="00654AEF">
              <w:rPr>
                <w:rFonts w:ascii="Cambria Math" w:eastAsiaTheme="majorEastAsia" w:hAnsi="Cambria Math" w:cs="Cambria Math"/>
                <w:lang w:val="hy-AM"/>
              </w:rPr>
              <w:t>..</w:t>
            </w:r>
            <w:r w:rsidRPr="00654AEF">
              <w:rPr>
                <w:rFonts w:eastAsiaTheme="majorEastAsia"/>
                <w:lang w:val="hy-AM"/>
              </w:rPr>
              <w:t xml:space="preserve"> կուտակային</w:t>
            </w:r>
          </w:p>
        </w:tc>
        <w:tc>
          <w:tcPr>
            <w:tcW w:w="4645" w:type="dxa"/>
          </w:tcPr>
          <w:p w14:paraId="28A62F48" w14:textId="77777777" w:rsidR="00730639" w:rsidRPr="00654AEF" w:rsidRDefault="00730639" w:rsidP="00E94C66">
            <w:pPr>
              <w:keepNext/>
              <w:keepLines/>
              <w:spacing w:line="240" w:lineRule="auto"/>
              <w:jc w:val="center"/>
              <w:rPr>
                <w:rFonts w:eastAsia="GHEA Grapalat" w:cs="GHEA Grapalat"/>
                <w:lang w:val="hy-AM"/>
              </w:rPr>
            </w:pPr>
            <w:r w:rsidRPr="00654AEF">
              <w:rPr>
                <w:rFonts w:eastAsiaTheme="majorEastAsia"/>
                <w:lang w:val="hy-AM"/>
              </w:rPr>
              <w:t>Գծապատկեր 2.2. Պետական բյուջեի ծախսերի նպաստումները 2022-2023 թթ.</w:t>
            </w:r>
            <w:r w:rsidRPr="00654AEF">
              <w:rPr>
                <w:rFonts w:ascii="Cambria Math" w:eastAsiaTheme="majorEastAsia" w:hAnsi="Cambria Math" w:cs="Cambria Math"/>
                <w:lang w:val="hy-AM"/>
              </w:rPr>
              <w:t>.</w:t>
            </w:r>
            <w:r w:rsidRPr="00654AEF">
              <w:rPr>
                <w:rFonts w:eastAsiaTheme="majorEastAsia"/>
                <w:lang w:val="hy-AM"/>
              </w:rPr>
              <w:t xml:space="preserve"> ըստ ամիսների</w:t>
            </w:r>
          </w:p>
        </w:tc>
      </w:tr>
      <w:tr w:rsidR="00730639" w:rsidRPr="00654AEF" w14:paraId="21C5DB94" w14:textId="77777777" w:rsidTr="00E94C66">
        <w:tc>
          <w:tcPr>
            <w:tcW w:w="4705" w:type="dxa"/>
          </w:tcPr>
          <w:p w14:paraId="1DE4ABF2" w14:textId="77777777" w:rsidR="00730639" w:rsidRPr="00654AEF" w:rsidRDefault="00730639" w:rsidP="00E94C66">
            <w:pPr>
              <w:autoSpaceDE w:val="0"/>
              <w:autoSpaceDN w:val="0"/>
              <w:adjustRightInd w:val="0"/>
              <w:rPr>
                <w:rFonts w:eastAsia="GHEA Grapalat" w:cs="GHEA Grapalat"/>
                <w:lang w:val="hy-AM"/>
              </w:rPr>
            </w:pPr>
            <w:r w:rsidRPr="00654AEF">
              <w:rPr>
                <w:rFonts w:eastAsia="GHEA Grapalat" w:cs="GHEA Grapalat"/>
                <w:b w:val="0"/>
                <w:noProof/>
                <w:lang w:val="en-US" w:eastAsia="en-US"/>
              </w:rPr>
              <w:drawing>
                <wp:inline distT="0" distB="0" distL="0" distR="0" wp14:anchorId="0D267334" wp14:editId="171E5687">
                  <wp:extent cx="2808000" cy="2933700"/>
                  <wp:effectExtent l="0" t="0" r="11430" b="0"/>
                  <wp:docPr id="16375108" name="Chart 16375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4645" w:type="dxa"/>
          </w:tcPr>
          <w:p w14:paraId="68A51FE7" w14:textId="77777777" w:rsidR="00730639" w:rsidRPr="00654AEF" w:rsidRDefault="00730639" w:rsidP="00E94C66">
            <w:pPr>
              <w:autoSpaceDE w:val="0"/>
              <w:autoSpaceDN w:val="0"/>
              <w:adjustRightInd w:val="0"/>
              <w:rPr>
                <w:rFonts w:eastAsia="GHEA Grapalat" w:cs="GHEA Grapalat"/>
                <w:lang w:val="hy-AM"/>
              </w:rPr>
            </w:pPr>
            <w:r w:rsidRPr="00654AEF">
              <w:rPr>
                <w:rFonts w:eastAsia="GHEA Grapalat" w:cs="GHEA Grapalat"/>
                <w:b w:val="0"/>
                <w:noProof/>
                <w:color w:val="4F81BD" w:themeColor="accent1"/>
                <w:lang w:val="en-US" w:eastAsia="en-US"/>
              </w:rPr>
              <w:drawing>
                <wp:inline distT="0" distB="0" distL="0" distR="0" wp14:anchorId="01EA3B35" wp14:editId="11EE22A5">
                  <wp:extent cx="2844000" cy="2933700"/>
                  <wp:effectExtent l="0" t="0" r="1397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14:paraId="3E857D81" w14:textId="77777777" w:rsidR="00730639" w:rsidRPr="00654AEF" w:rsidRDefault="00730639" w:rsidP="00730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Arial"/>
          <w:b w:val="0"/>
          <w:bCs/>
          <w:i/>
          <w:iCs/>
          <w:sz w:val="18"/>
          <w:szCs w:val="18"/>
          <w:lang w:val="hy-AM" w:eastAsia="en-US"/>
        </w:rPr>
      </w:pPr>
      <w:r w:rsidRPr="00654AEF">
        <w:rPr>
          <w:rFonts w:eastAsia="Calibri" w:cs="Arial"/>
          <w:b w:val="0"/>
          <w:bCs/>
          <w:i/>
          <w:iCs/>
          <w:sz w:val="18"/>
          <w:szCs w:val="18"/>
          <w:lang w:val="hy-AM" w:eastAsia="en-US"/>
        </w:rPr>
        <w:t>Աղբյուրը՝ ՀՀ ՖՆ</w:t>
      </w:r>
    </w:p>
    <w:p w14:paraId="222C954F" w14:textId="77777777" w:rsidR="00730639" w:rsidRPr="004A1E79" w:rsidRDefault="00730639" w:rsidP="00730639">
      <w:pPr>
        <w:rPr>
          <w:rFonts w:cs="GHEA Grapalat"/>
          <w:b w:val="0"/>
          <w:szCs w:val="22"/>
          <w:lang w:val="hy-AM"/>
        </w:rPr>
      </w:pPr>
      <w:r w:rsidRPr="004A1E79">
        <w:rPr>
          <w:rFonts w:eastAsia="Calibri"/>
          <w:i/>
          <w:szCs w:val="22"/>
          <w:lang w:val="hy-AM" w:eastAsia="en-US"/>
        </w:rPr>
        <w:t>Պետական բյուջեի ծախսերը:</w:t>
      </w:r>
      <w:r w:rsidRPr="004A1E79">
        <w:rPr>
          <w:rFonts w:eastAsia="Calibri"/>
          <w:b w:val="0"/>
          <w:szCs w:val="22"/>
          <w:lang w:val="hy-AM" w:eastAsia="en-US"/>
        </w:rPr>
        <w:t xml:space="preserve"> </w:t>
      </w:r>
      <w:r w:rsidRPr="004A1E79">
        <w:rPr>
          <w:rFonts w:cs="GHEA Grapalat"/>
          <w:szCs w:val="22"/>
          <w:lang w:val="hy-AM"/>
        </w:rPr>
        <w:t>Պետական բյուջեի ծախսերը 2023 թվականի առաջին ութ ամիսներին աճել են՝ պայմանավորված ինչպես ընթացիկ, այնպես էլ կապիտալ ծախսերի աճերով:</w:t>
      </w:r>
      <w:r w:rsidRPr="004A1E79">
        <w:rPr>
          <w:rFonts w:cs="GHEA Grapalat"/>
          <w:b w:val="0"/>
          <w:szCs w:val="22"/>
          <w:lang w:val="hy-AM"/>
        </w:rPr>
        <w:t xml:space="preserve"> 2023 թվականի ութ ամիսներին պետական բյուջեի ծախսերը կազմել են 1,430.6 մլրդ դրամ՝ նախորդ տարվա նույն ժամանակահատվածի համեմատ աճելով 13.7%-ով: Նույն ժամանակահատվածում ընթացիկ ծախսերը կազմել են 1,241.3</w:t>
      </w:r>
      <w:r w:rsidRPr="004A1E79">
        <w:rPr>
          <w:rFonts w:ascii="Calibri" w:hAnsi="Calibri" w:cs="Calibri"/>
          <w:b w:val="0"/>
          <w:szCs w:val="22"/>
          <w:lang w:val="hy-AM"/>
        </w:rPr>
        <w:t> </w:t>
      </w:r>
      <w:r w:rsidRPr="004A1E79">
        <w:rPr>
          <w:rFonts w:cs="GHEA Grapalat"/>
          <w:b w:val="0"/>
          <w:szCs w:val="22"/>
          <w:lang w:val="hy-AM"/>
        </w:rPr>
        <w:t>մլրդ դրամ` նախորդ տարվա նույն ժամանակահատվածի համեմատ աճելով 11.7%</w:t>
      </w:r>
      <w:r w:rsidRPr="004A1E79">
        <w:rPr>
          <w:rFonts w:cs="GHEA Grapalat"/>
          <w:b w:val="0"/>
          <w:szCs w:val="22"/>
          <w:lang w:val="hy-AM"/>
        </w:rPr>
        <w:noBreakHyphen/>
        <w:t xml:space="preserve">ով: </w:t>
      </w:r>
    </w:p>
    <w:p w14:paraId="2368AA34" w14:textId="77777777" w:rsidR="00730639" w:rsidRPr="004A1E79" w:rsidRDefault="00730639" w:rsidP="00730639">
      <w:pPr>
        <w:rPr>
          <w:rFonts w:cs="GHEA Grapalat"/>
          <w:b w:val="0"/>
          <w:szCs w:val="22"/>
          <w:lang w:val="hy-AM"/>
        </w:rPr>
      </w:pPr>
      <w:r w:rsidRPr="004A1E79">
        <w:rPr>
          <w:rFonts w:cs="GHEA Grapalat"/>
          <w:b w:val="0"/>
          <w:szCs w:val="22"/>
          <w:lang w:val="hy-AM"/>
        </w:rPr>
        <w:t>Ոչ ֆինանսական ակտիվների հետ գործառնությունները կազմել են 189.3 մլրդ դրամ, որում ոչ ֆինանսական ակտիվների գծով ծախսերը (կապիտալ ծախսեր) կազմել են 194.3 մլրդ դրամ` նախորդ տարվա նույն ժամանակահատվածի նկատմամբ աճելով 28.2%</w:t>
      </w:r>
      <w:r w:rsidRPr="004A1E79">
        <w:rPr>
          <w:rFonts w:cs="GHEA Grapalat"/>
          <w:b w:val="0"/>
          <w:szCs w:val="22"/>
          <w:lang w:val="hy-AM"/>
        </w:rPr>
        <w:noBreakHyphen/>
        <w:t xml:space="preserve">ով: </w:t>
      </w:r>
    </w:p>
    <w:p w14:paraId="015650B4" w14:textId="77777777" w:rsidR="00730639" w:rsidRPr="004A1E79" w:rsidRDefault="00730639" w:rsidP="00730639">
      <w:pPr>
        <w:rPr>
          <w:rFonts w:cs="GHEA Grapalat"/>
          <w:b w:val="0"/>
          <w:noProof/>
          <w:szCs w:val="22"/>
          <w:lang w:val="hy-AM" w:eastAsia="en-US"/>
        </w:rPr>
      </w:pPr>
      <w:r w:rsidRPr="004A1E79">
        <w:rPr>
          <w:rFonts w:eastAsia="Calibri"/>
          <w:i/>
          <w:szCs w:val="22"/>
          <w:lang w:val="hy-AM" w:eastAsia="en-US"/>
        </w:rPr>
        <w:t xml:space="preserve">Հարկաբյուջետային քաղաքականության արձագանքը մակրոտնտեսական զարգացումներին: </w:t>
      </w:r>
      <w:r w:rsidRPr="004A1E79">
        <w:rPr>
          <w:rFonts w:cs="GHEA Grapalat"/>
          <w:bCs/>
          <w:iCs/>
          <w:noProof/>
          <w:szCs w:val="22"/>
          <w:lang w:val="hy-AM" w:eastAsia="en-US"/>
        </w:rPr>
        <w:t>Սոցիալ-տնտեսական իրավիճակով պայմանավորված՝ հարկաբյուջետային քաղաքականության աջակցության միջոցառումների իրականացումը շարունակվել է նաև 2023 թվականի հունվար-օգոստոս ամիսներին:</w:t>
      </w:r>
      <w:r w:rsidRPr="004A1E79">
        <w:rPr>
          <w:rFonts w:cs="GHEA Grapalat"/>
          <w:b w:val="0"/>
          <w:bCs/>
          <w:iCs/>
          <w:noProof/>
          <w:szCs w:val="22"/>
          <w:lang w:val="hy-AM" w:eastAsia="en-US"/>
        </w:rPr>
        <w:t xml:space="preserve"> Տնտեսության արդիականացման պետական ծրագրի ներքո, որը ներառում է արտադրական կարողությունների արդիականացման (նոր մեքենա-սարքավորումների ձեռքբերման նպատակով տրամադրված վարկերի/լիզինգի տոկոսադույքների սուբսիդավորում) և բարձր որակավորում ունեցող մասնագետների ներգրավման (բարձր որակավորում ունեցող մասնագետի աշխատավարձի և դրան հավասարեցված այլ վճարների 20-70% փոխհատուցում) </w:t>
      </w:r>
      <w:r w:rsidRPr="004A1E79">
        <w:rPr>
          <w:rFonts w:cs="GHEA Grapalat"/>
          <w:b w:val="0"/>
          <w:bCs/>
          <w:iCs/>
          <w:noProof/>
          <w:szCs w:val="22"/>
          <w:lang w:val="hy-AM" w:eastAsia="en-US"/>
        </w:rPr>
        <w:lastRenderedPageBreak/>
        <w:t xml:space="preserve">միջոցառումները, տնտեսավարողներին որպես աջակցություն տրամադրվել է շուրջ 3.4 մլրդ դրամ։ Իսկ </w:t>
      </w:r>
      <w:r w:rsidRPr="004A1E79">
        <w:rPr>
          <w:rFonts w:cs="GHEA Grapalat"/>
          <w:b w:val="0"/>
          <w:noProof/>
          <w:szCs w:val="22"/>
          <w:lang w:val="hy-AM" w:eastAsia="en-US"/>
        </w:rPr>
        <w:t>«</w:t>
      </w:r>
      <w:r w:rsidRPr="004A1E79">
        <w:rPr>
          <w:rFonts w:cs="GHEA Grapalat"/>
          <w:b w:val="0"/>
          <w:bCs/>
          <w:noProof/>
          <w:szCs w:val="22"/>
          <w:lang w:val="hy-AM" w:eastAsia="en-US"/>
        </w:rPr>
        <w:t xml:space="preserve">Պետական աջակցություն տեղեկատվական տեխնոլոգիաների ոլորտում գործունեություն իրականացնող առևտրային կազմակերպություններին և անհատ ձեռնարկատերերին» ծրագրի </w:t>
      </w:r>
      <w:r w:rsidRPr="004A1E79">
        <w:rPr>
          <w:rFonts w:cs="GHEA Grapalat"/>
          <w:b w:val="0"/>
          <w:noProof/>
          <w:szCs w:val="22"/>
          <w:lang w:val="hy-AM" w:eastAsia="en-US"/>
        </w:rPr>
        <w:t xml:space="preserve">գծով, որով ՏՏ ոլորտի կազմակերպությունները օժանդակություն են ստանում նոր աշխատակիցների վճարած եկամտային հարկի 50%-ի չափով, փաստացի ծախսերը կազմել են շուրջ 12.7 մլրդ դրամ: </w:t>
      </w:r>
    </w:p>
    <w:p w14:paraId="6762CBA0" w14:textId="77777777" w:rsidR="00730639" w:rsidRPr="004A1E79" w:rsidRDefault="00730639" w:rsidP="00730639">
      <w:pPr>
        <w:rPr>
          <w:rFonts w:cs="GHEA Grapalat"/>
          <w:b w:val="0"/>
          <w:noProof/>
          <w:szCs w:val="22"/>
          <w:lang w:val="hy-AM" w:eastAsia="en-US"/>
        </w:rPr>
      </w:pPr>
      <w:r w:rsidRPr="004A1E79">
        <w:rPr>
          <w:rFonts w:cs="GHEA Grapalat"/>
          <w:b w:val="0"/>
          <w:noProof/>
          <w:szCs w:val="22"/>
          <w:lang w:val="hy-AM" w:eastAsia="en-US"/>
        </w:rPr>
        <w:t>Գյուղատնտեսություն ոլորտի խթանման ծրագրերը կազմել են 9.8 մլրդ դրամ (որում ներառված է նաև գյուղատնտեսական վարկերի տոկոսադրույքների սուբսիդավորումը (6.2 մլրդ դրամ), իսկ գյուղատնտեսական արդիականացման ծրագրերով հատկացվել է 8.0 մլրդ դրամ(որում ինտենսիվ այգեգործության զարգացման նպատակով սուբսիդավորումը կազմել է 4.4 մլրդ դրամ, իսկ գյուղատնտեսական տեխնիկայի  և ագրոպարենային ոլորտի սարքավորումների  լիզինգի  աջակցությունը (1.6</w:t>
      </w:r>
      <w:r w:rsidRPr="004A1E79">
        <w:rPr>
          <w:rFonts w:ascii="Calibri" w:hAnsi="Calibri" w:cs="Calibri"/>
          <w:b w:val="0"/>
          <w:noProof/>
          <w:szCs w:val="22"/>
          <w:lang w:val="hy-AM" w:eastAsia="en-US"/>
        </w:rPr>
        <w:t> </w:t>
      </w:r>
      <w:r w:rsidRPr="004A1E79">
        <w:rPr>
          <w:rFonts w:cs="GHEA Grapalat"/>
          <w:b w:val="0"/>
          <w:noProof/>
          <w:szCs w:val="22"/>
          <w:lang w:val="hy-AM" w:eastAsia="en-US"/>
        </w:rPr>
        <w:t>մլրդ դրամ) և գյուղատնտեսության ոլորտի սուբսիդավորման այլ ծրագրեր): Աճել է ՀՀ պետական բյուջեից Լեռնային Ղարաբաղին տրամադրված միջպետական վարկի ծավալը՝ կազմելով 131.6 մլրդ դրամ՝ նախորդ տարվա նույն ժամանակահատվածի 117.4 մլրդ դրամի համեմատ:</w:t>
      </w:r>
    </w:p>
    <w:p w14:paraId="542AA8D8" w14:textId="77777777" w:rsidR="00730639" w:rsidRPr="004A1E79" w:rsidRDefault="00730639" w:rsidP="00730639">
      <w:pPr>
        <w:rPr>
          <w:rFonts w:eastAsia="Calibri"/>
          <w:b w:val="0"/>
          <w:szCs w:val="22"/>
          <w:lang w:val="hy-AM" w:eastAsia="en-US"/>
        </w:rPr>
      </w:pPr>
      <w:r w:rsidRPr="004A1E79">
        <w:rPr>
          <w:rFonts w:eastAsia="Calibri"/>
          <w:i/>
          <w:szCs w:val="22"/>
          <w:lang w:val="hy-AM" w:eastAsia="en-US"/>
        </w:rPr>
        <w:t>Պետական բյուջեի պակասուրդը (հավելուրդը):</w:t>
      </w:r>
      <w:r w:rsidRPr="004A1E79">
        <w:rPr>
          <w:rFonts w:eastAsia="Calibri"/>
          <w:b w:val="0"/>
          <w:szCs w:val="22"/>
          <w:lang w:val="hy-AM" w:eastAsia="en-US"/>
        </w:rPr>
        <w:t xml:space="preserve"> </w:t>
      </w:r>
      <w:r w:rsidRPr="004A1E79">
        <w:rPr>
          <w:rFonts w:eastAsia="Calibri"/>
          <w:szCs w:val="22"/>
          <w:lang w:val="hy-AM" w:eastAsia="en-US"/>
        </w:rPr>
        <w:t>Վերոնշյալ զարգացումների արդյունքում պետական բյուջեն եղել է հավելուրդային:</w:t>
      </w:r>
      <w:r w:rsidRPr="004A1E79">
        <w:rPr>
          <w:rFonts w:eastAsia="Calibri"/>
          <w:b w:val="0"/>
          <w:szCs w:val="22"/>
          <w:lang w:val="hy-AM" w:eastAsia="en-US"/>
        </w:rPr>
        <w:t xml:space="preserve"> 2023 թվականի առաջին ութ ամիսների ընթացքում ձևավորվել է պետական բյուջեի 71.6 մլրդ դրամի հավելուրդ՝ նախորդ տարվա նույն ժամանակահատվածի 53.7 մլրդ դրամի հավելուրդի դիմաց:</w:t>
      </w:r>
    </w:p>
    <w:p w14:paraId="039C451B" w14:textId="77777777" w:rsidR="00730639" w:rsidRPr="004A1E79" w:rsidRDefault="00730639" w:rsidP="00730639">
      <w:pPr>
        <w:rPr>
          <w:rFonts w:eastAsia="Calibri"/>
          <w:b w:val="0"/>
          <w:szCs w:val="22"/>
          <w:lang w:val="hy-AM" w:eastAsia="en-US"/>
        </w:rPr>
      </w:pPr>
      <w:r w:rsidRPr="004A1E79">
        <w:rPr>
          <w:rFonts w:eastAsia="Calibri"/>
          <w:i/>
          <w:szCs w:val="22"/>
          <w:lang w:val="hy-AM" w:eastAsia="en-US"/>
        </w:rPr>
        <w:t>Հարկաբյուջետային ազդակը:</w:t>
      </w:r>
      <w:r w:rsidRPr="004A1E79">
        <w:rPr>
          <w:rFonts w:eastAsia="Calibri"/>
          <w:b w:val="0"/>
          <w:szCs w:val="22"/>
          <w:lang w:val="hy-AM" w:eastAsia="en-US"/>
        </w:rPr>
        <w:t xml:space="preserve"> 2023 թվականի առաջին կիսամյակի ընթացքում տնտեսության վերականգնման պայմաններում հարկաբյուջետային քաղաքականության ազդեցությունն ամբողջական պահանջարկի վրա գնահատվում է շուրջ -0.6% զսպող` պայմանավորված եկամուտների թույլ զսպող (-0.4) և ծախսերի (-0.2) չեզոքին մոտ ազդեցություններով: </w:t>
      </w:r>
    </w:p>
    <w:p w14:paraId="1D13E019" w14:textId="77777777" w:rsidR="00730639" w:rsidRPr="004A1E79" w:rsidRDefault="00730639" w:rsidP="00730639">
      <w:pPr>
        <w:rPr>
          <w:rFonts w:eastAsia="Calibri" w:cs="Arial"/>
          <w:bCs/>
          <w:color w:val="1F497D" w:themeColor="text2"/>
          <w:szCs w:val="22"/>
          <w:u w:val="single"/>
          <w:lang w:val="hy-AM" w:eastAsia="en-US"/>
        </w:rPr>
      </w:pPr>
      <w:r w:rsidRPr="004A1E79">
        <w:rPr>
          <w:rFonts w:eastAsia="Calibri" w:cs="Arial"/>
          <w:bCs/>
          <w:color w:val="1F497D" w:themeColor="text2"/>
          <w:szCs w:val="22"/>
          <w:u w:val="single"/>
          <w:lang w:val="hy-AM" w:eastAsia="en-US"/>
        </w:rPr>
        <w:t xml:space="preserve">Կարճաժամկետ կանխատեսումներ </w:t>
      </w:r>
    </w:p>
    <w:p w14:paraId="1E88D6E8" w14:textId="77777777" w:rsidR="00730639" w:rsidRPr="004A1E79" w:rsidRDefault="00730639" w:rsidP="00730639">
      <w:pPr>
        <w:rPr>
          <w:rFonts w:eastAsia="Calibri"/>
          <w:b w:val="0"/>
          <w:lang w:val="hy-AM"/>
        </w:rPr>
      </w:pPr>
      <w:r w:rsidRPr="004A1E79">
        <w:rPr>
          <w:rFonts w:eastAsia="Calibri"/>
          <w:bCs/>
          <w:lang w:val="hy-AM"/>
        </w:rPr>
        <w:t>2023թ</w:t>
      </w:r>
      <w:r w:rsidRPr="004A1E79">
        <w:rPr>
          <w:rFonts w:ascii="Cambria Math" w:eastAsia="Calibri" w:hAnsi="Cambria Math" w:cs="Cambria Math"/>
          <w:bCs/>
          <w:lang w:val="hy-AM"/>
        </w:rPr>
        <w:t>․</w:t>
      </w:r>
      <w:r w:rsidRPr="004A1E79">
        <w:rPr>
          <w:rFonts w:eastAsia="Calibri"/>
          <w:bCs/>
          <w:lang w:val="hy-AM"/>
        </w:rPr>
        <w:t xml:space="preserve"> նպատակ ունենալով նպաստել տնտեսական աճի ներուժի բարձրացմանը և պահպանել հարկաբյուջետային կայունությունը՝ թիրախավորվել է էապես բարձրացնել պետական ներդումների մակարդակը և պահպանել կառավարության պարտք/ՀՆԱ ցուցանիշը 50%-ից ցածր մակարդակում: </w:t>
      </w:r>
      <w:r w:rsidRPr="004A1E79">
        <w:rPr>
          <w:rFonts w:eastAsia="Calibri"/>
          <w:b w:val="0"/>
          <w:lang w:val="hy-AM"/>
        </w:rPr>
        <w:t>2023թ</w:t>
      </w:r>
      <w:r w:rsidRPr="004A1E79">
        <w:rPr>
          <w:rFonts w:ascii="Cambria Math" w:eastAsia="Calibri" w:hAnsi="Cambria Math" w:cs="Cambria Math"/>
          <w:b w:val="0"/>
          <w:lang w:val="hy-AM"/>
        </w:rPr>
        <w:t>․</w:t>
      </w:r>
      <w:r w:rsidRPr="004A1E79">
        <w:rPr>
          <w:rFonts w:eastAsia="Calibri"/>
          <w:b w:val="0"/>
          <w:lang w:val="hy-AM"/>
        </w:rPr>
        <w:t xml:space="preserve"> հարկաբյուջետային քաղաքականությունը կշարունակի ելնել բնականոն իրավիճակների համար սահմանված ծախսային կանոնների, այդ թվում՝ պետական ֆինանսների «ոսկե կանոնների» և ընթացիկ առաջնային ծախսերի աճի տեմպի՝ երկարաժամկետ տնտեսական աճի միջին տեմպով սահմանափակման կանոնի ամբողջական պահպանման տրամաբանության ներքո: Միաժամանակ, հարկաբյուջետային կայունությունը անխախտ պահելու և հարկաբյուջետային քաղաքականության ճկունությունը ապահովելու տեսակետից բյուջեի պակասուրդը  թիրախավորվել է այնպիսի մակարդակում, որը կապահովի կառավարության պարտք/ՀՆԱ ցուցանիշի պահպանումը ՀՆԱ 50%-ի շեմը չգերազանցող մակարդակում։ </w:t>
      </w:r>
    </w:p>
    <w:p w14:paraId="02A94220" w14:textId="77777777" w:rsidR="00730639" w:rsidRPr="004A1E79" w:rsidRDefault="00730639" w:rsidP="00730639">
      <w:pPr>
        <w:autoSpaceDE w:val="0"/>
        <w:autoSpaceDN w:val="0"/>
        <w:adjustRightInd w:val="0"/>
        <w:rPr>
          <w:rFonts w:eastAsia="Calibri" w:cs="GHEA Grapalat"/>
          <w:b w:val="0"/>
          <w:bCs/>
          <w:szCs w:val="22"/>
          <w:lang w:val="hy-AM" w:eastAsia="en-US"/>
        </w:rPr>
      </w:pPr>
      <w:r w:rsidRPr="004A1E79">
        <w:rPr>
          <w:rFonts w:eastAsia="Calibri" w:cs="GHEA Grapalat"/>
          <w:b w:val="0"/>
          <w:bCs/>
          <w:szCs w:val="22"/>
          <w:lang w:val="hy-AM" w:eastAsia="en-US"/>
        </w:rPr>
        <w:t xml:space="preserve">2023թ.-ին օրենսդրական բարեփոխումների, հարկային վարչարարության բարելավմանն ուղղված միջոցառումների և տնտեսական գործոնների (հարկման բազաների՝ անվանական ՀՆԱ-ն գերազանցող աճ) արդյունքում ակնկալվում է, որ հարկային եկամուտները ՀՆԱ-ի նկատմամբ կբարելավվեն շուրջ 1.0 տոկոսային կետով՝ կազմելով </w:t>
      </w:r>
      <w:r w:rsidRPr="004A1E79">
        <w:rPr>
          <w:rFonts w:eastAsia="Calibri" w:cs="GHEA Grapalat"/>
          <w:b w:val="0"/>
          <w:szCs w:val="22"/>
          <w:lang w:val="hy-AM" w:eastAsia="en-US"/>
        </w:rPr>
        <w:t>24.1%</w:t>
      </w:r>
      <w:r w:rsidRPr="004A1E79">
        <w:rPr>
          <w:rFonts w:eastAsia="Calibri" w:cs="GHEA Grapalat"/>
          <w:b w:val="0"/>
          <w:bCs/>
          <w:szCs w:val="22"/>
          <w:lang w:val="hy-AM" w:eastAsia="en-US"/>
        </w:rPr>
        <w:t xml:space="preserve"> կամ </w:t>
      </w:r>
      <w:r w:rsidRPr="004A1E79">
        <w:rPr>
          <w:rFonts w:eastAsia="Calibri" w:cs="GHEA Grapalat"/>
          <w:b w:val="0"/>
          <w:szCs w:val="22"/>
          <w:lang w:val="hy-AM" w:eastAsia="en-US"/>
        </w:rPr>
        <w:t xml:space="preserve">2,277.8 մլրդ դրամ։ Ընդ որում, </w:t>
      </w:r>
      <w:r w:rsidRPr="004A1E79">
        <w:rPr>
          <w:rFonts w:eastAsia="Calibri" w:cs="GHEA Grapalat"/>
          <w:b w:val="0"/>
          <w:szCs w:val="22"/>
          <w:lang w:val="hy-AM" w:eastAsia="en-US"/>
        </w:rPr>
        <w:lastRenderedPageBreak/>
        <w:t>ինչպես համեմատվող, այնպես էլ համեմատելի տարիների տվյալներում ներառված է  հիփոթեքային վարկի վճարված տոկոսների չափով եկամտային հարկի գումարների վերադարձը՝ ՀՆԱ-ի նկատմամբ համապատասխանաբար 0.6 և 0.4 տոկոսի չափով։</w:t>
      </w:r>
      <w:r w:rsidRPr="004A1E79">
        <w:rPr>
          <w:rFonts w:eastAsia="Calibri" w:cs="GHEA Grapalat"/>
          <w:b w:val="0"/>
          <w:bCs/>
          <w:szCs w:val="22"/>
          <w:lang w:val="hy-AM" w:eastAsia="en-US"/>
        </w:rPr>
        <w:t xml:space="preserve"> </w:t>
      </w:r>
    </w:p>
    <w:p w14:paraId="325A6FD0" w14:textId="77777777" w:rsidR="00730639" w:rsidRPr="004A1E79" w:rsidRDefault="00730639" w:rsidP="00730639">
      <w:pPr>
        <w:autoSpaceDE w:val="0"/>
        <w:autoSpaceDN w:val="0"/>
        <w:adjustRightInd w:val="0"/>
        <w:rPr>
          <w:rFonts w:eastAsia="Calibri" w:cs="GHEA Grapalat"/>
          <w:b w:val="0"/>
          <w:bCs/>
          <w:szCs w:val="22"/>
          <w:lang w:val="hy-AM" w:eastAsia="en-US"/>
        </w:rPr>
      </w:pPr>
      <w:r w:rsidRPr="004A1E79">
        <w:rPr>
          <w:rFonts w:eastAsia="Calibri" w:cs="GHEA Grapalat"/>
          <w:b w:val="0"/>
          <w:bCs/>
          <w:szCs w:val="22"/>
          <w:lang w:val="hy-AM" w:eastAsia="en-US"/>
        </w:rPr>
        <w:t xml:space="preserve">Միևնույն ժամանակ, </w:t>
      </w:r>
      <w:r w:rsidRPr="004A1E79">
        <w:rPr>
          <w:rFonts w:eastAsia="Calibri" w:cs="GHEA Grapalat"/>
          <w:b w:val="0"/>
          <w:szCs w:val="22"/>
          <w:lang w:val="hy-AM" w:eastAsia="en-US"/>
        </w:rPr>
        <w:t xml:space="preserve">պետական բյուջեի ընդհանուր ծախսերը ՀՆԱ-ի նկատմամբ կավելանան շուրջ 1.3 տոկոսային կետով՝ կազմելով 28.1 %, որը 2,653.4 մլրդ դրամ (պայմանավորված ինչպես կապիտալ, այնպես էլ ընթացիկ ծախսերով՝ գրեթե հավասարապես, (վերջինում նույնպես ներառված է հիփոթեքային վարկի վճարված տոկոսների չափով եկամտային հարկի գումարների վերադարձը))։  Արդյունքում, պետական բյուջեի պակասուրդը 2022 թվականի նկատմամբ կավելանա՝ կազմելով շուրջ 245.3 մլրդ դրամ, կամ կկազմի ՀՆԱ-ի շուրջ 2.6%-ը, իսկ հարկաբյուջետային քաղաքականության ազդեցությունը ամբողջական պահանջարկի վրա կլինի զսպող (եկամուտների (-0.8%) զսպող և ծախսերի (-0.2%) չեզոք ազդեցություններով): </w:t>
      </w:r>
    </w:p>
    <w:p w14:paraId="52803C28" w14:textId="77777777" w:rsidR="00730639" w:rsidRDefault="00730639" w:rsidP="00730639">
      <w:pPr>
        <w:autoSpaceDE w:val="0"/>
        <w:autoSpaceDN w:val="0"/>
        <w:adjustRightInd w:val="0"/>
        <w:spacing w:after="120"/>
        <w:rPr>
          <w:rFonts w:eastAsia="Calibri"/>
          <w:b w:val="0"/>
          <w:szCs w:val="22"/>
          <w:lang w:val="hy-AM" w:eastAsia="en-US"/>
        </w:rPr>
      </w:pPr>
      <w:r w:rsidRPr="004A1E79">
        <w:rPr>
          <w:rFonts w:eastAsia="Calibri"/>
          <w:szCs w:val="22"/>
          <w:lang w:val="hy-AM" w:eastAsia="en-US"/>
        </w:rPr>
        <w:t>Նպատակ ունենալով նպաստել տնտեսական աճի ներուժի բարձրացմանը և միաժամանակ ապահովել հարկաբյուջետային կայունություն՝ հարկաբյուջետային քաղաքականությամբ 2024թ. թիրախավորվել է էապես բարձրացնել պետական ներդրումների մակարդակը և միաժամանակ ապահովել ՀՀ կառավարության պարտքի բեռի նվազող միտումը:</w:t>
      </w:r>
      <w:r w:rsidRPr="004A1E79">
        <w:rPr>
          <w:rFonts w:eastAsia="Calibri"/>
          <w:b w:val="0"/>
          <w:bCs/>
          <w:szCs w:val="22"/>
          <w:lang w:val="hy-AM" w:eastAsia="en-US"/>
        </w:rPr>
        <w:t xml:space="preserve"> </w:t>
      </w:r>
      <w:r w:rsidRPr="004A1E79">
        <w:rPr>
          <w:rFonts w:eastAsia="Calibri"/>
          <w:b w:val="0"/>
          <w:szCs w:val="22"/>
          <w:lang w:val="hy-AM" w:eastAsia="en-US"/>
        </w:rPr>
        <w:t>Հարկային վարչարարության բարելավման և օրենսդրության բարեփոխումների արդյունքում, ակնկալվում է, որ հարկեր/ՀՆԱ հարաբերակցությունը 2024թ.-ին կբարելավվի շուրջ 0.75 տոկոսային կետով՝ կազմելով շուրջ 2,613.6 մլրդ դրամ, կամ ՀՆԱ-ի 24.9%-ը,</w:t>
      </w:r>
      <w:r w:rsidRPr="004A1E79">
        <w:rPr>
          <w:rFonts w:eastAsia="Calibri" w:cs="GHEA Grapalat"/>
          <w:b w:val="0"/>
          <w:szCs w:val="22"/>
          <w:lang w:val="hy-AM" w:eastAsia="en-US"/>
        </w:rPr>
        <w:t xml:space="preserve"> որում ներառված է 72.0 մլրդ դրամ հիփոթեքային վարկի վճարված տոկոսների չափով եկամտային հարկի գումարների վերադարձը, որը ՀՆԱ-ում կազմում է 0.7 տոկոս</w:t>
      </w:r>
      <w:r w:rsidRPr="004A1E79">
        <w:rPr>
          <w:rFonts w:eastAsia="Calibri" w:cs="GHEA Grapalat"/>
          <w:b w:val="0"/>
          <w:bCs/>
          <w:szCs w:val="22"/>
          <w:lang w:val="hy-AM" w:eastAsia="en-US"/>
        </w:rPr>
        <w:t>:</w:t>
      </w:r>
      <w:r w:rsidRPr="004A1E79">
        <w:rPr>
          <w:rFonts w:eastAsia="Calibri"/>
          <w:b w:val="0"/>
          <w:szCs w:val="22"/>
          <w:lang w:val="hy-AM" w:eastAsia="en-US"/>
        </w:rPr>
        <w:t xml:space="preserve"> </w:t>
      </w:r>
      <w:r>
        <w:rPr>
          <w:rFonts w:eastAsia="Calibri"/>
          <w:b w:val="0"/>
          <w:szCs w:val="22"/>
          <w:lang w:val="hy-AM" w:eastAsia="en-US"/>
        </w:rPr>
        <w:t xml:space="preserve">Հարկեր/ՀՆԱ հարաբերակցության բարելավումը պայմանավորված կլինի ինչպես հարկային վարչարարության բարելավմամբ (ՀՆԱ-ի նկատմամբ շուրջ 0.5 տոկոսային կետի չափով), այնպես էլ հարկային քաղաքականության բարեփոխումներով (ՀՆԱ-ի նկատմամբ շուրջ 0.25 տոկոսային կետի չափով): </w:t>
      </w:r>
      <w:r w:rsidRPr="004A1E79">
        <w:rPr>
          <w:rFonts w:eastAsia="Calibri"/>
          <w:b w:val="0"/>
          <w:szCs w:val="22"/>
          <w:lang w:val="hy-AM" w:eastAsia="en-US"/>
        </w:rPr>
        <w:t xml:space="preserve">Ընդ որում, ակնկալվում է, որ հարկային եկամուտների բարելավումը կապահովվի բոլոր հիմնական հարկատեսակների գծով՝ բխելով ինչպես հարկման բազաների, այնպես էլ օրենսդրության և վարչարարության միջոցառումների ազդեցությունից։ </w:t>
      </w:r>
      <w:r>
        <w:rPr>
          <w:rFonts w:eastAsia="Calibri"/>
          <w:b w:val="0"/>
          <w:szCs w:val="22"/>
          <w:lang w:val="hy-AM" w:eastAsia="en-US"/>
        </w:rPr>
        <w:t xml:space="preserve"> </w:t>
      </w:r>
    </w:p>
    <w:p w14:paraId="1C90A0DA" w14:textId="77777777" w:rsidR="00730639" w:rsidRPr="009A615D" w:rsidRDefault="00730639" w:rsidP="00730639">
      <w:pPr>
        <w:spacing w:before="0"/>
        <w:rPr>
          <w:rFonts w:cs="Calibri"/>
          <w:b w:val="0"/>
          <w:bCs/>
          <w:iCs/>
          <w:szCs w:val="22"/>
          <w:lang w:val="hy-AM" w:eastAsia="en-US"/>
        </w:rPr>
      </w:pPr>
      <w:bookmarkStart w:id="96" w:name="_Hlk152316570"/>
      <w:r w:rsidRPr="00654AEF">
        <w:rPr>
          <w:rFonts w:eastAsia="Calibri" w:cs="Arial"/>
          <w:iCs/>
          <w:szCs w:val="22"/>
          <w:lang w:val="hy-AM" w:eastAsia="en-US"/>
        </w:rPr>
        <w:t>Աղյուսակ</w:t>
      </w:r>
      <w:r>
        <w:rPr>
          <w:rFonts w:eastAsia="Calibri" w:cs="Arial"/>
          <w:iCs/>
          <w:szCs w:val="22"/>
          <w:lang w:val="hy-AM" w:eastAsia="en-US"/>
        </w:rPr>
        <w:t xml:space="preserve"> 2.2. </w:t>
      </w:r>
      <w:r w:rsidRPr="009A615D">
        <w:rPr>
          <w:rFonts w:eastAsia="Calibri" w:cs="Arial"/>
          <w:b w:val="0"/>
          <w:bCs/>
          <w:iCs/>
          <w:szCs w:val="22"/>
          <w:lang w:val="hy-AM" w:eastAsia="en-US"/>
        </w:rPr>
        <w:t>Հարկային եկամուտների կանխատեսումներն ըստ առանձին հարկատեսակների</w:t>
      </w:r>
      <w:r w:rsidRPr="009A615D">
        <w:rPr>
          <w:rStyle w:val="FootnoteReference"/>
          <w:rFonts w:eastAsia="Calibri" w:cs="Arial"/>
          <w:b w:val="0"/>
          <w:bCs/>
          <w:iCs/>
          <w:lang w:val="hy-AM" w:eastAsia="en-US"/>
        </w:rPr>
        <w:footnoteReference w:id="22"/>
      </w:r>
    </w:p>
    <w:tbl>
      <w:tblPr>
        <w:tblW w:w="9578" w:type="dxa"/>
        <w:tblBorders>
          <w:top w:val="single" w:sz="4" w:space="0" w:color="auto"/>
          <w:bottom w:val="single" w:sz="4" w:space="0" w:color="auto"/>
          <w:insideH w:val="single" w:sz="4" w:space="0" w:color="auto"/>
        </w:tblBorders>
        <w:tblLook w:val="04A0" w:firstRow="1" w:lastRow="0" w:firstColumn="1" w:lastColumn="0" w:noHBand="0" w:noVBand="1"/>
      </w:tblPr>
      <w:tblGrid>
        <w:gridCol w:w="3173"/>
        <w:gridCol w:w="1251"/>
        <w:gridCol w:w="982"/>
        <w:gridCol w:w="1261"/>
        <w:gridCol w:w="903"/>
        <w:gridCol w:w="1064"/>
        <w:gridCol w:w="944"/>
      </w:tblGrid>
      <w:tr w:rsidR="00730639" w:rsidRPr="00D94781" w14:paraId="106AEEA8" w14:textId="77777777" w:rsidTr="00E94C66">
        <w:trPr>
          <w:trHeight w:val="324"/>
        </w:trPr>
        <w:tc>
          <w:tcPr>
            <w:tcW w:w="3173" w:type="dxa"/>
            <w:vMerge w:val="restart"/>
            <w:shd w:val="clear" w:color="auto" w:fill="auto"/>
            <w:noWrap/>
            <w:vAlign w:val="bottom"/>
            <w:hideMark/>
          </w:tcPr>
          <w:bookmarkEnd w:id="96"/>
          <w:p w14:paraId="73778842" w14:textId="77777777" w:rsidR="00730639" w:rsidRPr="00DE5FA5" w:rsidRDefault="00730639" w:rsidP="00E94C66">
            <w:pPr>
              <w:spacing w:before="0" w:line="240" w:lineRule="auto"/>
              <w:jc w:val="center"/>
              <w:rPr>
                <w:b w:val="0"/>
                <w:color w:val="000000"/>
                <w:sz w:val="20"/>
                <w:szCs w:val="20"/>
                <w:lang w:val="hy-AM" w:eastAsia="en-US"/>
              </w:rPr>
            </w:pPr>
            <w:r w:rsidRPr="00DE5FA5">
              <w:rPr>
                <w:rFonts w:ascii="Calibri" w:hAnsi="Calibri" w:cs="Calibri"/>
                <w:b w:val="0"/>
                <w:color w:val="000000"/>
                <w:sz w:val="20"/>
                <w:szCs w:val="20"/>
                <w:lang w:val="hy-AM" w:eastAsia="en-US"/>
              </w:rPr>
              <w:t> </w:t>
            </w:r>
          </w:p>
        </w:tc>
        <w:tc>
          <w:tcPr>
            <w:tcW w:w="3494" w:type="dxa"/>
            <w:gridSpan w:val="3"/>
            <w:shd w:val="clear" w:color="auto" w:fill="auto"/>
            <w:noWrap/>
            <w:vAlign w:val="bottom"/>
            <w:hideMark/>
          </w:tcPr>
          <w:p w14:paraId="4BB34D9A" w14:textId="77777777" w:rsidR="00730639" w:rsidRPr="00DE5FA5" w:rsidRDefault="00730639" w:rsidP="00E94C66">
            <w:pPr>
              <w:spacing w:before="0" w:line="240" w:lineRule="auto"/>
              <w:jc w:val="center"/>
              <w:rPr>
                <w:b w:val="0"/>
                <w:color w:val="000000"/>
                <w:sz w:val="20"/>
                <w:szCs w:val="20"/>
                <w:lang w:val="en-US" w:eastAsia="en-US"/>
              </w:rPr>
            </w:pPr>
            <w:r w:rsidRPr="00DE5FA5">
              <w:rPr>
                <w:b w:val="0"/>
                <w:color w:val="000000"/>
                <w:sz w:val="20"/>
                <w:szCs w:val="20"/>
                <w:lang w:val="en-US" w:eastAsia="en-US"/>
              </w:rPr>
              <w:t>Մլրդ դրամ</w:t>
            </w:r>
          </w:p>
        </w:tc>
        <w:tc>
          <w:tcPr>
            <w:tcW w:w="2911" w:type="dxa"/>
            <w:gridSpan w:val="3"/>
            <w:shd w:val="clear" w:color="auto" w:fill="auto"/>
            <w:noWrap/>
            <w:vAlign w:val="bottom"/>
            <w:hideMark/>
          </w:tcPr>
          <w:p w14:paraId="38B4F014" w14:textId="77777777" w:rsidR="00730639" w:rsidRPr="00DE5FA5" w:rsidRDefault="00730639" w:rsidP="00E94C66">
            <w:pPr>
              <w:spacing w:before="0" w:line="240" w:lineRule="auto"/>
              <w:jc w:val="center"/>
              <w:rPr>
                <w:b w:val="0"/>
                <w:color w:val="000000"/>
                <w:sz w:val="20"/>
                <w:szCs w:val="20"/>
                <w:lang w:val="en-US" w:eastAsia="en-US"/>
              </w:rPr>
            </w:pPr>
            <w:r w:rsidRPr="00DE5FA5">
              <w:rPr>
                <w:b w:val="0"/>
                <w:color w:val="000000"/>
                <w:sz w:val="20"/>
                <w:szCs w:val="20"/>
                <w:lang w:val="en-US" w:eastAsia="en-US"/>
              </w:rPr>
              <w:t>% ՀՆԱ-ում</w:t>
            </w:r>
          </w:p>
        </w:tc>
      </w:tr>
      <w:tr w:rsidR="00730639" w:rsidRPr="00D94781" w14:paraId="56550BBA" w14:textId="77777777" w:rsidTr="00E94C66">
        <w:trPr>
          <w:trHeight w:val="324"/>
        </w:trPr>
        <w:tc>
          <w:tcPr>
            <w:tcW w:w="3173" w:type="dxa"/>
            <w:vMerge/>
            <w:vAlign w:val="center"/>
            <w:hideMark/>
          </w:tcPr>
          <w:p w14:paraId="71527021" w14:textId="77777777" w:rsidR="00730639" w:rsidRPr="00DE5FA5" w:rsidRDefault="00730639" w:rsidP="00E94C66">
            <w:pPr>
              <w:spacing w:before="0" w:line="240" w:lineRule="auto"/>
              <w:jc w:val="left"/>
              <w:rPr>
                <w:b w:val="0"/>
                <w:color w:val="000000"/>
                <w:sz w:val="20"/>
                <w:szCs w:val="20"/>
                <w:lang w:val="en-US" w:eastAsia="en-US"/>
              </w:rPr>
            </w:pPr>
          </w:p>
        </w:tc>
        <w:tc>
          <w:tcPr>
            <w:tcW w:w="1251" w:type="dxa"/>
            <w:shd w:val="clear" w:color="auto" w:fill="auto"/>
            <w:noWrap/>
            <w:vAlign w:val="bottom"/>
            <w:hideMark/>
          </w:tcPr>
          <w:p w14:paraId="02A49EAC" w14:textId="77777777" w:rsidR="00730639" w:rsidRPr="00DE5FA5" w:rsidRDefault="00730639" w:rsidP="00E94C66">
            <w:pPr>
              <w:spacing w:before="0" w:line="240" w:lineRule="auto"/>
              <w:jc w:val="center"/>
              <w:rPr>
                <w:b w:val="0"/>
                <w:color w:val="000000"/>
                <w:sz w:val="20"/>
                <w:szCs w:val="20"/>
                <w:lang w:val="en-US" w:eastAsia="en-US"/>
              </w:rPr>
            </w:pPr>
            <w:r w:rsidRPr="00DE5FA5">
              <w:rPr>
                <w:b w:val="0"/>
                <w:color w:val="000000"/>
                <w:sz w:val="20"/>
                <w:szCs w:val="20"/>
                <w:lang w:val="en-US" w:eastAsia="en-US"/>
              </w:rPr>
              <w:t>2022</w:t>
            </w:r>
          </w:p>
        </w:tc>
        <w:tc>
          <w:tcPr>
            <w:tcW w:w="982" w:type="dxa"/>
            <w:shd w:val="clear" w:color="auto" w:fill="auto"/>
            <w:noWrap/>
            <w:vAlign w:val="bottom"/>
            <w:hideMark/>
          </w:tcPr>
          <w:p w14:paraId="0067E98E" w14:textId="77777777" w:rsidR="00730639" w:rsidRPr="00DE5FA5" w:rsidRDefault="00730639" w:rsidP="00E94C66">
            <w:pPr>
              <w:spacing w:before="0" w:line="240" w:lineRule="auto"/>
              <w:jc w:val="center"/>
              <w:rPr>
                <w:b w:val="0"/>
                <w:color w:val="000000"/>
                <w:sz w:val="20"/>
                <w:szCs w:val="20"/>
                <w:lang w:val="en-US" w:eastAsia="en-US"/>
              </w:rPr>
            </w:pPr>
            <w:r w:rsidRPr="00DE5FA5">
              <w:rPr>
                <w:b w:val="0"/>
                <w:color w:val="000000"/>
                <w:sz w:val="20"/>
                <w:szCs w:val="20"/>
                <w:lang w:val="en-US" w:eastAsia="en-US"/>
              </w:rPr>
              <w:t>2023</w:t>
            </w:r>
          </w:p>
        </w:tc>
        <w:tc>
          <w:tcPr>
            <w:tcW w:w="1261" w:type="dxa"/>
            <w:shd w:val="clear" w:color="auto" w:fill="auto"/>
            <w:noWrap/>
            <w:vAlign w:val="bottom"/>
            <w:hideMark/>
          </w:tcPr>
          <w:p w14:paraId="2D77A17D" w14:textId="77777777" w:rsidR="00730639" w:rsidRPr="00DE5FA5" w:rsidRDefault="00730639" w:rsidP="00E94C66">
            <w:pPr>
              <w:spacing w:before="0" w:line="240" w:lineRule="auto"/>
              <w:jc w:val="center"/>
              <w:rPr>
                <w:b w:val="0"/>
                <w:color w:val="000000"/>
                <w:sz w:val="20"/>
                <w:szCs w:val="20"/>
                <w:lang w:val="en-US" w:eastAsia="en-US"/>
              </w:rPr>
            </w:pPr>
            <w:r w:rsidRPr="00DE5FA5">
              <w:rPr>
                <w:b w:val="0"/>
                <w:color w:val="000000"/>
                <w:sz w:val="20"/>
                <w:szCs w:val="20"/>
                <w:lang w:val="en-US" w:eastAsia="en-US"/>
              </w:rPr>
              <w:t>2024</w:t>
            </w:r>
          </w:p>
        </w:tc>
        <w:tc>
          <w:tcPr>
            <w:tcW w:w="903" w:type="dxa"/>
            <w:shd w:val="clear" w:color="auto" w:fill="auto"/>
            <w:noWrap/>
            <w:vAlign w:val="bottom"/>
            <w:hideMark/>
          </w:tcPr>
          <w:p w14:paraId="617B0C06" w14:textId="77777777" w:rsidR="00730639" w:rsidRPr="00DE5FA5" w:rsidRDefault="00730639" w:rsidP="00E94C66">
            <w:pPr>
              <w:spacing w:before="0" w:line="240" w:lineRule="auto"/>
              <w:jc w:val="center"/>
              <w:rPr>
                <w:b w:val="0"/>
                <w:color w:val="000000"/>
                <w:sz w:val="20"/>
                <w:szCs w:val="20"/>
                <w:lang w:val="en-US" w:eastAsia="en-US"/>
              </w:rPr>
            </w:pPr>
            <w:r w:rsidRPr="00DE5FA5">
              <w:rPr>
                <w:b w:val="0"/>
                <w:color w:val="000000"/>
                <w:sz w:val="20"/>
                <w:szCs w:val="20"/>
                <w:lang w:val="en-US" w:eastAsia="en-US"/>
              </w:rPr>
              <w:t>2022</w:t>
            </w:r>
          </w:p>
        </w:tc>
        <w:tc>
          <w:tcPr>
            <w:tcW w:w="1064" w:type="dxa"/>
            <w:shd w:val="clear" w:color="auto" w:fill="auto"/>
            <w:noWrap/>
            <w:vAlign w:val="bottom"/>
            <w:hideMark/>
          </w:tcPr>
          <w:p w14:paraId="48892708" w14:textId="77777777" w:rsidR="00730639" w:rsidRPr="00DE5FA5" w:rsidRDefault="00730639" w:rsidP="00E94C66">
            <w:pPr>
              <w:spacing w:before="0" w:line="240" w:lineRule="auto"/>
              <w:jc w:val="center"/>
              <w:rPr>
                <w:b w:val="0"/>
                <w:color w:val="000000"/>
                <w:sz w:val="20"/>
                <w:szCs w:val="20"/>
                <w:lang w:val="en-US" w:eastAsia="en-US"/>
              </w:rPr>
            </w:pPr>
            <w:r w:rsidRPr="00DE5FA5">
              <w:rPr>
                <w:b w:val="0"/>
                <w:color w:val="000000"/>
                <w:sz w:val="20"/>
                <w:szCs w:val="20"/>
                <w:lang w:val="en-US" w:eastAsia="en-US"/>
              </w:rPr>
              <w:t>2023</w:t>
            </w:r>
          </w:p>
        </w:tc>
        <w:tc>
          <w:tcPr>
            <w:tcW w:w="944" w:type="dxa"/>
            <w:shd w:val="clear" w:color="auto" w:fill="auto"/>
            <w:noWrap/>
            <w:vAlign w:val="bottom"/>
            <w:hideMark/>
          </w:tcPr>
          <w:p w14:paraId="50AB4A7A" w14:textId="77777777" w:rsidR="00730639" w:rsidRPr="00DE5FA5" w:rsidRDefault="00730639" w:rsidP="00E94C66">
            <w:pPr>
              <w:spacing w:before="0" w:line="240" w:lineRule="auto"/>
              <w:jc w:val="center"/>
              <w:rPr>
                <w:b w:val="0"/>
                <w:color w:val="000000"/>
                <w:sz w:val="20"/>
                <w:szCs w:val="20"/>
                <w:lang w:val="en-US" w:eastAsia="en-US"/>
              </w:rPr>
            </w:pPr>
            <w:r w:rsidRPr="00DE5FA5">
              <w:rPr>
                <w:b w:val="0"/>
                <w:color w:val="000000"/>
                <w:sz w:val="20"/>
                <w:szCs w:val="20"/>
                <w:lang w:val="en-US" w:eastAsia="en-US"/>
              </w:rPr>
              <w:t>2024</w:t>
            </w:r>
          </w:p>
        </w:tc>
      </w:tr>
      <w:tr w:rsidR="00730639" w:rsidRPr="00D94781" w14:paraId="7AECA3C9" w14:textId="77777777" w:rsidTr="00E94C66">
        <w:trPr>
          <w:trHeight w:val="324"/>
        </w:trPr>
        <w:tc>
          <w:tcPr>
            <w:tcW w:w="3173" w:type="dxa"/>
            <w:shd w:val="clear" w:color="auto" w:fill="auto"/>
            <w:vAlign w:val="center"/>
            <w:hideMark/>
          </w:tcPr>
          <w:p w14:paraId="17AFBD82" w14:textId="77777777" w:rsidR="00730639" w:rsidRPr="00DE5FA5" w:rsidRDefault="00730639" w:rsidP="00E94C66">
            <w:pPr>
              <w:spacing w:before="0" w:line="240" w:lineRule="auto"/>
              <w:jc w:val="left"/>
              <w:rPr>
                <w:b w:val="0"/>
                <w:color w:val="000000"/>
                <w:sz w:val="20"/>
                <w:szCs w:val="20"/>
                <w:lang w:val="hy-AM" w:eastAsia="en-US"/>
              </w:rPr>
            </w:pPr>
            <w:r w:rsidRPr="00DE5FA5">
              <w:rPr>
                <w:b w:val="0"/>
                <w:color w:val="000000"/>
                <w:sz w:val="20"/>
                <w:szCs w:val="20"/>
                <w:lang w:val="hy-AM" w:eastAsia="en-US"/>
              </w:rPr>
              <w:t>Ընդհանուր հարկեր և տուրքեր</w:t>
            </w:r>
          </w:p>
        </w:tc>
        <w:tc>
          <w:tcPr>
            <w:tcW w:w="1251" w:type="dxa"/>
            <w:shd w:val="clear" w:color="auto" w:fill="auto"/>
            <w:noWrap/>
            <w:vAlign w:val="center"/>
            <w:hideMark/>
          </w:tcPr>
          <w:p w14:paraId="4C05DD06"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1,962.5</w:t>
            </w:r>
          </w:p>
        </w:tc>
        <w:tc>
          <w:tcPr>
            <w:tcW w:w="982" w:type="dxa"/>
            <w:shd w:val="clear" w:color="auto" w:fill="auto"/>
            <w:noWrap/>
            <w:vAlign w:val="center"/>
            <w:hideMark/>
          </w:tcPr>
          <w:p w14:paraId="17FCFCE2"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2,277.8</w:t>
            </w:r>
          </w:p>
        </w:tc>
        <w:tc>
          <w:tcPr>
            <w:tcW w:w="1261" w:type="dxa"/>
            <w:shd w:val="clear" w:color="auto" w:fill="auto"/>
            <w:noWrap/>
            <w:vAlign w:val="center"/>
            <w:hideMark/>
          </w:tcPr>
          <w:p w14:paraId="5F7E2B70"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2,613.6</w:t>
            </w:r>
          </w:p>
        </w:tc>
        <w:tc>
          <w:tcPr>
            <w:tcW w:w="903" w:type="dxa"/>
            <w:shd w:val="clear" w:color="auto" w:fill="auto"/>
            <w:noWrap/>
            <w:vAlign w:val="center"/>
            <w:hideMark/>
          </w:tcPr>
          <w:p w14:paraId="06555084"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23.1</w:t>
            </w:r>
          </w:p>
        </w:tc>
        <w:tc>
          <w:tcPr>
            <w:tcW w:w="1064" w:type="dxa"/>
            <w:shd w:val="clear" w:color="auto" w:fill="auto"/>
            <w:noWrap/>
            <w:vAlign w:val="center"/>
            <w:hideMark/>
          </w:tcPr>
          <w:p w14:paraId="11FE8FDA"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24.1</w:t>
            </w:r>
          </w:p>
        </w:tc>
        <w:tc>
          <w:tcPr>
            <w:tcW w:w="944" w:type="dxa"/>
            <w:shd w:val="clear" w:color="auto" w:fill="auto"/>
            <w:noWrap/>
            <w:vAlign w:val="center"/>
            <w:hideMark/>
          </w:tcPr>
          <w:p w14:paraId="6DE16500"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24.9</w:t>
            </w:r>
          </w:p>
        </w:tc>
      </w:tr>
      <w:tr w:rsidR="00730639" w:rsidRPr="00D94781" w14:paraId="4B9E289F" w14:textId="77777777" w:rsidTr="00E94C66">
        <w:trPr>
          <w:trHeight w:val="324"/>
        </w:trPr>
        <w:tc>
          <w:tcPr>
            <w:tcW w:w="3173" w:type="dxa"/>
            <w:shd w:val="clear" w:color="000000" w:fill="FFFFFF"/>
            <w:vAlign w:val="bottom"/>
            <w:hideMark/>
          </w:tcPr>
          <w:p w14:paraId="635460B6" w14:textId="77777777" w:rsidR="00730639" w:rsidRPr="00DE5FA5" w:rsidRDefault="00730639" w:rsidP="00E94C66">
            <w:pPr>
              <w:spacing w:before="0" w:line="240" w:lineRule="auto"/>
              <w:ind w:left="169"/>
              <w:jc w:val="left"/>
              <w:rPr>
                <w:b w:val="0"/>
                <w:color w:val="000000"/>
                <w:sz w:val="20"/>
                <w:szCs w:val="20"/>
                <w:lang w:val="hy-AM" w:eastAsia="en-US"/>
              </w:rPr>
            </w:pPr>
            <w:r w:rsidRPr="00DE5FA5">
              <w:rPr>
                <w:b w:val="0"/>
                <w:color w:val="000000"/>
                <w:sz w:val="20"/>
                <w:szCs w:val="20"/>
                <w:lang w:val="hy-AM" w:eastAsia="en-US"/>
              </w:rPr>
              <w:t>Ավելացված արժեքի հարկ</w:t>
            </w:r>
          </w:p>
        </w:tc>
        <w:tc>
          <w:tcPr>
            <w:tcW w:w="1251" w:type="dxa"/>
            <w:shd w:val="clear" w:color="000000" w:fill="FFFFFF"/>
            <w:noWrap/>
            <w:vAlign w:val="center"/>
            <w:hideMark/>
          </w:tcPr>
          <w:p w14:paraId="370F0859"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679.6</w:t>
            </w:r>
          </w:p>
        </w:tc>
        <w:tc>
          <w:tcPr>
            <w:tcW w:w="982" w:type="dxa"/>
            <w:shd w:val="clear" w:color="000000" w:fill="FFFFFF"/>
            <w:noWrap/>
            <w:vAlign w:val="center"/>
            <w:hideMark/>
          </w:tcPr>
          <w:p w14:paraId="56C01D31"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793.8</w:t>
            </w:r>
          </w:p>
        </w:tc>
        <w:tc>
          <w:tcPr>
            <w:tcW w:w="1261" w:type="dxa"/>
            <w:shd w:val="clear" w:color="000000" w:fill="FFFFFF"/>
            <w:noWrap/>
            <w:vAlign w:val="center"/>
            <w:hideMark/>
          </w:tcPr>
          <w:p w14:paraId="232CB8FE"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893.7</w:t>
            </w:r>
          </w:p>
        </w:tc>
        <w:tc>
          <w:tcPr>
            <w:tcW w:w="903" w:type="dxa"/>
            <w:shd w:val="clear" w:color="auto" w:fill="auto"/>
            <w:noWrap/>
            <w:vAlign w:val="center"/>
            <w:hideMark/>
          </w:tcPr>
          <w:p w14:paraId="05C1BA19"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8.0</w:t>
            </w:r>
          </w:p>
        </w:tc>
        <w:tc>
          <w:tcPr>
            <w:tcW w:w="1064" w:type="dxa"/>
            <w:shd w:val="clear" w:color="auto" w:fill="auto"/>
            <w:noWrap/>
            <w:vAlign w:val="center"/>
            <w:hideMark/>
          </w:tcPr>
          <w:p w14:paraId="740D120B"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8.4</w:t>
            </w:r>
          </w:p>
        </w:tc>
        <w:tc>
          <w:tcPr>
            <w:tcW w:w="944" w:type="dxa"/>
            <w:shd w:val="clear" w:color="auto" w:fill="auto"/>
            <w:noWrap/>
            <w:vAlign w:val="center"/>
            <w:hideMark/>
          </w:tcPr>
          <w:p w14:paraId="347A1C58"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8.5</w:t>
            </w:r>
          </w:p>
        </w:tc>
      </w:tr>
      <w:tr w:rsidR="00730639" w:rsidRPr="00D94781" w14:paraId="5C971AF8" w14:textId="77777777" w:rsidTr="00E94C66">
        <w:trPr>
          <w:trHeight w:val="324"/>
        </w:trPr>
        <w:tc>
          <w:tcPr>
            <w:tcW w:w="3173" w:type="dxa"/>
            <w:shd w:val="clear" w:color="000000" w:fill="FFFFFF"/>
            <w:vAlign w:val="bottom"/>
            <w:hideMark/>
          </w:tcPr>
          <w:p w14:paraId="0D892EA3" w14:textId="77777777" w:rsidR="00730639" w:rsidRPr="00DE5FA5" w:rsidRDefault="00730639" w:rsidP="00E94C66">
            <w:pPr>
              <w:spacing w:before="0" w:line="240" w:lineRule="auto"/>
              <w:ind w:left="169"/>
              <w:jc w:val="left"/>
              <w:rPr>
                <w:b w:val="0"/>
                <w:color w:val="000000"/>
                <w:sz w:val="20"/>
                <w:szCs w:val="20"/>
                <w:lang w:val="hy-AM" w:eastAsia="en-US"/>
              </w:rPr>
            </w:pPr>
            <w:r w:rsidRPr="00DE5FA5">
              <w:rPr>
                <w:b w:val="0"/>
                <w:color w:val="000000"/>
                <w:sz w:val="20"/>
                <w:szCs w:val="20"/>
                <w:lang w:val="hy-AM" w:eastAsia="en-US"/>
              </w:rPr>
              <w:t>Եկամտային հարկ</w:t>
            </w:r>
          </w:p>
        </w:tc>
        <w:tc>
          <w:tcPr>
            <w:tcW w:w="1251" w:type="dxa"/>
            <w:shd w:val="clear" w:color="000000" w:fill="FFFFFF"/>
            <w:noWrap/>
            <w:vAlign w:val="center"/>
            <w:hideMark/>
          </w:tcPr>
          <w:p w14:paraId="62CED2A5"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511.3</w:t>
            </w:r>
          </w:p>
        </w:tc>
        <w:tc>
          <w:tcPr>
            <w:tcW w:w="982" w:type="dxa"/>
            <w:shd w:val="clear" w:color="000000" w:fill="FFFFFF"/>
            <w:noWrap/>
            <w:vAlign w:val="center"/>
            <w:hideMark/>
          </w:tcPr>
          <w:p w14:paraId="3373DCF5"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591.8</w:t>
            </w:r>
          </w:p>
        </w:tc>
        <w:tc>
          <w:tcPr>
            <w:tcW w:w="1261" w:type="dxa"/>
            <w:shd w:val="clear" w:color="000000" w:fill="FFFFFF"/>
            <w:noWrap/>
            <w:vAlign w:val="center"/>
            <w:hideMark/>
          </w:tcPr>
          <w:p w14:paraId="7EF074BF"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687.0</w:t>
            </w:r>
          </w:p>
        </w:tc>
        <w:tc>
          <w:tcPr>
            <w:tcW w:w="903" w:type="dxa"/>
            <w:shd w:val="clear" w:color="auto" w:fill="auto"/>
            <w:noWrap/>
            <w:vAlign w:val="center"/>
            <w:hideMark/>
          </w:tcPr>
          <w:p w14:paraId="69BBCA1B"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6.0</w:t>
            </w:r>
          </w:p>
        </w:tc>
        <w:tc>
          <w:tcPr>
            <w:tcW w:w="1064" w:type="dxa"/>
            <w:shd w:val="clear" w:color="auto" w:fill="auto"/>
            <w:noWrap/>
            <w:vAlign w:val="center"/>
            <w:hideMark/>
          </w:tcPr>
          <w:p w14:paraId="64455E6D"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6.3</w:t>
            </w:r>
          </w:p>
        </w:tc>
        <w:tc>
          <w:tcPr>
            <w:tcW w:w="944" w:type="dxa"/>
            <w:shd w:val="clear" w:color="auto" w:fill="auto"/>
            <w:noWrap/>
            <w:vAlign w:val="center"/>
            <w:hideMark/>
          </w:tcPr>
          <w:p w14:paraId="544455A9"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6.5</w:t>
            </w:r>
          </w:p>
        </w:tc>
      </w:tr>
      <w:tr w:rsidR="00730639" w:rsidRPr="00D94781" w14:paraId="019A002E" w14:textId="77777777" w:rsidTr="00E94C66">
        <w:trPr>
          <w:trHeight w:val="649"/>
        </w:trPr>
        <w:tc>
          <w:tcPr>
            <w:tcW w:w="3173" w:type="dxa"/>
            <w:shd w:val="clear" w:color="000000" w:fill="FFFFFF"/>
            <w:vAlign w:val="bottom"/>
            <w:hideMark/>
          </w:tcPr>
          <w:p w14:paraId="2BF28F7C" w14:textId="77777777" w:rsidR="00730639" w:rsidRPr="00DE5FA5" w:rsidRDefault="00730639" w:rsidP="00E94C66">
            <w:pPr>
              <w:spacing w:before="0" w:line="240" w:lineRule="auto"/>
              <w:ind w:left="311"/>
              <w:jc w:val="left"/>
              <w:rPr>
                <w:b w:val="0"/>
                <w:color w:val="000000"/>
                <w:sz w:val="20"/>
                <w:szCs w:val="20"/>
                <w:lang w:val="hy-AM" w:eastAsia="en-US"/>
              </w:rPr>
            </w:pPr>
            <w:r w:rsidRPr="00DE5FA5">
              <w:rPr>
                <w:b w:val="0"/>
                <w:color w:val="000000"/>
                <w:sz w:val="20"/>
                <w:szCs w:val="20"/>
                <w:lang w:val="hy-AM" w:eastAsia="en-US"/>
              </w:rPr>
              <w:t>Եկամտային հարկի վերադարձ հիպոթեքի գծով</w:t>
            </w:r>
          </w:p>
        </w:tc>
        <w:tc>
          <w:tcPr>
            <w:tcW w:w="1251" w:type="dxa"/>
            <w:shd w:val="clear" w:color="000000" w:fill="FFFFFF"/>
            <w:noWrap/>
            <w:vAlign w:val="center"/>
            <w:hideMark/>
          </w:tcPr>
          <w:p w14:paraId="13775766"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36.5</w:t>
            </w:r>
          </w:p>
        </w:tc>
        <w:tc>
          <w:tcPr>
            <w:tcW w:w="982" w:type="dxa"/>
            <w:shd w:val="clear" w:color="000000" w:fill="FFFFFF"/>
            <w:noWrap/>
            <w:vAlign w:val="center"/>
            <w:hideMark/>
          </w:tcPr>
          <w:p w14:paraId="6460A53E"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53.0</w:t>
            </w:r>
          </w:p>
        </w:tc>
        <w:tc>
          <w:tcPr>
            <w:tcW w:w="1261" w:type="dxa"/>
            <w:shd w:val="clear" w:color="000000" w:fill="FFFFFF"/>
            <w:noWrap/>
            <w:vAlign w:val="center"/>
            <w:hideMark/>
          </w:tcPr>
          <w:p w14:paraId="6AB01669"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72.0</w:t>
            </w:r>
          </w:p>
        </w:tc>
        <w:tc>
          <w:tcPr>
            <w:tcW w:w="903" w:type="dxa"/>
            <w:shd w:val="clear" w:color="auto" w:fill="auto"/>
            <w:noWrap/>
            <w:vAlign w:val="center"/>
            <w:hideMark/>
          </w:tcPr>
          <w:p w14:paraId="0058A0A7"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0.4</w:t>
            </w:r>
          </w:p>
        </w:tc>
        <w:tc>
          <w:tcPr>
            <w:tcW w:w="1064" w:type="dxa"/>
            <w:shd w:val="clear" w:color="auto" w:fill="auto"/>
            <w:noWrap/>
            <w:vAlign w:val="center"/>
            <w:hideMark/>
          </w:tcPr>
          <w:p w14:paraId="6317C65C"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0.6</w:t>
            </w:r>
          </w:p>
        </w:tc>
        <w:tc>
          <w:tcPr>
            <w:tcW w:w="944" w:type="dxa"/>
            <w:shd w:val="clear" w:color="auto" w:fill="auto"/>
            <w:noWrap/>
            <w:vAlign w:val="center"/>
            <w:hideMark/>
          </w:tcPr>
          <w:p w14:paraId="2221B142"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0.7</w:t>
            </w:r>
          </w:p>
        </w:tc>
      </w:tr>
      <w:tr w:rsidR="00730639" w:rsidRPr="00D94781" w14:paraId="5D2E2507" w14:textId="77777777" w:rsidTr="00E94C66">
        <w:trPr>
          <w:trHeight w:val="324"/>
        </w:trPr>
        <w:tc>
          <w:tcPr>
            <w:tcW w:w="3173" w:type="dxa"/>
            <w:shd w:val="clear" w:color="000000" w:fill="FFFFFF"/>
            <w:vAlign w:val="bottom"/>
            <w:hideMark/>
          </w:tcPr>
          <w:p w14:paraId="0C0597F7" w14:textId="77777777" w:rsidR="00730639" w:rsidRPr="00DE5FA5" w:rsidRDefault="00730639" w:rsidP="00E94C66">
            <w:pPr>
              <w:spacing w:before="0" w:line="240" w:lineRule="auto"/>
              <w:ind w:left="169"/>
              <w:jc w:val="left"/>
              <w:rPr>
                <w:b w:val="0"/>
                <w:color w:val="000000"/>
                <w:sz w:val="20"/>
                <w:szCs w:val="20"/>
                <w:lang w:val="hy-AM" w:eastAsia="en-US"/>
              </w:rPr>
            </w:pPr>
            <w:r w:rsidRPr="00DE5FA5">
              <w:rPr>
                <w:b w:val="0"/>
                <w:color w:val="000000"/>
                <w:sz w:val="20"/>
                <w:szCs w:val="20"/>
                <w:lang w:val="hy-AM" w:eastAsia="en-US"/>
              </w:rPr>
              <w:t>Սոցիալական վճարումներ</w:t>
            </w:r>
          </w:p>
        </w:tc>
        <w:tc>
          <w:tcPr>
            <w:tcW w:w="1251" w:type="dxa"/>
            <w:shd w:val="clear" w:color="000000" w:fill="FFFFFF"/>
            <w:noWrap/>
            <w:vAlign w:val="center"/>
            <w:hideMark/>
          </w:tcPr>
          <w:p w14:paraId="4DA39B7F"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64.5</w:t>
            </w:r>
          </w:p>
        </w:tc>
        <w:tc>
          <w:tcPr>
            <w:tcW w:w="982" w:type="dxa"/>
            <w:shd w:val="clear" w:color="000000" w:fill="FFFFFF"/>
            <w:noWrap/>
            <w:vAlign w:val="center"/>
            <w:hideMark/>
          </w:tcPr>
          <w:p w14:paraId="18914865"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87.7</w:t>
            </w:r>
          </w:p>
        </w:tc>
        <w:tc>
          <w:tcPr>
            <w:tcW w:w="1261" w:type="dxa"/>
            <w:shd w:val="clear" w:color="000000" w:fill="FFFFFF"/>
            <w:noWrap/>
            <w:vAlign w:val="center"/>
            <w:hideMark/>
          </w:tcPr>
          <w:p w14:paraId="1893000B"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101.0</w:t>
            </w:r>
          </w:p>
        </w:tc>
        <w:tc>
          <w:tcPr>
            <w:tcW w:w="903" w:type="dxa"/>
            <w:shd w:val="clear" w:color="auto" w:fill="auto"/>
            <w:noWrap/>
            <w:vAlign w:val="center"/>
            <w:hideMark/>
          </w:tcPr>
          <w:p w14:paraId="5A75660F"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0.8</w:t>
            </w:r>
          </w:p>
        </w:tc>
        <w:tc>
          <w:tcPr>
            <w:tcW w:w="1064" w:type="dxa"/>
            <w:shd w:val="clear" w:color="auto" w:fill="auto"/>
            <w:noWrap/>
            <w:vAlign w:val="center"/>
            <w:hideMark/>
          </w:tcPr>
          <w:p w14:paraId="64D932E6"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0.9</w:t>
            </w:r>
          </w:p>
        </w:tc>
        <w:tc>
          <w:tcPr>
            <w:tcW w:w="944" w:type="dxa"/>
            <w:shd w:val="clear" w:color="auto" w:fill="auto"/>
            <w:noWrap/>
            <w:vAlign w:val="center"/>
            <w:hideMark/>
          </w:tcPr>
          <w:p w14:paraId="7B829F81"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1.0</w:t>
            </w:r>
          </w:p>
        </w:tc>
      </w:tr>
      <w:tr w:rsidR="00730639" w:rsidRPr="00D94781" w14:paraId="50068A37" w14:textId="77777777" w:rsidTr="00E94C66">
        <w:trPr>
          <w:trHeight w:val="324"/>
        </w:trPr>
        <w:tc>
          <w:tcPr>
            <w:tcW w:w="3173" w:type="dxa"/>
            <w:shd w:val="clear" w:color="000000" w:fill="FFFFFF"/>
            <w:noWrap/>
            <w:vAlign w:val="bottom"/>
            <w:hideMark/>
          </w:tcPr>
          <w:p w14:paraId="4E4F5F79" w14:textId="77777777" w:rsidR="00730639" w:rsidRPr="00DE5FA5" w:rsidRDefault="00730639" w:rsidP="00E94C66">
            <w:pPr>
              <w:spacing w:before="0" w:line="240" w:lineRule="auto"/>
              <w:ind w:left="169"/>
              <w:jc w:val="left"/>
              <w:rPr>
                <w:b w:val="0"/>
                <w:color w:val="000000"/>
                <w:sz w:val="20"/>
                <w:szCs w:val="20"/>
                <w:lang w:val="hy-AM" w:eastAsia="en-US"/>
              </w:rPr>
            </w:pPr>
            <w:r w:rsidRPr="00DE5FA5">
              <w:rPr>
                <w:b w:val="0"/>
                <w:color w:val="000000"/>
                <w:sz w:val="20"/>
                <w:szCs w:val="20"/>
                <w:lang w:val="hy-AM" w:eastAsia="en-US"/>
              </w:rPr>
              <w:t>Շահութահարկ</w:t>
            </w:r>
          </w:p>
        </w:tc>
        <w:tc>
          <w:tcPr>
            <w:tcW w:w="1251" w:type="dxa"/>
            <w:shd w:val="clear" w:color="000000" w:fill="FFFFFF"/>
            <w:noWrap/>
            <w:vAlign w:val="center"/>
            <w:hideMark/>
          </w:tcPr>
          <w:p w14:paraId="560E8E4E"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222.8</w:t>
            </w:r>
          </w:p>
        </w:tc>
        <w:tc>
          <w:tcPr>
            <w:tcW w:w="982" w:type="dxa"/>
            <w:shd w:val="clear" w:color="000000" w:fill="FFFFFF"/>
            <w:noWrap/>
            <w:vAlign w:val="center"/>
            <w:hideMark/>
          </w:tcPr>
          <w:p w14:paraId="07762F04"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340.7</w:t>
            </w:r>
          </w:p>
        </w:tc>
        <w:tc>
          <w:tcPr>
            <w:tcW w:w="1261" w:type="dxa"/>
            <w:shd w:val="clear" w:color="000000" w:fill="FFFFFF"/>
            <w:noWrap/>
            <w:vAlign w:val="center"/>
            <w:hideMark/>
          </w:tcPr>
          <w:p w14:paraId="5BF65669"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389.8</w:t>
            </w:r>
          </w:p>
        </w:tc>
        <w:tc>
          <w:tcPr>
            <w:tcW w:w="903" w:type="dxa"/>
            <w:shd w:val="clear" w:color="auto" w:fill="auto"/>
            <w:noWrap/>
            <w:vAlign w:val="center"/>
            <w:hideMark/>
          </w:tcPr>
          <w:p w14:paraId="145DEF8F"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2.6</w:t>
            </w:r>
          </w:p>
        </w:tc>
        <w:tc>
          <w:tcPr>
            <w:tcW w:w="1064" w:type="dxa"/>
            <w:shd w:val="clear" w:color="auto" w:fill="auto"/>
            <w:noWrap/>
            <w:vAlign w:val="center"/>
            <w:hideMark/>
          </w:tcPr>
          <w:p w14:paraId="72BC0CA0"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3.6</w:t>
            </w:r>
          </w:p>
        </w:tc>
        <w:tc>
          <w:tcPr>
            <w:tcW w:w="944" w:type="dxa"/>
            <w:shd w:val="clear" w:color="auto" w:fill="auto"/>
            <w:noWrap/>
            <w:vAlign w:val="center"/>
            <w:hideMark/>
          </w:tcPr>
          <w:p w14:paraId="333D4180"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3.7</w:t>
            </w:r>
          </w:p>
        </w:tc>
      </w:tr>
      <w:tr w:rsidR="00730639" w:rsidRPr="00D94781" w14:paraId="6E9F1531" w14:textId="77777777" w:rsidTr="00E94C66">
        <w:trPr>
          <w:trHeight w:val="324"/>
        </w:trPr>
        <w:tc>
          <w:tcPr>
            <w:tcW w:w="3173" w:type="dxa"/>
            <w:shd w:val="clear" w:color="000000" w:fill="FFFFFF"/>
            <w:noWrap/>
            <w:vAlign w:val="bottom"/>
            <w:hideMark/>
          </w:tcPr>
          <w:p w14:paraId="25F13B18" w14:textId="77777777" w:rsidR="00730639" w:rsidRPr="00DE5FA5" w:rsidRDefault="00730639" w:rsidP="00E94C66">
            <w:pPr>
              <w:spacing w:before="0" w:line="240" w:lineRule="auto"/>
              <w:ind w:left="169"/>
              <w:jc w:val="left"/>
              <w:rPr>
                <w:b w:val="0"/>
                <w:color w:val="000000"/>
                <w:sz w:val="20"/>
                <w:szCs w:val="20"/>
                <w:lang w:val="hy-AM" w:eastAsia="en-US"/>
              </w:rPr>
            </w:pPr>
            <w:r w:rsidRPr="00DE5FA5">
              <w:rPr>
                <w:b w:val="0"/>
                <w:color w:val="000000"/>
                <w:sz w:val="20"/>
                <w:szCs w:val="20"/>
                <w:lang w:val="hy-AM" w:eastAsia="en-US"/>
              </w:rPr>
              <w:t>Ակցիզային հարկ</w:t>
            </w:r>
          </w:p>
        </w:tc>
        <w:tc>
          <w:tcPr>
            <w:tcW w:w="1251" w:type="dxa"/>
            <w:shd w:val="clear" w:color="000000" w:fill="FFFFFF"/>
            <w:noWrap/>
            <w:vAlign w:val="center"/>
            <w:hideMark/>
          </w:tcPr>
          <w:p w14:paraId="3274DCC3"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127.5</w:t>
            </w:r>
          </w:p>
        </w:tc>
        <w:tc>
          <w:tcPr>
            <w:tcW w:w="982" w:type="dxa"/>
            <w:shd w:val="clear" w:color="000000" w:fill="FFFFFF"/>
            <w:noWrap/>
            <w:vAlign w:val="center"/>
            <w:hideMark/>
          </w:tcPr>
          <w:p w14:paraId="484604E6"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151.9</w:t>
            </w:r>
          </w:p>
        </w:tc>
        <w:tc>
          <w:tcPr>
            <w:tcW w:w="1261" w:type="dxa"/>
            <w:shd w:val="clear" w:color="000000" w:fill="FFFFFF"/>
            <w:noWrap/>
            <w:vAlign w:val="center"/>
            <w:hideMark/>
          </w:tcPr>
          <w:p w14:paraId="4136C026"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188.2</w:t>
            </w:r>
          </w:p>
        </w:tc>
        <w:tc>
          <w:tcPr>
            <w:tcW w:w="903" w:type="dxa"/>
            <w:shd w:val="clear" w:color="auto" w:fill="auto"/>
            <w:noWrap/>
            <w:vAlign w:val="center"/>
            <w:hideMark/>
          </w:tcPr>
          <w:p w14:paraId="6C764E6A"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1.5</w:t>
            </w:r>
          </w:p>
        </w:tc>
        <w:tc>
          <w:tcPr>
            <w:tcW w:w="1064" w:type="dxa"/>
            <w:shd w:val="clear" w:color="auto" w:fill="auto"/>
            <w:noWrap/>
            <w:vAlign w:val="center"/>
            <w:hideMark/>
          </w:tcPr>
          <w:p w14:paraId="11AB25D5"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1.6</w:t>
            </w:r>
          </w:p>
        </w:tc>
        <w:tc>
          <w:tcPr>
            <w:tcW w:w="944" w:type="dxa"/>
            <w:shd w:val="clear" w:color="auto" w:fill="auto"/>
            <w:noWrap/>
            <w:vAlign w:val="center"/>
            <w:hideMark/>
          </w:tcPr>
          <w:p w14:paraId="6DD71074"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1.8</w:t>
            </w:r>
          </w:p>
        </w:tc>
      </w:tr>
      <w:tr w:rsidR="00730639" w:rsidRPr="00D94781" w14:paraId="14884728" w14:textId="77777777" w:rsidTr="00E94C66">
        <w:trPr>
          <w:trHeight w:val="324"/>
        </w:trPr>
        <w:tc>
          <w:tcPr>
            <w:tcW w:w="3173" w:type="dxa"/>
            <w:shd w:val="clear" w:color="000000" w:fill="FFFFFF"/>
            <w:noWrap/>
            <w:vAlign w:val="bottom"/>
            <w:hideMark/>
          </w:tcPr>
          <w:p w14:paraId="67FCFE19" w14:textId="77777777" w:rsidR="00730639" w:rsidRPr="00DE5FA5" w:rsidRDefault="00730639" w:rsidP="00E94C66">
            <w:pPr>
              <w:spacing w:before="0" w:line="240" w:lineRule="auto"/>
              <w:ind w:left="169"/>
              <w:jc w:val="left"/>
              <w:rPr>
                <w:b w:val="0"/>
                <w:color w:val="000000"/>
                <w:sz w:val="20"/>
                <w:szCs w:val="20"/>
                <w:lang w:val="hy-AM" w:eastAsia="en-US"/>
              </w:rPr>
            </w:pPr>
            <w:r w:rsidRPr="00DE5FA5">
              <w:rPr>
                <w:b w:val="0"/>
                <w:color w:val="000000"/>
                <w:sz w:val="20"/>
                <w:szCs w:val="20"/>
                <w:lang w:val="hy-AM" w:eastAsia="en-US"/>
              </w:rPr>
              <w:t>Մաքսատուրք</w:t>
            </w:r>
          </w:p>
        </w:tc>
        <w:tc>
          <w:tcPr>
            <w:tcW w:w="1251" w:type="dxa"/>
            <w:shd w:val="clear" w:color="000000" w:fill="FFFFFF"/>
            <w:noWrap/>
            <w:vAlign w:val="center"/>
            <w:hideMark/>
          </w:tcPr>
          <w:p w14:paraId="6FACE450"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56.7</w:t>
            </w:r>
          </w:p>
        </w:tc>
        <w:tc>
          <w:tcPr>
            <w:tcW w:w="982" w:type="dxa"/>
            <w:shd w:val="clear" w:color="000000" w:fill="FFFFFF"/>
            <w:noWrap/>
            <w:vAlign w:val="center"/>
            <w:hideMark/>
          </w:tcPr>
          <w:p w14:paraId="56BFCC18"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67.7</w:t>
            </w:r>
          </w:p>
        </w:tc>
        <w:tc>
          <w:tcPr>
            <w:tcW w:w="1261" w:type="dxa"/>
            <w:shd w:val="clear" w:color="000000" w:fill="FFFFFF"/>
            <w:noWrap/>
            <w:vAlign w:val="center"/>
            <w:hideMark/>
          </w:tcPr>
          <w:p w14:paraId="17059873"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69.2</w:t>
            </w:r>
          </w:p>
        </w:tc>
        <w:tc>
          <w:tcPr>
            <w:tcW w:w="903" w:type="dxa"/>
            <w:shd w:val="clear" w:color="auto" w:fill="auto"/>
            <w:noWrap/>
            <w:vAlign w:val="center"/>
            <w:hideMark/>
          </w:tcPr>
          <w:p w14:paraId="4CB6448D"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0.7</w:t>
            </w:r>
          </w:p>
        </w:tc>
        <w:tc>
          <w:tcPr>
            <w:tcW w:w="1064" w:type="dxa"/>
            <w:shd w:val="clear" w:color="auto" w:fill="auto"/>
            <w:noWrap/>
            <w:vAlign w:val="center"/>
            <w:hideMark/>
          </w:tcPr>
          <w:p w14:paraId="0770A7B9"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0.7</w:t>
            </w:r>
          </w:p>
        </w:tc>
        <w:tc>
          <w:tcPr>
            <w:tcW w:w="944" w:type="dxa"/>
            <w:shd w:val="clear" w:color="auto" w:fill="auto"/>
            <w:noWrap/>
            <w:vAlign w:val="center"/>
            <w:hideMark/>
          </w:tcPr>
          <w:p w14:paraId="07DF1729"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0.7</w:t>
            </w:r>
          </w:p>
        </w:tc>
      </w:tr>
      <w:tr w:rsidR="00730639" w:rsidRPr="00D94781" w14:paraId="3FDF35CC" w14:textId="77777777" w:rsidTr="00E94C66">
        <w:trPr>
          <w:trHeight w:val="324"/>
        </w:trPr>
        <w:tc>
          <w:tcPr>
            <w:tcW w:w="3173" w:type="dxa"/>
            <w:shd w:val="clear" w:color="000000" w:fill="FFFFFF"/>
            <w:vAlign w:val="bottom"/>
            <w:hideMark/>
          </w:tcPr>
          <w:p w14:paraId="4B1E730B" w14:textId="77777777" w:rsidR="00730639" w:rsidRPr="00DE5FA5" w:rsidRDefault="00730639" w:rsidP="00E94C66">
            <w:pPr>
              <w:spacing w:before="0" w:line="240" w:lineRule="auto"/>
              <w:ind w:left="169"/>
              <w:jc w:val="left"/>
              <w:rPr>
                <w:b w:val="0"/>
                <w:color w:val="000000"/>
                <w:sz w:val="20"/>
                <w:szCs w:val="20"/>
                <w:lang w:val="hy-AM" w:eastAsia="en-US"/>
              </w:rPr>
            </w:pPr>
            <w:r w:rsidRPr="00DE5FA5">
              <w:rPr>
                <w:b w:val="0"/>
                <w:color w:val="000000"/>
                <w:sz w:val="20"/>
                <w:szCs w:val="20"/>
                <w:lang w:val="hy-AM" w:eastAsia="en-US"/>
              </w:rPr>
              <w:t>Շրջանառության հարկ</w:t>
            </w:r>
          </w:p>
        </w:tc>
        <w:tc>
          <w:tcPr>
            <w:tcW w:w="1251" w:type="dxa"/>
            <w:shd w:val="clear" w:color="000000" w:fill="FFFFFF"/>
            <w:noWrap/>
            <w:vAlign w:val="center"/>
            <w:hideMark/>
          </w:tcPr>
          <w:p w14:paraId="6A303899"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40.7</w:t>
            </w:r>
          </w:p>
        </w:tc>
        <w:tc>
          <w:tcPr>
            <w:tcW w:w="982" w:type="dxa"/>
            <w:shd w:val="clear" w:color="000000" w:fill="FFFFFF"/>
            <w:noWrap/>
            <w:vAlign w:val="center"/>
            <w:hideMark/>
          </w:tcPr>
          <w:p w14:paraId="56F829FC"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53.8</w:t>
            </w:r>
          </w:p>
        </w:tc>
        <w:tc>
          <w:tcPr>
            <w:tcW w:w="1261" w:type="dxa"/>
            <w:shd w:val="clear" w:color="000000" w:fill="FFFFFF"/>
            <w:noWrap/>
            <w:vAlign w:val="center"/>
            <w:hideMark/>
          </w:tcPr>
          <w:p w14:paraId="096F91AD"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59.6</w:t>
            </w:r>
          </w:p>
        </w:tc>
        <w:tc>
          <w:tcPr>
            <w:tcW w:w="903" w:type="dxa"/>
            <w:shd w:val="clear" w:color="auto" w:fill="auto"/>
            <w:noWrap/>
            <w:vAlign w:val="center"/>
            <w:hideMark/>
          </w:tcPr>
          <w:p w14:paraId="18344742"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0.5</w:t>
            </w:r>
          </w:p>
        </w:tc>
        <w:tc>
          <w:tcPr>
            <w:tcW w:w="1064" w:type="dxa"/>
            <w:shd w:val="clear" w:color="auto" w:fill="auto"/>
            <w:noWrap/>
            <w:vAlign w:val="center"/>
            <w:hideMark/>
          </w:tcPr>
          <w:p w14:paraId="289E654D"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0.6</w:t>
            </w:r>
          </w:p>
        </w:tc>
        <w:tc>
          <w:tcPr>
            <w:tcW w:w="944" w:type="dxa"/>
            <w:shd w:val="clear" w:color="auto" w:fill="auto"/>
            <w:noWrap/>
            <w:vAlign w:val="center"/>
            <w:hideMark/>
          </w:tcPr>
          <w:p w14:paraId="5FA108E5"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0.6</w:t>
            </w:r>
          </w:p>
        </w:tc>
      </w:tr>
      <w:tr w:rsidR="00730639" w:rsidRPr="00D94781" w14:paraId="57F9014B" w14:textId="77777777" w:rsidTr="00E94C66">
        <w:trPr>
          <w:trHeight w:val="324"/>
        </w:trPr>
        <w:tc>
          <w:tcPr>
            <w:tcW w:w="3173" w:type="dxa"/>
            <w:shd w:val="clear" w:color="000000" w:fill="FFFFFF"/>
            <w:noWrap/>
            <w:vAlign w:val="bottom"/>
            <w:hideMark/>
          </w:tcPr>
          <w:p w14:paraId="711FAF91" w14:textId="77777777" w:rsidR="00730639" w:rsidRPr="00DE5FA5" w:rsidRDefault="00730639" w:rsidP="00E94C66">
            <w:pPr>
              <w:spacing w:before="0" w:line="240" w:lineRule="auto"/>
              <w:ind w:left="169"/>
              <w:jc w:val="left"/>
              <w:rPr>
                <w:b w:val="0"/>
                <w:color w:val="000000"/>
                <w:sz w:val="20"/>
                <w:szCs w:val="20"/>
                <w:lang w:val="hy-AM" w:eastAsia="en-US"/>
              </w:rPr>
            </w:pPr>
            <w:r w:rsidRPr="00DE5FA5">
              <w:rPr>
                <w:b w:val="0"/>
                <w:color w:val="000000"/>
                <w:sz w:val="20"/>
                <w:szCs w:val="20"/>
                <w:lang w:val="hy-AM" w:eastAsia="en-US"/>
              </w:rPr>
              <w:lastRenderedPageBreak/>
              <w:t>Այլ հարկեր</w:t>
            </w:r>
          </w:p>
        </w:tc>
        <w:tc>
          <w:tcPr>
            <w:tcW w:w="1251" w:type="dxa"/>
            <w:shd w:val="clear" w:color="000000" w:fill="FFFFFF"/>
            <w:noWrap/>
            <w:vAlign w:val="center"/>
            <w:hideMark/>
          </w:tcPr>
          <w:p w14:paraId="679F536C"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259.5</w:t>
            </w:r>
          </w:p>
        </w:tc>
        <w:tc>
          <w:tcPr>
            <w:tcW w:w="982" w:type="dxa"/>
            <w:shd w:val="clear" w:color="000000" w:fill="FFFFFF"/>
            <w:noWrap/>
            <w:vAlign w:val="center"/>
            <w:hideMark/>
          </w:tcPr>
          <w:p w14:paraId="665038EA"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190.4</w:t>
            </w:r>
          </w:p>
        </w:tc>
        <w:tc>
          <w:tcPr>
            <w:tcW w:w="1261" w:type="dxa"/>
            <w:shd w:val="clear" w:color="000000" w:fill="FFFFFF"/>
            <w:noWrap/>
            <w:vAlign w:val="center"/>
            <w:hideMark/>
          </w:tcPr>
          <w:p w14:paraId="2EA44B51" w14:textId="77777777" w:rsidR="00730639" w:rsidRPr="00DE5FA5" w:rsidRDefault="00730639" w:rsidP="00E94C66">
            <w:pPr>
              <w:spacing w:before="0" w:line="240" w:lineRule="auto"/>
              <w:jc w:val="right"/>
              <w:rPr>
                <w:b w:val="0"/>
                <w:sz w:val="20"/>
                <w:szCs w:val="20"/>
                <w:lang w:val="en-US" w:eastAsia="en-US"/>
              </w:rPr>
            </w:pPr>
            <w:r w:rsidRPr="00DE5FA5">
              <w:rPr>
                <w:b w:val="0"/>
                <w:sz w:val="20"/>
                <w:szCs w:val="20"/>
                <w:lang w:val="en-US" w:eastAsia="en-US"/>
              </w:rPr>
              <w:t>225.2</w:t>
            </w:r>
          </w:p>
        </w:tc>
        <w:tc>
          <w:tcPr>
            <w:tcW w:w="903" w:type="dxa"/>
            <w:shd w:val="clear" w:color="auto" w:fill="auto"/>
            <w:noWrap/>
            <w:vAlign w:val="center"/>
            <w:hideMark/>
          </w:tcPr>
          <w:p w14:paraId="6FEA21E3"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3.1</w:t>
            </w:r>
          </w:p>
        </w:tc>
        <w:tc>
          <w:tcPr>
            <w:tcW w:w="1064" w:type="dxa"/>
            <w:shd w:val="clear" w:color="auto" w:fill="auto"/>
            <w:noWrap/>
            <w:vAlign w:val="center"/>
            <w:hideMark/>
          </w:tcPr>
          <w:p w14:paraId="0422FBE7"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2.0</w:t>
            </w:r>
          </w:p>
        </w:tc>
        <w:tc>
          <w:tcPr>
            <w:tcW w:w="944" w:type="dxa"/>
            <w:shd w:val="clear" w:color="auto" w:fill="auto"/>
            <w:noWrap/>
            <w:vAlign w:val="center"/>
            <w:hideMark/>
          </w:tcPr>
          <w:p w14:paraId="4D2678E7" w14:textId="77777777" w:rsidR="00730639" w:rsidRPr="00DE5FA5" w:rsidRDefault="00730639" w:rsidP="00E94C66">
            <w:pPr>
              <w:spacing w:before="0" w:line="240" w:lineRule="auto"/>
              <w:jc w:val="right"/>
              <w:rPr>
                <w:b w:val="0"/>
                <w:color w:val="000000"/>
                <w:sz w:val="20"/>
                <w:szCs w:val="20"/>
                <w:lang w:val="en-US" w:eastAsia="en-US"/>
              </w:rPr>
            </w:pPr>
            <w:r w:rsidRPr="00DE5FA5">
              <w:rPr>
                <w:b w:val="0"/>
                <w:color w:val="000000"/>
                <w:sz w:val="20"/>
                <w:szCs w:val="20"/>
                <w:lang w:val="en-US" w:eastAsia="en-US"/>
              </w:rPr>
              <w:t>2.1</w:t>
            </w:r>
          </w:p>
        </w:tc>
      </w:tr>
    </w:tbl>
    <w:p w14:paraId="06B3901D" w14:textId="77777777" w:rsidR="00730639" w:rsidRPr="001C5EA5" w:rsidRDefault="00730639" w:rsidP="00730639">
      <w:pPr>
        <w:autoSpaceDE w:val="0"/>
        <w:autoSpaceDN w:val="0"/>
        <w:adjustRightInd w:val="0"/>
        <w:rPr>
          <w:rFonts w:eastAsia="Calibri"/>
          <w:b w:val="0"/>
          <w:i/>
          <w:sz w:val="20"/>
          <w:szCs w:val="22"/>
          <w:lang w:val="hy-AM" w:eastAsia="en-US"/>
        </w:rPr>
      </w:pPr>
      <w:r w:rsidRPr="001C5EA5">
        <w:rPr>
          <w:rFonts w:eastAsia="Calibri"/>
          <w:b w:val="0"/>
          <w:i/>
          <w:sz w:val="20"/>
          <w:szCs w:val="22"/>
          <w:lang w:val="hy-AM" w:eastAsia="en-US"/>
        </w:rPr>
        <w:t>*Ընդհանուր հարկերի տուրքերի մեծությունը ներառում է հի</w:t>
      </w:r>
      <w:r>
        <w:rPr>
          <w:rFonts w:eastAsia="Calibri"/>
          <w:b w:val="0"/>
          <w:i/>
          <w:sz w:val="20"/>
          <w:szCs w:val="22"/>
          <w:lang w:val="hy-AM" w:eastAsia="en-US"/>
        </w:rPr>
        <w:t>փ</w:t>
      </w:r>
      <w:r w:rsidRPr="001C5EA5">
        <w:rPr>
          <w:rFonts w:eastAsia="Calibri"/>
          <w:b w:val="0"/>
          <w:i/>
          <w:sz w:val="20"/>
          <w:szCs w:val="22"/>
          <w:lang w:val="hy-AM" w:eastAsia="en-US"/>
        </w:rPr>
        <w:t>ոթեքի տոկոսագումարների դիմաց եկամտային հարկի վերադարձը</w:t>
      </w:r>
    </w:p>
    <w:p w14:paraId="31AC514C" w14:textId="77777777" w:rsidR="00730639" w:rsidRPr="004A1E79" w:rsidRDefault="00730639" w:rsidP="00730639">
      <w:pPr>
        <w:autoSpaceDE w:val="0"/>
        <w:autoSpaceDN w:val="0"/>
        <w:adjustRightInd w:val="0"/>
        <w:ind w:left="1" w:hanging="1"/>
        <w:rPr>
          <w:rFonts w:eastAsia="Calibri"/>
          <w:b w:val="0"/>
          <w:szCs w:val="22"/>
          <w:lang w:val="hy-AM" w:eastAsia="en-US"/>
        </w:rPr>
      </w:pPr>
      <w:r w:rsidRPr="004A1E79">
        <w:rPr>
          <w:rFonts w:eastAsia="Calibri"/>
          <w:b w:val="0"/>
          <w:szCs w:val="22"/>
          <w:lang w:val="hy-AM" w:eastAsia="en-US"/>
        </w:rPr>
        <w:t xml:space="preserve">Պետական բյուջեի ընթացիկ ծախսերը կկազմեն 2,511.2 մլրդ դրամ, որը նախորդ տարվա նկատմամբ  կբարելավվի ՀՆԱ-ի 1.8 տոկոսի չափով, իսկ ոչ ֆինանսական ակտիվների հետ գործառնությունների դերը զգալիորեն կբարելավվի՝ հասնելով ՀՆԱ-ի 6.6%-ին՝ 2023թ. սպասվող 5.9%-ի համեմատ աճելով 0.7 տոկոսային կետով, որում ոչ ֆինանսական ակտիվների գծով ծախսերը կհասնեն ՀՆԱ-ի 6.8%-ի: </w:t>
      </w:r>
    </w:p>
    <w:p w14:paraId="3AB7A342" w14:textId="77777777" w:rsidR="00730639" w:rsidRPr="004A1E79" w:rsidRDefault="00730639" w:rsidP="00730639">
      <w:pPr>
        <w:autoSpaceDE w:val="0"/>
        <w:autoSpaceDN w:val="0"/>
        <w:adjustRightInd w:val="0"/>
        <w:ind w:left="1" w:hanging="1"/>
        <w:rPr>
          <w:rFonts w:eastAsia="Calibri"/>
          <w:b w:val="0"/>
          <w:szCs w:val="22"/>
          <w:lang w:val="hy-AM" w:eastAsia="en-US"/>
        </w:rPr>
      </w:pPr>
      <w:r w:rsidRPr="004A1E79">
        <w:rPr>
          <w:rFonts w:eastAsia="Calibri"/>
          <w:szCs w:val="22"/>
          <w:lang w:val="hy-AM" w:eastAsia="en-US"/>
        </w:rPr>
        <w:t>2024թ. Բյուջեի ծախսերում ներառվել է նաև Լեռնային Ղարաբաղից բռնի տեղահանված բնակչության աջակցության միջոցառումների համար նախատեսված ծախսերը, որոնք ֆինանսավորվելու են Լեռնային Ղարաբաղին ուղղվող միջպետական վարկի համար նախատեսված ռեսուրսների հաշվին:</w:t>
      </w:r>
      <w:r w:rsidRPr="004A1E79">
        <w:rPr>
          <w:b w:val="0"/>
          <w:lang w:val="hy-AM"/>
        </w:rPr>
        <w:t xml:space="preserve"> Լեռնային Ղարաբաղից բռնի տեղահանված բնակչության համար 2024-ի համար նախատեսվել է օժանդակության ծրագրեր՝ 47.3 մլրդ դրամի չափով</w:t>
      </w:r>
      <w:r w:rsidRPr="004A1E79">
        <w:rPr>
          <w:lang w:val="hy-AM"/>
        </w:rPr>
        <w:t xml:space="preserve"> </w:t>
      </w:r>
      <w:r w:rsidRPr="004A1E79">
        <w:rPr>
          <w:b w:val="0"/>
          <w:bCs/>
          <w:lang w:val="hy-AM"/>
        </w:rPr>
        <w:t>(կրթության ոլորտի ծախսերը կազմում են 1.2 մլրդ դրամ, իսկ աշխատանքի և սոցիալական պաշտպանության ոլորտի գծով ծախսերը 46.1 մլրդ դրամ), միջպետական վարկի մնացած գումարը ուղղվել է պահուստային ֆոնդ՝ հետագայում կատարվելիք ծախսային միջոցառումների</w:t>
      </w:r>
      <w:r>
        <w:rPr>
          <w:b w:val="0"/>
          <w:bCs/>
          <w:lang w:val="hy-AM"/>
        </w:rPr>
        <w:t xml:space="preserve"> ֆինանսավորման</w:t>
      </w:r>
      <w:r w:rsidRPr="004A1E79">
        <w:rPr>
          <w:b w:val="0"/>
          <w:bCs/>
          <w:lang w:val="hy-AM"/>
        </w:rPr>
        <w:t xml:space="preserve"> համար</w:t>
      </w:r>
      <w:r w:rsidRPr="004A1E79">
        <w:rPr>
          <w:lang w:val="hy-AM"/>
        </w:rPr>
        <w:t xml:space="preserve">: </w:t>
      </w:r>
    </w:p>
    <w:p w14:paraId="31FEDBDE" w14:textId="77777777" w:rsidR="00730639" w:rsidRPr="004A1E79" w:rsidRDefault="00730639" w:rsidP="00730639">
      <w:pPr>
        <w:autoSpaceDE w:val="0"/>
        <w:autoSpaceDN w:val="0"/>
        <w:adjustRightInd w:val="0"/>
        <w:ind w:left="1" w:hanging="1"/>
        <w:rPr>
          <w:rFonts w:eastAsia="Calibri"/>
          <w:b w:val="0"/>
          <w:szCs w:val="22"/>
          <w:lang w:val="hy-AM" w:eastAsia="en-US"/>
        </w:rPr>
      </w:pPr>
      <w:r w:rsidRPr="004A1E79">
        <w:rPr>
          <w:rFonts w:eastAsia="Calibri"/>
          <w:szCs w:val="22"/>
          <w:lang w:val="hy-AM" w:eastAsia="en-US"/>
        </w:rPr>
        <w:t>2024 թվականին, ընթացիկ և կապիտալ ծախսերի ավելացման հաշվին պետական բյուջեի պակասուրդը կավելանա՝ կազմելով ՀՆԱ-ի 4.6</w:t>
      </w:r>
      <w:r w:rsidRPr="004A1E79">
        <w:rPr>
          <w:rFonts w:eastAsia="Calibri" w:cs="Sylfaen"/>
          <w:szCs w:val="22"/>
          <w:lang w:val="hy-AM" w:eastAsia="en-US"/>
        </w:rPr>
        <w:t>%-ը</w:t>
      </w:r>
      <w:r w:rsidRPr="004A1E79">
        <w:rPr>
          <w:rFonts w:eastAsia="Calibri"/>
          <w:szCs w:val="22"/>
          <w:lang w:val="hy-AM" w:eastAsia="en-US"/>
        </w:rPr>
        <w:t>։</w:t>
      </w:r>
      <w:r w:rsidRPr="004A1E79">
        <w:rPr>
          <w:rFonts w:eastAsia="Calibri"/>
          <w:b w:val="0"/>
          <w:szCs w:val="22"/>
          <w:lang w:val="hy-AM" w:eastAsia="en-US"/>
        </w:rPr>
        <w:t xml:space="preserve"> </w:t>
      </w:r>
      <w:r w:rsidRPr="004A1E79">
        <w:rPr>
          <w:b w:val="0"/>
          <w:lang w:val="hy-AM"/>
        </w:rPr>
        <w:t>Միաժամանակ, պետք է նշել, որ բյուջեի պակասուրդի ֆինանսավորման կազմից դեպի ծախսերի կազմ միջոցների տեղափոխումը հանգեցրել է վիճակագրական տեսակետից բյուջեի պակասուրդի էական աճի, սակայն բյուջեի փոխառությունների կարիքի, և հետևաբար՝ կառավարության պարտքի վրա ազդեցությունը (ըստ էության՝ լրացուցիչ հարկաբյուջետային ճնշումը) առավել սահմանափակ է լինելու՝ կազմելով 2024թ․ պակասուրդի և 2023թ․-ի պակասուրդի և ԼՂ վարկավորման հանրագումարի տարբերությունը (0.5%-ային կետ՝ 2%-ային կետի փոխարեն)։</w:t>
      </w:r>
      <w:r w:rsidRPr="004A1E79">
        <w:rPr>
          <w:rFonts w:eastAsia="Calibri"/>
          <w:b w:val="0"/>
          <w:szCs w:val="22"/>
          <w:lang w:val="hy-AM" w:eastAsia="en-US"/>
        </w:rPr>
        <w:t xml:space="preserve"> Արդյունքում հարկաբյուջետային քաղաքականության ուղղությունը կդառնա չեզոք (0.3 ազդակով), որը թույլ կտա ապահովելով հարկաբյուջետային քաղաքականության պատշաճ արձագանքը անհետաձգելի ծախսային կարիքներին, և միաժամանակ՝ չի առաջացնի լրացուցիչ գնաճային ճնշումներ</w:t>
      </w:r>
      <w:r w:rsidRPr="004A1E79">
        <w:rPr>
          <w:rStyle w:val="FootnoteReference"/>
          <w:rFonts w:eastAsia="Calibri"/>
          <w:b w:val="0"/>
          <w:lang w:val="hy-AM" w:eastAsia="en-US"/>
        </w:rPr>
        <w:footnoteReference w:id="23"/>
      </w:r>
      <w:r w:rsidRPr="004A1E79">
        <w:rPr>
          <w:rFonts w:eastAsia="Calibri"/>
          <w:b w:val="0"/>
          <w:szCs w:val="22"/>
          <w:lang w:val="hy-AM" w:eastAsia="en-US"/>
        </w:rPr>
        <w:t xml:space="preserve">։ </w:t>
      </w:r>
    </w:p>
    <w:p w14:paraId="194592AA" w14:textId="77777777" w:rsidR="00730639" w:rsidRPr="004A1E79" w:rsidRDefault="00730639" w:rsidP="00730639">
      <w:pPr>
        <w:jc w:val="left"/>
        <w:rPr>
          <w:rFonts w:eastAsia="Calibri"/>
          <w:b w:val="0"/>
          <w:i/>
          <w:iCs/>
          <w:szCs w:val="22"/>
          <w:lang w:val="hy-AM" w:eastAsia="en-US"/>
        </w:rPr>
      </w:pPr>
      <w:r w:rsidRPr="004A1E79">
        <w:rPr>
          <w:rFonts w:eastAsia="Calibri"/>
          <w:bCs/>
          <w:i/>
          <w:iCs/>
          <w:szCs w:val="22"/>
          <w:lang w:val="hy-AM" w:eastAsia="en-US"/>
        </w:rPr>
        <w:t>Գծապատկեր 2.2.</w:t>
      </w:r>
      <w:r w:rsidRPr="004A1E79">
        <w:rPr>
          <w:rFonts w:eastAsia="Calibri"/>
          <w:b w:val="0"/>
          <w:i/>
          <w:iCs/>
          <w:szCs w:val="22"/>
          <w:lang w:val="hy-AM" w:eastAsia="en-US"/>
        </w:rPr>
        <w:t xml:space="preserve"> Պետական բյուջեի եկամուտները, ծախսերը և պակասուրդը, մլրդ դրամ*</w:t>
      </w:r>
    </w:p>
    <w:p w14:paraId="1D185462" w14:textId="77777777" w:rsidR="00730639" w:rsidRPr="004A1E79" w:rsidRDefault="00730639" w:rsidP="00730639">
      <w:pPr>
        <w:spacing w:before="0"/>
        <w:rPr>
          <w:rFonts w:eastAsia="Calibri"/>
          <w:sz w:val="20"/>
          <w:szCs w:val="22"/>
          <w:lang w:val="hy-AM" w:eastAsia="en-US"/>
        </w:rPr>
      </w:pPr>
      <w:r w:rsidRPr="004A1E79">
        <w:rPr>
          <w:rFonts w:eastAsia="Calibri"/>
          <w:szCs w:val="22"/>
          <w:lang w:val="hy-AM" w:eastAsia="en-US"/>
        </w:rPr>
        <w:lastRenderedPageBreak/>
        <w:t xml:space="preserve"> </w:t>
      </w:r>
      <w:r w:rsidRPr="004A1E79">
        <w:rPr>
          <w:rFonts w:eastAsia="Calibri"/>
          <w:b w:val="0"/>
          <w:noProof/>
          <w:sz w:val="20"/>
          <w:szCs w:val="20"/>
          <w:lang w:val="en-US" w:eastAsia="en-US"/>
        </w:rPr>
        <w:drawing>
          <wp:inline distT="0" distB="0" distL="0" distR="0" wp14:anchorId="77B3C4DE" wp14:editId="469480F1">
            <wp:extent cx="2844000" cy="3228975"/>
            <wp:effectExtent l="0" t="0" r="13970" b="9525"/>
            <wp:docPr id="103" name="Chart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4A1E79">
        <w:rPr>
          <w:rFonts w:eastAsia="Calibri"/>
          <w:b w:val="0"/>
          <w:noProof/>
          <w:sz w:val="20"/>
          <w:szCs w:val="20"/>
          <w:lang w:val="en-US" w:eastAsia="en-US"/>
        </w:rPr>
        <w:drawing>
          <wp:inline distT="0" distB="0" distL="0" distR="0" wp14:anchorId="4A2386F9" wp14:editId="4FFDEE19">
            <wp:extent cx="2844000" cy="3228975"/>
            <wp:effectExtent l="0" t="0" r="13970" b="9525"/>
            <wp:docPr id="104" name="Chart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969F829" w14:textId="77777777" w:rsidR="00730639" w:rsidRPr="004A1E79" w:rsidRDefault="00730639" w:rsidP="00730639">
      <w:pPr>
        <w:spacing w:before="0"/>
        <w:jc w:val="left"/>
        <w:rPr>
          <w:rFonts w:eastAsia="Calibri"/>
          <w:b w:val="0"/>
          <w:bCs/>
          <w:i/>
          <w:iCs/>
          <w:sz w:val="18"/>
          <w:szCs w:val="21"/>
          <w:lang w:val="hy-AM" w:eastAsia="en-US"/>
        </w:rPr>
      </w:pPr>
      <w:r w:rsidRPr="004A1E79">
        <w:rPr>
          <w:rFonts w:eastAsia="Calibri"/>
          <w:b w:val="0"/>
          <w:bCs/>
          <w:i/>
          <w:iCs/>
          <w:sz w:val="18"/>
          <w:szCs w:val="21"/>
          <w:lang w:val="hy-AM" w:eastAsia="en-US"/>
        </w:rPr>
        <w:t>*Պետական բյուջեի ցուցանիշներում ներառված է հիպոթեքային վարկերի տոկոսագումարների գծով եկամտային հարկի վերադարձի մեծությունը ամբողջ ժամանակահատվածի համար։</w:t>
      </w:r>
    </w:p>
    <w:p w14:paraId="01621E75" w14:textId="77777777" w:rsidR="00730639" w:rsidRPr="004A1E79" w:rsidRDefault="00730639" w:rsidP="00730639">
      <w:pPr>
        <w:spacing w:before="0"/>
        <w:jc w:val="left"/>
        <w:rPr>
          <w:rFonts w:eastAsia="Calibri"/>
          <w:bCs/>
          <w:i/>
          <w:iCs/>
          <w:sz w:val="21"/>
          <w:szCs w:val="21"/>
          <w:lang w:val="hy-AM" w:eastAsia="en-US"/>
        </w:rPr>
      </w:pPr>
    </w:p>
    <w:p w14:paraId="2C370EA6" w14:textId="77777777" w:rsidR="00730639" w:rsidRPr="004A1E79" w:rsidRDefault="00730639" w:rsidP="00730639">
      <w:pPr>
        <w:spacing w:before="0"/>
        <w:jc w:val="left"/>
        <w:rPr>
          <w:rFonts w:eastAsia="Calibri"/>
          <w:bCs/>
          <w:i/>
          <w:iCs/>
          <w:sz w:val="21"/>
          <w:szCs w:val="21"/>
          <w:lang w:val="hy-AM" w:eastAsia="en-US"/>
        </w:rPr>
      </w:pPr>
    </w:p>
    <w:p w14:paraId="5739CD39" w14:textId="77777777" w:rsidR="00730639" w:rsidRPr="004A1E79" w:rsidRDefault="00730639" w:rsidP="00730639">
      <w:pPr>
        <w:spacing w:before="0"/>
        <w:jc w:val="left"/>
        <w:rPr>
          <w:rFonts w:eastAsia="Calibri"/>
          <w:b w:val="0"/>
          <w:i/>
          <w:iCs/>
          <w:sz w:val="21"/>
          <w:szCs w:val="21"/>
          <w:lang w:val="hy-AM" w:eastAsia="en-US"/>
        </w:rPr>
      </w:pPr>
      <w:r w:rsidRPr="004A1E79">
        <w:rPr>
          <w:rFonts w:eastAsia="Calibri"/>
          <w:bCs/>
          <w:i/>
          <w:iCs/>
          <w:sz w:val="21"/>
          <w:szCs w:val="21"/>
          <w:lang w:val="hy-AM" w:eastAsia="en-US"/>
        </w:rPr>
        <w:t>Գծապատկեր 2.3.</w:t>
      </w:r>
      <w:r w:rsidRPr="004A1E79">
        <w:rPr>
          <w:rFonts w:eastAsia="Calibri"/>
          <w:b w:val="0"/>
          <w:i/>
          <w:iCs/>
          <w:sz w:val="21"/>
          <w:szCs w:val="21"/>
          <w:lang w:val="hy-AM" w:eastAsia="en-US"/>
        </w:rPr>
        <w:t xml:space="preserve"> Հարկաբյուջետային ազդակը</w:t>
      </w:r>
    </w:p>
    <w:p w14:paraId="5F82DDA8" w14:textId="77777777" w:rsidR="00730639" w:rsidRPr="004A1E79" w:rsidRDefault="00730639" w:rsidP="00730639">
      <w:pPr>
        <w:spacing w:before="0"/>
        <w:rPr>
          <w:rFonts w:eastAsia="Calibri"/>
          <w:b w:val="0"/>
          <w:szCs w:val="22"/>
          <w:lang w:val="hy-AM" w:eastAsia="en-US"/>
        </w:rPr>
      </w:pPr>
      <w:r w:rsidRPr="004A1E79">
        <w:rPr>
          <w:rFonts w:eastAsia="Calibri"/>
          <w:b w:val="0"/>
          <w:noProof/>
          <w:szCs w:val="22"/>
          <w:lang w:val="en-US" w:eastAsia="en-US"/>
        </w:rPr>
        <w:drawing>
          <wp:inline distT="0" distB="0" distL="0" distR="0" wp14:anchorId="5BA427A5" wp14:editId="4391DABB">
            <wp:extent cx="5969000" cy="2495550"/>
            <wp:effectExtent l="0" t="0" r="12700" b="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A7E6560" w14:textId="77777777" w:rsidR="00730639" w:rsidRPr="004A1E79" w:rsidRDefault="00730639" w:rsidP="00730639">
      <w:pPr>
        <w:autoSpaceDE w:val="0"/>
        <w:autoSpaceDN w:val="0"/>
        <w:adjustRightInd w:val="0"/>
        <w:spacing w:before="0"/>
        <w:ind w:firstLine="709"/>
        <w:rPr>
          <w:rFonts w:eastAsia="Calibri" w:cs="Arial"/>
          <w:b w:val="0"/>
          <w:bCs/>
          <w:i/>
          <w:iCs/>
          <w:sz w:val="18"/>
          <w:szCs w:val="18"/>
          <w:lang w:val="hy-AM" w:eastAsia="en-US"/>
        </w:rPr>
      </w:pPr>
      <w:r w:rsidRPr="004A1E79">
        <w:rPr>
          <w:rFonts w:eastAsia="Calibri" w:cs="Arial"/>
          <w:b w:val="0"/>
          <w:bCs/>
          <w:i/>
          <w:iCs/>
          <w:sz w:val="18"/>
          <w:szCs w:val="18"/>
          <w:lang w:val="hy-AM" w:eastAsia="en-US"/>
        </w:rPr>
        <w:t>Աղբյուրը՝ ՀՀ ՖՆ գնահատականներ</w:t>
      </w:r>
    </w:p>
    <w:p w14:paraId="1E03EA92" w14:textId="77777777" w:rsidR="00730639" w:rsidRPr="004A1E79" w:rsidRDefault="00730639" w:rsidP="00730639">
      <w:pPr>
        <w:spacing w:before="0"/>
        <w:ind w:firstLine="709"/>
        <w:rPr>
          <w:rFonts w:eastAsia="Calibri"/>
          <w:bCs/>
          <w:i/>
          <w:iCs/>
          <w:sz w:val="21"/>
          <w:szCs w:val="21"/>
          <w:lang w:val="hy-AM" w:eastAsia="en-US"/>
        </w:rPr>
      </w:pPr>
    </w:p>
    <w:p w14:paraId="174A9C96" w14:textId="77777777" w:rsidR="00730639" w:rsidRPr="004A1E79" w:rsidRDefault="00730639" w:rsidP="00730639">
      <w:pPr>
        <w:spacing w:before="0"/>
        <w:ind w:firstLine="709"/>
        <w:rPr>
          <w:rFonts w:eastAsia="Calibri"/>
          <w:b w:val="0"/>
          <w:iCs/>
          <w:szCs w:val="22"/>
          <w:lang w:val="hy-AM" w:eastAsia="en-US"/>
        </w:rPr>
      </w:pPr>
      <w:r w:rsidRPr="004A1E79">
        <w:rPr>
          <w:rFonts w:eastAsia="Calibri"/>
          <w:bCs/>
          <w:iCs/>
          <w:szCs w:val="22"/>
          <w:lang w:val="hy-AM" w:eastAsia="en-US"/>
        </w:rPr>
        <w:t>Գծապատկեր 2.4.</w:t>
      </w:r>
      <w:r w:rsidRPr="004A1E79">
        <w:rPr>
          <w:rFonts w:eastAsia="Calibri"/>
          <w:b w:val="0"/>
          <w:iCs/>
          <w:szCs w:val="22"/>
          <w:lang w:val="hy-AM" w:eastAsia="en-US"/>
        </w:rPr>
        <w:t xml:space="preserve"> 2022-2024 թթ-ի հարկաբյուջետային շրջանակի համապատասխանությունը պետական ֆինանսների «ոսկե կանոններին»* </w:t>
      </w:r>
    </w:p>
    <w:p w14:paraId="2465ED27" w14:textId="77777777" w:rsidR="00730639" w:rsidRPr="004A1E79" w:rsidRDefault="00730639" w:rsidP="00730639">
      <w:pPr>
        <w:spacing w:before="0" w:line="240" w:lineRule="auto"/>
        <w:jc w:val="center"/>
        <w:rPr>
          <w:rFonts w:eastAsia="Calibri"/>
          <w:b w:val="0"/>
          <w:noProof/>
          <w:sz w:val="20"/>
          <w:szCs w:val="20"/>
          <w:lang w:val="hy-AM" w:eastAsia="en-US"/>
        </w:rPr>
      </w:pPr>
      <w:r w:rsidRPr="004A1E79">
        <w:rPr>
          <w:rFonts w:eastAsia="Calibri"/>
          <w:b w:val="0"/>
          <w:noProof/>
          <w:sz w:val="20"/>
          <w:szCs w:val="20"/>
          <w:lang w:val="en-US" w:eastAsia="en-US"/>
        </w:rPr>
        <w:lastRenderedPageBreak/>
        <w:drawing>
          <wp:inline distT="0" distB="0" distL="0" distR="0" wp14:anchorId="4D810017" wp14:editId="68ED491F">
            <wp:extent cx="2844000" cy="2700000"/>
            <wp:effectExtent l="0" t="0" r="13970" b="5715"/>
            <wp:docPr id="106" name="Chart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4A1E79">
        <w:rPr>
          <w:rFonts w:eastAsia="Calibri"/>
          <w:b w:val="0"/>
          <w:noProof/>
          <w:sz w:val="20"/>
          <w:szCs w:val="20"/>
          <w:lang w:val="hy-AM" w:eastAsia="en-US"/>
        </w:rPr>
        <w:t xml:space="preserve"> </w:t>
      </w:r>
      <w:r w:rsidRPr="004A1E79">
        <w:rPr>
          <w:rFonts w:eastAsia="Calibri"/>
          <w:b w:val="0"/>
          <w:noProof/>
          <w:sz w:val="20"/>
          <w:szCs w:val="20"/>
          <w:lang w:val="en-US" w:eastAsia="en-US"/>
        </w:rPr>
        <w:drawing>
          <wp:inline distT="0" distB="0" distL="0" distR="0" wp14:anchorId="721B1123" wp14:editId="136D549E">
            <wp:extent cx="2844000" cy="2700000"/>
            <wp:effectExtent l="0" t="0" r="13970" b="5715"/>
            <wp:docPr id="107" name="Chart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547AFA8" w14:textId="77777777" w:rsidR="00730639" w:rsidRPr="004A1E79" w:rsidRDefault="00730639" w:rsidP="00730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rFonts w:eastAsia="Calibri" w:cs="Arial"/>
          <w:b w:val="0"/>
          <w:bCs/>
          <w:i/>
          <w:iCs/>
          <w:sz w:val="20"/>
          <w:szCs w:val="20"/>
          <w:lang w:val="hy-AM" w:eastAsia="en-US"/>
        </w:rPr>
      </w:pPr>
    </w:p>
    <w:p w14:paraId="5A2AAC9A" w14:textId="77777777" w:rsidR="00730639" w:rsidRPr="004A1E79" w:rsidRDefault="00730639" w:rsidP="00730639">
      <w:pPr>
        <w:tabs>
          <w:tab w:val="left" w:pos="916"/>
        </w:tabs>
        <w:spacing w:before="0"/>
        <w:rPr>
          <w:rFonts w:eastAsia="Calibri" w:cs="Arial"/>
          <w:b w:val="0"/>
          <w:bCs/>
          <w:i/>
          <w:iCs/>
          <w:sz w:val="20"/>
          <w:szCs w:val="20"/>
          <w:lang w:val="hy-AM" w:eastAsia="en-US"/>
        </w:rPr>
      </w:pPr>
      <w:r w:rsidRPr="004A1E79">
        <w:rPr>
          <w:rFonts w:eastAsia="Calibri" w:cs="Arial"/>
          <w:b w:val="0"/>
          <w:bCs/>
          <w:i/>
          <w:iCs/>
          <w:sz w:val="20"/>
          <w:szCs w:val="20"/>
          <w:lang w:val="hy-AM" w:eastAsia="en-US"/>
        </w:rPr>
        <w:t>Աղբյուրը՝ ՀՀ ՖՆ</w:t>
      </w:r>
      <w:r w:rsidRPr="004A1E79">
        <w:rPr>
          <w:rFonts w:eastAsia="Calibri" w:cs="Arial"/>
          <w:b w:val="0"/>
          <w:bCs/>
          <w:i/>
          <w:iCs/>
          <w:sz w:val="20"/>
          <w:szCs w:val="20"/>
          <w:lang w:val="hy-AM" w:eastAsia="en-US"/>
        </w:rPr>
        <w:tab/>
      </w:r>
    </w:p>
    <w:p w14:paraId="322C716E" w14:textId="77777777" w:rsidR="00730639" w:rsidRPr="004A1E79" w:rsidRDefault="00730639" w:rsidP="00730639">
      <w:pPr>
        <w:spacing w:before="0"/>
        <w:jc w:val="left"/>
        <w:rPr>
          <w:rFonts w:eastAsia="Calibri"/>
          <w:b w:val="0"/>
          <w:bCs/>
          <w:i/>
          <w:iCs/>
          <w:sz w:val="18"/>
          <w:szCs w:val="21"/>
          <w:lang w:val="hy-AM" w:eastAsia="en-US"/>
        </w:rPr>
      </w:pPr>
      <w:r w:rsidRPr="004A1E79">
        <w:rPr>
          <w:rFonts w:eastAsia="Calibri"/>
          <w:b w:val="0"/>
          <w:bCs/>
          <w:i/>
          <w:iCs/>
          <w:sz w:val="18"/>
          <w:szCs w:val="21"/>
          <w:lang w:val="hy-AM" w:eastAsia="en-US"/>
        </w:rPr>
        <w:t>*Հարկային եկամուտների և ընթացիկ ծախսերի կազմում ներառված է հիպոթեքային վարկերի տոկոսագումարների գծով եկամտային հարկի վերադարձի մեծությունը ամբողջ ժամանակահատվածի համար։</w:t>
      </w:r>
    </w:p>
    <w:p w14:paraId="6E08487F" w14:textId="77777777" w:rsidR="00730639" w:rsidRPr="004A1E79" w:rsidRDefault="00730639" w:rsidP="00730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rFonts w:eastAsia="Calibri" w:cs="Arial"/>
          <w:b w:val="0"/>
          <w:bCs/>
          <w:i/>
          <w:iCs/>
          <w:sz w:val="20"/>
          <w:szCs w:val="20"/>
          <w:lang w:val="hy-AM" w:eastAsia="en-US"/>
        </w:rPr>
      </w:pPr>
    </w:p>
    <w:p w14:paraId="4ED2318A" w14:textId="0F9CB8C2" w:rsidR="00730639" w:rsidRDefault="00730639" w:rsidP="00730639">
      <w:pPr>
        <w:autoSpaceDE w:val="0"/>
        <w:autoSpaceDN w:val="0"/>
        <w:adjustRightInd w:val="0"/>
        <w:spacing w:before="0" w:after="160"/>
        <w:rPr>
          <w:rFonts w:eastAsia="Calibri"/>
          <w:b w:val="0"/>
          <w:bCs/>
          <w:lang w:val="hy-AM"/>
        </w:rPr>
      </w:pPr>
      <w:r w:rsidRPr="004A1E79">
        <w:rPr>
          <w:rFonts w:eastAsia="Calibri"/>
          <w:bCs/>
          <w:lang w:val="hy-AM"/>
        </w:rPr>
        <w:t xml:space="preserve">Ծրագրված հարկաբյուջետային քաղաքականության արդյունքում 2023-24 թվականներին կառավարության պարտք/ՀՆԱ հարաբերակցությունը կգտնվի 50%-ից ցածր մակարդակի վրա՝ պահպանելով հնարավոր շոկերին արձագանքելու հարկաբյուջետային տարածքը և քաղաքականության ճկունությունը։ </w:t>
      </w:r>
      <w:r w:rsidRPr="004A1E79">
        <w:rPr>
          <w:rFonts w:eastAsia="Calibri"/>
          <w:b w:val="0"/>
          <w:bCs/>
          <w:lang w:val="hy-AM"/>
        </w:rPr>
        <w:t>Այնուամենայնիվ,</w:t>
      </w:r>
      <w:r w:rsidRPr="004A1E79">
        <w:rPr>
          <w:rFonts w:eastAsia="Calibri"/>
          <w:bCs/>
          <w:lang w:val="hy-AM"/>
        </w:rPr>
        <w:t xml:space="preserve"> </w:t>
      </w:r>
      <w:r w:rsidRPr="004A1E79">
        <w:rPr>
          <w:rFonts w:eastAsia="Calibri"/>
          <w:b w:val="0"/>
          <w:bCs/>
          <w:lang w:val="hy-AM"/>
        </w:rPr>
        <w:t>պարտքի բեռը 2022թ</w:t>
      </w:r>
      <w:r w:rsidRPr="004A1E79">
        <w:rPr>
          <w:rFonts w:ascii="Cambria Math" w:eastAsia="Calibri" w:hAnsi="Cambria Math" w:cs="Cambria Math"/>
          <w:b w:val="0"/>
          <w:bCs/>
          <w:lang w:val="hy-AM"/>
        </w:rPr>
        <w:t>․</w:t>
      </w:r>
      <w:r w:rsidRPr="004A1E79">
        <w:rPr>
          <w:rFonts w:eastAsia="Calibri"/>
          <w:b w:val="0"/>
          <w:bCs/>
          <w:lang w:val="hy-AM"/>
        </w:rPr>
        <w:t>-ի կտրուկ նվազումից հետո որոշակի աճ կունենա՝ պայմանավորված, ի թիվս այլ գործոնների, պետական բյուջեի պակասուրդի որոշակի աճով և 2022թ</w:t>
      </w:r>
      <w:r w:rsidRPr="004A1E79">
        <w:rPr>
          <w:rFonts w:ascii="Cambria Math" w:eastAsia="Calibri" w:hAnsi="Cambria Math" w:cs="Cambria Math"/>
          <w:b w:val="0"/>
          <w:bCs/>
          <w:lang w:val="hy-AM"/>
        </w:rPr>
        <w:t>․</w:t>
      </w:r>
      <w:r w:rsidRPr="004A1E79">
        <w:rPr>
          <w:rFonts w:eastAsia="Calibri"/>
          <w:b w:val="0"/>
          <w:bCs/>
          <w:lang w:val="hy-AM"/>
        </w:rPr>
        <w:t xml:space="preserve">-ի բարձր բազայի համեմատությամբ տնտեսական աճի որոշակի դանդաղմամբ։ </w:t>
      </w:r>
    </w:p>
    <w:p w14:paraId="0A68A03E" w14:textId="6AD8175E" w:rsidR="00730639" w:rsidRDefault="00730639" w:rsidP="00730639">
      <w:pPr>
        <w:autoSpaceDE w:val="0"/>
        <w:autoSpaceDN w:val="0"/>
        <w:adjustRightInd w:val="0"/>
        <w:spacing w:before="0" w:after="160"/>
        <w:rPr>
          <w:rFonts w:eastAsia="Calibri"/>
          <w:b w:val="0"/>
          <w:bCs/>
          <w:lang w:val="hy-AM"/>
        </w:rPr>
      </w:pPr>
    </w:p>
    <w:p w14:paraId="7F05531D" w14:textId="0A527F97" w:rsidR="00730639" w:rsidRDefault="00730639" w:rsidP="00730639">
      <w:pPr>
        <w:autoSpaceDE w:val="0"/>
        <w:autoSpaceDN w:val="0"/>
        <w:adjustRightInd w:val="0"/>
        <w:spacing w:before="0" w:after="160"/>
        <w:rPr>
          <w:rFonts w:eastAsia="Calibri"/>
          <w:b w:val="0"/>
          <w:bCs/>
          <w:lang w:val="hy-AM"/>
        </w:rPr>
      </w:pPr>
    </w:p>
    <w:p w14:paraId="19F587AB" w14:textId="7B626D5B" w:rsidR="00730639" w:rsidRDefault="00730639" w:rsidP="00730639">
      <w:pPr>
        <w:autoSpaceDE w:val="0"/>
        <w:autoSpaceDN w:val="0"/>
        <w:adjustRightInd w:val="0"/>
        <w:spacing w:before="0" w:after="160"/>
        <w:rPr>
          <w:rFonts w:eastAsia="Calibri"/>
          <w:b w:val="0"/>
          <w:bCs/>
          <w:lang w:val="hy-AM"/>
        </w:rPr>
      </w:pPr>
    </w:p>
    <w:p w14:paraId="0A0A2BC8" w14:textId="433E448A" w:rsidR="00730639" w:rsidRDefault="00730639" w:rsidP="00730639">
      <w:pPr>
        <w:autoSpaceDE w:val="0"/>
        <w:autoSpaceDN w:val="0"/>
        <w:adjustRightInd w:val="0"/>
        <w:spacing w:before="0" w:after="160"/>
        <w:rPr>
          <w:rFonts w:eastAsia="Calibri"/>
          <w:b w:val="0"/>
          <w:bCs/>
          <w:lang w:val="hy-AM"/>
        </w:rPr>
      </w:pPr>
    </w:p>
    <w:p w14:paraId="46D83467" w14:textId="6F5F3E30" w:rsidR="00730639" w:rsidRDefault="00730639" w:rsidP="00730639">
      <w:pPr>
        <w:autoSpaceDE w:val="0"/>
        <w:autoSpaceDN w:val="0"/>
        <w:adjustRightInd w:val="0"/>
        <w:spacing w:before="0" w:after="160"/>
        <w:rPr>
          <w:rFonts w:eastAsia="Calibri"/>
          <w:b w:val="0"/>
          <w:bCs/>
          <w:lang w:val="hy-AM"/>
        </w:rPr>
      </w:pPr>
    </w:p>
    <w:p w14:paraId="33E1B16C" w14:textId="77777777" w:rsidR="00730639" w:rsidRPr="004A1E79" w:rsidRDefault="00730639" w:rsidP="00730639">
      <w:pPr>
        <w:autoSpaceDE w:val="0"/>
        <w:autoSpaceDN w:val="0"/>
        <w:adjustRightInd w:val="0"/>
        <w:spacing w:before="0" w:after="160"/>
        <w:rPr>
          <w:rFonts w:eastAsia="Calibri"/>
          <w:b w:val="0"/>
          <w:bCs/>
          <w:lang w:val="hy-AM"/>
        </w:rPr>
      </w:pPr>
    </w:p>
    <w:p w14:paraId="70C34948" w14:textId="77777777" w:rsidR="00730639" w:rsidRPr="004A1E79" w:rsidRDefault="00730639" w:rsidP="00730639">
      <w:pPr>
        <w:autoSpaceDE w:val="0"/>
        <w:autoSpaceDN w:val="0"/>
        <w:adjustRightInd w:val="0"/>
        <w:spacing w:before="0" w:after="160" w:line="240" w:lineRule="auto"/>
        <w:ind w:firstLine="709"/>
        <w:rPr>
          <w:rFonts w:eastAsia="Calibri" w:cs="GHEA Grapalat"/>
          <w:b w:val="0"/>
          <w:szCs w:val="22"/>
          <w:lang w:val="hy-AM" w:eastAsia="en-US"/>
        </w:rPr>
      </w:pPr>
      <w:r w:rsidRPr="004A1E79">
        <w:rPr>
          <w:rFonts w:eastAsia="Calibri" w:cs="GHEA Grapalat"/>
          <w:szCs w:val="22"/>
          <w:lang w:val="hy-AM" w:eastAsia="en-US"/>
        </w:rPr>
        <w:t>Գծապատկեր 2.5.</w:t>
      </w:r>
      <w:r w:rsidRPr="004A1E79">
        <w:rPr>
          <w:rFonts w:eastAsia="Calibri" w:cs="GHEA Grapalat"/>
          <w:b w:val="0"/>
          <w:szCs w:val="22"/>
          <w:lang w:val="hy-AM" w:eastAsia="en-US"/>
        </w:rPr>
        <w:t xml:space="preserve"> ՀՀ կառավարության պարտքի դինամիկան և այն պայմանավորող գործոնները</w:t>
      </w:r>
      <w:r w:rsidRPr="004A1E79">
        <w:rPr>
          <w:rStyle w:val="FootnoteReference"/>
          <w:rFonts w:eastAsia="Calibri" w:cs="GHEA Grapalat"/>
          <w:lang w:val="hy-AM" w:eastAsia="en-US"/>
        </w:rPr>
        <w:footnoteReference w:id="24"/>
      </w:r>
      <w:r w:rsidRPr="004A1E79">
        <w:rPr>
          <w:rFonts w:eastAsia="Calibri" w:cs="GHEA Grapalat"/>
          <w:b w:val="0"/>
          <w:szCs w:val="22"/>
          <w:lang w:val="hy-AM" w:eastAsia="en-US"/>
        </w:rPr>
        <w:t xml:space="preserve"> </w:t>
      </w:r>
    </w:p>
    <w:p w14:paraId="0EDF3A4F" w14:textId="77777777" w:rsidR="00730639" w:rsidRPr="004A1E79" w:rsidRDefault="00730639" w:rsidP="00730639">
      <w:pPr>
        <w:autoSpaceDE w:val="0"/>
        <w:autoSpaceDN w:val="0"/>
        <w:adjustRightInd w:val="0"/>
        <w:spacing w:before="0" w:after="160" w:line="240" w:lineRule="auto"/>
        <w:rPr>
          <w:rFonts w:eastAsia="Calibri" w:cs="GHEA Grapalat"/>
          <w:b w:val="0"/>
          <w:szCs w:val="22"/>
          <w:lang w:val="hy-AM" w:eastAsia="en-US"/>
        </w:rPr>
      </w:pPr>
      <w:r w:rsidRPr="004A1E79">
        <w:rPr>
          <w:rFonts w:eastAsia="Calibri" w:cs="GHEA Grapalat"/>
          <w:b w:val="0"/>
          <w:szCs w:val="22"/>
          <w:lang w:val="hy-AM" w:eastAsia="en-US"/>
        </w:rPr>
        <w:lastRenderedPageBreak/>
        <w:t xml:space="preserve">  </w:t>
      </w:r>
      <w:r w:rsidRPr="004A1E79">
        <w:rPr>
          <w:rFonts w:ascii="Calibri" w:eastAsia="Calibri" w:hAnsi="Calibri"/>
          <w:noProof/>
          <w:szCs w:val="22"/>
          <w:lang w:val="en-US" w:eastAsia="en-US"/>
        </w:rPr>
        <w:drawing>
          <wp:inline distT="0" distB="0" distL="0" distR="0" wp14:anchorId="6453F043" wp14:editId="763C0B23">
            <wp:extent cx="2581275" cy="2432050"/>
            <wp:effectExtent l="0" t="0" r="9525" b="63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4A1E79">
        <w:rPr>
          <w:noProof/>
          <w:lang w:val="en-US" w:eastAsia="en-US"/>
        </w:rPr>
        <w:drawing>
          <wp:inline distT="0" distB="0" distL="0" distR="0" wp14:anchorId="289B8022" wp14:editId="24FDC7EA">
            <wp:extent cx="2809875" cy="2438400"/>
            <wp:effectExtent l="0" t="0" r="9525" b="0"/>
            <wp:docPr id="23"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4CC9296" w14:textId="77777777" w:rsidR="00730639" w:rsidRPr="004A1E79" w:rsidRDefault="00730639" w:rsidP="00730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rFonts w:eastAsia="Calibri" w:cs="Arial"/>
          <w:b w:val="0"/>
          <w:bCs/>
          <w:i/>
          <w:iCs/>
          <w:sz w:val="20"/>
          <w:szCs w:val="20"/>
          <w:lang w:val="hy-AM" w:eastAsia="en-US"/>
        </w:rPr>
      </w:pPr>
      <w:r w:rsidRPr="004A1E79">
        <w:rPr>
          <w:rFonts w:eastAsia="Calibri" w:cs="Arial"/>
          <w:b w:val="0"/>
          <w:bCs/>
          <w:i/>
          <w:iCs/>
          <w:sz w:val="20"/>
          <w:szCs w:val="20"/>
          <w:lang w:val="hy-AM" w:eastAsia="en-US"/>
        </w:rPr>
        <w:t>Աղբյուրը՝ ՀՀ ՖՆ</w:t>
      </w:r>
    </w:p>
    <w:p w14:paraId="57204C92" w14:textId="77777777" w:rsidR="00730639" w:rsidRPr="003B373F" w:rsidRDefault="00730639" w:rsidP="00730639">
      <w:pPr>
        <w:spacing w:before="0" w:after="120"/>
        <w:rPr>
          <w:rFonts w:eastAsia="Calibri"/>
          <w:b w:val="0"/>
          <w:szCs w:val="22"/>
          <w:lang w:val="hy-AM" w:eastAsia="en-US"/>
        </w:rPr>
      </w:pPr>
    </w:p>
    <w:p w14:paraId="4FE9166D" w14:textId="77777777" w:rsidR="00D178DD" w:rsidRPr="00290696" w:rsidRDefault="00D178DD" w:rsidP="0038558B">
      <w:pPr>
        <w:keepNext/>
        <w:keepLines/>
        <w:spacing w:before="0"/>
        <w:ind w:firstLine="284"/>
        <w:outlineLvl w:val="2"/>
        <w:rPr>
          <w:rFonts w:eastAsiaTheme="majorEastAsia" w:cstheme="majorBidi"/>
          <w:bCs/>
          <w:color w:val="1F497D" w:themeColor="text2"/>
          <w:sz w:val="24"/>
          <w:lang w:val="hy-AM" w:eastAsia="en-US"/>
        </w:rPr>
      </w:pPr>
      <w:bookmarkStart w:id="97" w:name="_Toc45840842"/>
      <w:bookmarkStart w:id="98" w:name="_Toc45841159"/>
      <w:bookmarkStart w:id="99" w:name="_Toc45838526"/>
      <w:bookmarkStart w:id="100" w:name="_Toc46154354"/>
      <w:bookmarkStart w:id="101" w:name="_Toc52452094"/>
      <w:bookmarkStart w:id="102" w:name="_Toc52188795"/>
      <w:bookmarkStart w:id="103" w:name="_Toc57655455"/>
      <w:bookmarkStart w:id="104" w:name="_Toc83199223"/>
      <w:bookmarkStart w:id="105" w:name="_Toc83972839"/>
      <w:bookmarkStart w:id="106" w:name="_Toc115686027"/>
      <w:bookmarkStart w:id="107" w:name="_Toc153184471"/>
      <w:bookmarkStart w:id="108" w:name="_Toc165901462"/>
      <w:bookmarkEnd w:id="97"/>
      <w:bookmarkEnd w:id="98"/>
      <w:r w:rsidRPr="00290696">
        <w:rPr>
          <w:rFonts w:eastAsiaTheme="majorEastAsia" w:cstheme="majorBidi"/>
          <w:bCs/>
          <w:color w:val="1F497D" w:themeColor="text2"/>
          <w:sz w:val="24"/>
          <w:lang w:val="hy-AM" w:eastAsia="en-US"/>
        </w:rPr>
        <w:t>2.3. ՀԱՐԿԱԲՅՈՒՋԵՏԱՅԻՆ ՌԻՍԿԵՐ</w:t>
      </w:r>
      <w:bookmarkEnd w:id="99"/>
      <w:bookmarkEnd w:id="100"/>
      <w:bookmarkEnd w:id="101"/>
      <w:bookmarkEnd w:id="102"/>
      <w:bookmarkEnd w:id="103"/>
      <w:bookmarkEnd w:id="104"/>
      <w:bookmarkEnd w:id="105"/>
      <w:bookmarkEnd w:id="106"/>
      <w:bookmarkEnd w:id="107"/>
      <w:bookmarkEnd w:id="108"/>
    </w:p>
    <w:p w14:paraId="7140BCA4" w14:textId="77777777" w:rsidR="00730639" w:rsidRPr="00654AEF" w:rsidRDefault="00730639" w:rsidP="00730639">
      <w:pPr>
        <w:rPr>
          <w:rFonts w:eastAsia="Calibri"/>
          <w:b w:val="0"/>
          <w:szCs w:val="22"/>
          <w:lang w:val="hy-AM" w:eastAsia="en-US"/>
        </w:rPr>
      </w:pPr>
      <w:r w:rsidRPr="00654AEF">
        <w:rPr>
          <w:rFonts w:eastAsia="Calibri"/>
          <w:b w:val="0"/>
          <w:szCs w:val="22"/>
          <w:lang w:val="hy-AM" w:eastAsia="en-US"/>
        </w:rPr>
        <w:t>Հարկաբյուջետային կանխատեսումները հիմնված են մի շարք ենթադրությունների և հիմնական դատողությունների վրա,  որոնց համար օգտագործվել է տվյալ պահի դրությամբ առկա և հասանելի ամբողջ տեղեկատվությունը</w:t>
      </w:r>
      <w:r w:rsidRPr="00654AEF">
        <w:rPr>
          <w:rFonts w:eastAsia="Calibri"/>
          <w:b w:val="0"/>
          <w:szCs w:val="22"/>
          <w:vertAlign w:val="superscript"/>
          <w:lang w:val="hy-AM" w:eastAsia="en-US"/>
        </w:rPr>
        <w:footnoteReference w:id="25"/>
      </w:r>
      <w:r w:rsidRPr="00654AEF">
        <w:rPr>
          <w:rFonts w:eastAsia="Calibri"/>
          <w:b w:val="0"/>
          <w:szCs w:val="22"/>
          <w:lang w:val="hy-AM" w:eastAsia="en-US"/>
        </w:rPr>
        <w:t>: Ինչպես ցանկացած կանխատեսում, հարկաբյուջետային կանխատեսումները նույնպես պարունակում են ռիսկեր առ այն, որ փաստացի իրադարձությունները կարող են տարբերվել սպասումներից: 2024 թվականի պետական բյուջեի հիմքում ընկած հիմնական մակրոտնտեսական հարկաբյուջետային ռիսկերը հետևյալն են՝</w:t>
      </w:r>
    </w:p>
    <w:p w14:paraId="5B91C87A" w14:textId="77777777" w:rsidR="00730639" w:rsidRPr="00654AEF" w:rsidRDefault="00730639" w:rsidP="00730639">
      <w:pPr>
        <w:rPr>
          <w:b w:val="0"/>
          <w:lang w:val="hy-AM"/>
        </w:rPr>
      </w:pPr>
      <w:r w:rsidRPr="00654AEF">
        <w:rPr>
          <w:bCs/>
          <w:lang w:val="hy-AM"/>
        </w:rPr>
        <w:t>2022թ.-ի ընթացքում դեպի Հայաստան ՌԴ-ից տեղի ունեցած մարդկանց և կապիտալի զգալի ներհոսքի հետշրջման ռիսկ։</w:t>
      </w:r>
      <w:r w:rsidRPr="00654AEF">
        <w:rPr>
          <w:b w:val="0"/>
          <w:lang w:val="hy-AM"/>
        </w:rPr>
        <w:t xml:space="preserve"> 2022թ. փետրվարից սրված ռուս-ուկրաինական հակամարտության և դրա արդյունքում ՌԴ-ի նկատմամբ կիրառվող աննախադեպ պատժամիջոցների պայմաններում տարածաշրջանային մի շարք երկրներ, այդ թվում՝ Հայաստանը գրանցել են աշխատուժի և կապիտալի էական ներհոսք, որը շարունակվել է նաև 2023թ.-ի ընթացքում՝ օժանդակելով տնտեսական աճի բարձր ցուցանիշի ապահովմանը։ Գրանցված ներհոսքերի հետշրջման գործընթացը զգալի բացասական ազդեցություն կունենա ՀՀ տնտեսական ակտիվության վրա, ինչն էլ իր հերթին կարող է հանգեցնել նախանշված ծավալով անվանական ՀՆԱ չձևավորման և դրա հիման վրա հարկային եկամուտների թերհավաքագրման ռիսկեր։ </w:t>
      </w:r>
    </w:p>
    <w:p w14:paraId="02C4D58D" w14:textId="77777777" w:rsidR="00730639" w:rsidRPr="00654AEF" w:rsidRDefault="00730639" w:rsidP="00730639">
      <w:pPr>
        <w:rPr>
          <w:b w:val="0"/>
          <w:lang w:val="hy-AM"/>
        </w:rPr>
      </w:pPr>
      <w:r w:rsidRPr="00654AEF">
        <w:rPr>
          <w:bCs/>
          <w:lang w:val="hy-AM"/>
        </w:rPr>
        <w:t xml:space="preserve">Համաշխարհային աշխարհաքաղաքական անկայունության և զարգացած երկրներում տոկոսադրույքի կտրուկ բարձրացման ազդեցությամբ համաշխարհային տնտեսական աճի դանդաղման շարունակման ռիսկ։ </w:t>
      </w:r>
      <w:r w:rsidRPr="00654AEF">
        <w:rPr>
          <w:b w:val="0"/>
          <w:lang w:val="hy-AM"/>
        </w:rPr>
        <w:t>2022թ</w:t>
      </w:r>
      <w:r w:rsidRPr="00654AEF">
        <w:rPr>
          <w:rFonts w:ascii="Cambria Math" w:hAnsi="Cambria Math" w:cs="Cambria Math"/>
          <w:b w:val="0"/>
          <w:lang w:val="hy-AM"/>
        </w:rPr>
        <w:t>․</w:t>
      </w:r>
      <w:r w:rsidRPr="00654AEF">
        <w:rPr>
          <w:b w:val="0"/>
          <w:lang w:val="hy-AM"/>
        </w:rPr>
        <w:t xml:space="preserve">, ռուս-ուկրաինական պատերազմի բացասական ազդեցություններով, հումքային և պարենային ակտիվների գների աճով, ինչպես նաև զարգացած երկրների կենտրոնական բանկերի կողմից իրականացված ագրեսիվ զսպող քաղաքականության ներքո համաշխարհային տնտեսական աճը դանդաղել է, առաջացել է կենսամակարդակի </w:t>
      </w:r>
      <w:r w:rsidRPr="00654AEF">
        <w:rPr>
          <w:b w:val="0"/>
          <w:lang w:val="hy-AM"/>
        </w:rPr>
        <w:lastRenderedPageBreak/>
        <w:t xml:space="preserve">պայմանների վրա զգալի բացասական ճնշում, միաժամանակ՝ ֆինանսական կայունության զգալի ռիսկեր։ Թեպետ 2022թ.-ի երկրորդ կեսից սկսած գնաճային ճնշումները սկսել են թուլանալ, աշխարհաքաղաքական անկայունությունը և ֆինանսական կայունության ռիսկերը աշխարհում սպառնում են ավելի խորանալ, ինչը տարբեր խողովակներով կարող է փոխանցվել ՀՀ տնտեսություն՝ առաջացնելով տնտեսական ակտիվության դանդաղում, հարկային եկամուտների թերհավաքագրում և հարկաբյուջետային միջոցառումների անհրաժեշտություն։  </w:t>
      </w:r>
    </w:p>
    <w:p w14:paraId="544144E8" w14:textId="77777777" w:rsidR="00730639" w:rsidRPr="00654AEF" w:rsidRDefault="00730639" w:rsidP="00730639">
      <w:pPr>
        <w:rPr>
          <w:b w:val="0"/>
          <w:bCs/>
          <w:lang w:val="hy-AM"/>
        </w:rPr>
      </w:pPr>
      <w:r w:rsidRPr="00654AEF">
        <w:rPr>
          <w:lang w:val="hy-AM"/>
        </w:rPr>
        <w:t xml:space="preserve">Լրացուցիչ ֆինանսավորման կարիք առաջացնող այլ ներքին ռիսկեր։ </w:t>
      </w:r>
      <w:r w:rsidRPr="00654AEF">
        <w:rPr>
          <w:b w:val="0"/>
          <w:bCs/>
          <w:lang w:val="hy-AM"/>
        </w:rPr>
        <w:t xml:space="preserve">Լրացուցիչ ծախսային կարիք առաջացնող գործոնների շարքում են Լեռնային Ղարաբաղից բռնի տեղահանված անձանց կեցության և սոցիալական աջակցության ծախսերը, տարածաշրջանային անվտանգային միջավայրի վատթարացման պայմաններում անվտանգությանն ու պաշտպանությանն ուղղվող միջոցների ծավալի աճի լրացուցիչ կարիքի առաջացումը, ՀՀ դրամի արժևորման արդյունքում արտահանելի հատվածի համար տնտեսական աջակցության լրացուցիչ ծրագրերի իրականացումը և այլն։ </w:t>
      </w:r>
    </w:p>
    <w:p w14:paraId="66FD6B72" w14:textId="77777777" w:rsidR="00730639" w:rsidRPr="00654AEF" w:rsidRDefault="00730639" w:rsidP="00730639">
      <w:pPr>
        <w:rPr>
          <w:b w:val="0"/>
          <w:bCs/>
          <w:lang w:val="hy-AM"/>
        </w:rPr>
      </w:pPr>
      <w:r w:rsidRPr="00654AEF">
        <w:rPr>
          <w:lang w:val="hy-AM"/>
        </w:rPr>
        <w:t xml:space="preserve">Կապիտալ ծախսերի թերակատարում: </w:t>
      </w:r>
      <w:r w:rsidRPr="00654AEF">
        <w:rPr>
          <w:b w:val="0"/>
          <w:bCs/>
          <w:lang w:val="hy-AM"/>
        </w:rPr>
        <w:t xml:space="preserve">2024թ. բյուջեի հիմքում դրված սցենարում նախատեսվել է կապիտալ ծախսերի զգալի բարձր մակարդակ՝ ՀՆԱ-ի 6.3%-ի չափով: Սակայն հաշվի առնելով նախորդ տարիների փաստացի կատարողականները (չնայած այն հանգամանքին, որ առկա է եղել կատարողականների բարելավման միտում), առկա է ծրագրավորված ցուցանիշների թերակատարման ռիսկ, ինչը կարող է բացասական ազդեցություն ունենալ տնտեսական աճի վրա, ինչպես նաև ազդել հարկաբյուջետային շրջանակի ցուցանիշների վրա: </w:t>
      </w:r>
    </w:p>
    <w:p w14:paraId="230FEC3A" w14:textId="77777777" w:rsidR="00730639" w:rsidRPr="00654AEF" w:rsidRDefault="00730639" w:rsidP="00730639">
      <w:pPr>
        <w:rPr>
          <w:lang w:val="hy-AM"/>
        </w:rPr>
      </w:pPr>
      <w:r w:rsidRPr="00654AEF">
        <w:rPr>
          <w:lang w:val="hy-AM"/>
        </w:rPr>
        <w:t>Հարկաբյուջետային շրջանակի հնարավոր փոփոխությունները մակրոտնտեսական կանխատեսումների շեղումների դեպքում և սթրես թեստերի ներքո</w:t>
      </w:r>
      <w:r w:rsidRPr="00654AEF">
        <w:rPr>
          <w:vertAlign w:val="superscript"/>
          <w:lang w:val="hy-AM"/>
        </w:rPr>
        <w:footnoteReference w:id="26"/>
      </w:r>
      <w:r w:rsidRPr="00654AEF">
        <w:rPr>
          <w:lang w:val="hy-AM"/>
        </w:rPr>
        <w:t>.</w:t>
      </w:r>
    </w:p>
    <w:p w14:paraId="34E6318E" w14:textId="77777777" w:rsidR="00730639" w:rsidRPr="00654AEF" w:rsidRDefault="00730639" w:rsidP="00730639">
      <w:pPr>
        <w:pStyle w:val="ListParagraph"/>
        <w:numPr>
          <w:ilvl w:val="0"/>
          <w:numId w:val="25"/>
        </w:numPr>
        <w:ind w:left="0" w:firstLine="0"/>
        <w:rPr>
          <w:lang w:val="hy-AM"/>
        </w:rPr>
      </w:pPr>
      <w:r w:rsidRPr="00654AEF">
        <w:rPr>
          <w:lang w:val="hy-AM"/>
        </w:rPr>
        <w:t xml:space="preserve"> Հարկային եկամուտներ: </w:t>
      </w:r>
      <w:r w:rsidRPr="00654AEF">
        <w:rPr>
          <w:b w:val="0"/>
          <w:lang w:val="hy-AM"/>
        </w:rPr>
        <w:t>Կարճաժամկետ հորիզոնում ՀՀ պետական բյուջեի հարկային եկամուտների վրա գնահատված է մակրոտնտեսական ցուցանիշների՝ իրական ՀՆԱ-ի աճի, գնաճի, փոխարժեքի տատանողականության, ներմուծման և հարկեր/ՀՆԱ թիրախավորված բարելավում չապահովող ռիսկերի շեղման ամփոփ գնահատականը: Հարկային եկամուտների վրա ազդող վերոնշյալ ռիսկերի միաժամանակյա ի հայտ գալու պարագայում հարկային եկամուտների ծրագրված մակարդակից շեղումը 2024 թվականին կկազմի շուրջ 95.4 մլրդ ՀՀ դրամ:</w:t>
      </w:r>
    </w:p>
    <w:p w14:paraId="7E07EF2C" w14:textId="77777777" w:rsidR="00730639" w:rsidRPr="00654AEF" w:rsidRDefault="00730639" w:rsidP="00730639">
      <w:pPr>
        <w:pStyle w:val="ListParagraph"/>
        <w:numPr>
          <w:ilvl w:val="0"/>
          <w:numId w:val="25"/>
        </w:numPr>
        <w:tabs>
          <w:tab w:val="left" w:pos="567"/>
        </w:tabs>
        <w:ind w:left="0" w:firstLine="0"/>
        <w:rPr>
          <w:rFonts w:eastAsia="Calibri"/>
          <w:b w:val="0"/>
          <w:szCs w:val="22"/>
          <w:lang w:val="hy-AM" w:eastAsia="en-US"/>
        </w:rPr>
      </w:pPr>
      <w:r w:rsidRPr="00654AEF">
        <w:rPr>
          <w:lang w:val="hy-AM"/>
        </w:rPr>
        <w:t>Պետական բյուջեի ծախսեր:</w:t>
      </w:r>
      <w:r w:rsidRPr="00654AEF">
        <w:rPr>
          <w:b w:val="0"/>
          <w:lang w:val="hy-AM"/>
        </w:rPr>
        <w:t xml:space="preserve"> Կանխատեսումներում մեծ ուշադրություն է դարձվում նաև պետական բյուջեի ծախսերի պլանավորված մակարդակների ապահովումը խաթարող ռիսկերին, որոնք կարող են հանգեցնել լրացուցիչ ֆինանսավորման պահանջի առաջացման: ՀՀ պետական բյուջեի ծախսերի վրա գնահատված է մակրոտնտեսական ցուցանիշների՝ իրական ՀՆԱ-ի աճի, գնաճի, փոխարժեքի տատանողականության և ներմուծման ռիսկերի շեղման ամփոփ գնահատականը, որոնց միաժամանակյա ի հայտ գալու պարագայում 2024 թվականին ՀՀ պետական բյուջեի դեֆիցիտի լրացուցիչ ֆինանսավորման պահանջը կկազմի շուրջ </w:t>
      </w:r>
      <w:r w:rsidRPr="00654AEF">
        <w:rPr>
          <w:rFonts w:cs="Sylfaen"/>
          <w:b w:val="0"/>
          <w:lang w:val="hy-AM"/>
        </w:rPr>
        <w:t>85.</w:t>
      </w:r>
      <w:r>
        <w:rPr>
          <w:rFonts w:cs="Sylfaen"/>
          <w:b w:val="0"/>
          <w:lang w:val="hy-AM"/>
        </w:rPr>
        <w:t xml:space="preserve">2 </w:t>
      </w:r>
      <w:r w:rsidRPr="00654AEF">
        <w:rPr>
          <w:rFonts w:cs="Sylfaen"/>
          <w:b w:val="0"/>
          <w:lang w:val="hy-AM"/>
        </w:rPr>
        <w:t>մլրդ ՀՀ դրամ կամ ՀՆԱ-ի 0.8%-ը:</w:t>
      </w:r>
      <w:r w:rsidRPr="00654AEF">
        <w:rPr>
          <w:b w:val="0"/>
          <w:lang w:val="hy-AM"/>
        </w:rPr>
        <w:t xml:space="preserve"> Ընդ որում` ՀՀ կառա</w:t>
      </w:r>
      <w:r w:rsidRPr="00654AEF">
        <w:rPr>
          <w:b w:val="0"/>
          <w:lang w:val="hy-AM"/>
        </w:rPr>
        <w:softHyphen/>
        <w:t>վարու</w:t>
      </w:r>
      <w:r w:rsidRPr="00654AEF">
        <w:rPr>
          <w:b w:val="0"/>
          <w:lang w:val="hy-AM"/>
        </w:rPr>
        <w:softHyphen/>
        <w:t xml:space="preserve">թյան տնտեսական քաղաքականության </w:t>
      </w:r>
      <w:r w:rsidRPr="00654AEF">
        <w:rPr>
          <w:b w:val="0"/>
          <w:lang w:val="hy-AM"/>
        </w:rPr>
        <w:lastRenderedPageBreak/>
        <w:t>հիմնական նպատակադրումը լինելու է սոցիալական բնույթի ծախսերի կրճատման բացառումը, իսկ հնարավորության դեպքում` բյուջեի ծախսերի ամբողջական իրականացումը:</w:t>
      </w:r>
    </w:p>
    <w:p w14:paraId="116F5BFB" w14:textId="77777777" w:rsidR="00730639" w:rsidRPr="00654AEF" w:rsidRDefault="00730639" w:rsidP="00730639">
      <w:pPr>
        <w:pStyle w:val="ListParagraph"/>
        <w:numPr>
          <w:ilvl w:val="0"/>
          <w:numId w:val="25"/>
        </w:numPr>
        <w:tabs>
          <w:tab w:val="left" w:pos="567"/>
        </w:tabs>
        <w:ind w:left="0" w:firstLine="0"/>
        <w:rPr>
          <w:rFonts w:eastAsia="Calibri"/>
          <w:b w:val="0"/>
          <w:szCs w:val="22"/>
          <w:lang w:val="hy-AM" w:eastAsia="en-US"/>
        </w:rPr>
      </w:pPr>
      <w:r w:rsidRPr="00654AEF">
        <w:rPr>
          <w:rFonts w:eastAsia="Calibri"/>
          <w:szCs w:val="22"/>
          <w:lang w:val="hy-AM" w:eastAsia="en-US"/>
        </w:rPr>
        <w:t xml:space="preserve">Կառավարության պարտք։ </w:t>
      </w:r>
      <w:r w:rsidRPr="00654AEF">
        <w:rPr>
          <w:rFonts w:eastAsia="Calibri"/>
          <w:b w:val="0"/>
          <w:szCs w:val="22"/>
          <w:lang w:val="hy-AM" w:eastAsia="en-US"/>
        </w:rPr>
        <w:t>ՀՀ կառավարության պարտքի կայունության վերլուծությունները վկայում են, որ թեպետ  վերջինս կայուն է, կառավարելի և ցածր ռիսկային, զգայուն է տնտեսական աճի, որից հետո՝ փոխարժեքի շոկի նկատմամբ (տե՛ս 2024-2026թթ</w:t>
      </w:r>
      <w:r w:rsidRPr="00654AEF">
        <w:rPr>
          <w:rFonts w:ascii="Cambria Math" w:eastAsia="Calibri" w:hAnsi="Cambria Math" w:cs="Cambria Math"/>
          <w:b w:val="0"/>
          <w:szCs w:val="22"/>
          <w:lang w:val="hy-AM" w:eastAsia="en-US"/>
        </w:rPr>
        <w:t xml:space="preserve">․ </w:t>
      </w:r>
      <w:r w:rsidRPr="00654AEF">
        <w:rPr>
          <w:rFonts w:eastAsia="Calibri"/>
          <w:b w:val="0"/>
          <w:szCs w:val="22"/>
          <w:lang w:val="hy-AM" w:eastAsia="en-US"/>
        </w:rPr>
        <w:t>պետական միջնաժամկետ ծախսերի ծրագիր, Վերլուծություններ, ՀՀ կառավարության պարտքի կայունության վերլուծություն)։ Այդ տեսակետից, գնահատված տնտեսական աճի և փոխարժեքի ռիսկերի պայմաններում հաշվարկվել է կանխատեսումներից կառավարության պարտքի հնարավոր շեղման չափը։ Հաշվարկները ցույց են տվել, որ տնտեսական աճի ենթադրվող շոկի (1.5%-ային կետով ավելի ցածր աճ) պայմաններում ՀՀ կառավարության պարտք/ՀՆԱ հարաբերակցությունը 2024թ</w:t>
      </w:r>
      <w:r w:rsidRPr="00654AEF">
        <w:rPr>
          <w:rFonts w:ascii="Cambria Math" w:eastAsia="Calibri" w:hAnsi="Cambria Math" w:cs="Cambria Math"/>
          <w:b w:val="0"/>
          <w:szCs w:val="22"/>
          <w:lang w:val="hy-AM" w:eastAsia="en-US"/>
        </w:rPr>
        <w:t>․</w:t>
      </w:r>
      <w:r w:rsidRPr="00654AEF">
        <w:rPr>
          <w:rFonts w:eastAsia="Calibri"/>
          <w:b w:val="0"/>
          <w:szCs w:val="22"/>
          <w:lang w:val="hy-AM" w:eastAsia="en-US"/>
        </w:rPr>
        <w:t>-ին կկազմի 49.</w:t>
      </w:r>
      <w:r>
        <w:rPr>
          <w:rFonts w:eastAsia="Calibri"/>
          <w:b w:val="0"/>
          <w:szCs w:val="22"/>
          <w:lang w:val="hy-AM" w:eastAsia="en-US"/>
        </w:rPr>
        <w:t>4</w:t>
      </w:r>
      <w:r w:rsidRPr="00654AEF">
        <w:rPr>
          <w:rFonts w:eastAsia="Calibri"/>
          <w:b w:val="0"/>
          <w:szCs w:val="22"/>
          <w:lang w:val="hy-AM" w:eastAsia="en-US"/>
        </w:rPr>
        <w:t>%, փոխարժեքի շոկի դեպքում (վերադարձ դեպի 1 դոլարի դիմաց 480 դրամի մակարդակի)՝  51.</w:t>
      </w:r>
      <w:r>
        <w:rPr>
          <w:rFonts w:eastAsia="Calibri"/>
          <w:b w:val="0"/>
          <w:szCs w:val="22"/>
          <w:lang w:val="hy-AM" w:eastAsia="en-US"/>
        </w:rPr>
        <w:t>7</w:t>
      </w:r>
      <w:r w:rsidRPr="00654AEF">
        <w:rPr>
          <w:rFonts w:eastAsia="Calibri"/>
          <w:b w:val="0"/>
          <w:szCs w:val="22"/>
          <w:lang w:val="hy-AM" w:eastAsia="en-US"/>
        </w:rPr>
        <w:t>%, սպասվածից բարձր պակասուրդի դեպքում (1%-ային կետով) ՝ 49.</w:t>
      </w:r>
      <w:r>
        <w:rPr>
          <w:rFonts w:eastAsia="Calibri"/>
          <w:b w:val="0"/>
          <w:szCs w:val="22"/>
          <w:lang w:val="hy-AM" w:eastAsia="en-US"/>
        </w:rPr>
        <w:t>4</w:t>
      </w:r>
      <w:r w:rsidRPr="00654AEF">
        <w:rPr>
          <w:rFonts w:eastAsia="Calibri"/>
          <w:b w:val="0"/>
          <w:szCs w:val="22"/>
          <w:lang w:val="hy-AM" w:eastAsia="en-US"/>
        </w:rPr>
        <w:t>%։ Նշված շոկերի համադրման դեպքում կառավարության պարտք/ՀՆԱ ցուցանիշը կկազմի 53.</w:t>
      </w:r>
      <w:r>
        <w:rPr>
          <w:rFonts w:eastAsia="Calibri"/>
          <w:b w:val="0"/>
          <w:szCs w:val="22"/>
          <w:lang w:val="hy-AM" w:eastAsia="en-US"/>
        </w:rPr>
        <w:t>4</w:t>
      </w:r>
      <w:r w:rsidRPr="00654AEF">
        <w:rPr>
          <w:rFonts w:eastAsia="Calibri"/>
          <w:b w:val="0"/>
          <w:szCs w:val="22"/>
          <w:lang w:val="hy-AM" w:eastAsia="en-US"/>
        </w:rPr>
        <w:t xml:space="preserve">%՝ ցածր մնալով 60% սահմանային շեմից։ </w:t>
      </w:r>
    </w:p>
    <w:p w14:paraId="78285C5C" w14:textId="77777777" w:rsidR="00730639" w:rsidRPr="00654AEF" w:rsidRDefault="00730639" w:rsidP="00730639">
      <w:pPr>
        <w:rPr>
          <w:lang w:val="hy-AM"/>
        </w:rPr>
      </w:pPr>
      <w:r w:rsidRPr="00654AEF">
        <w:rPr>
          <w:u w:val="single"/>
          <w:lang w:val="hy-AM"/>
        </w:rPr>
        <w:t xml:space="preserve">Հարկաբյուջետային ռիսկերի կառավարումը՝ համարժեք «անվտանգության բարձիկների» ձևավորմամբ։ </w:t>
      </w:r>
      <w:r w:rsidRPr="00654AEF">
        <w:rPr>
          <w:lang w:val="hy-AM"/>
        </w:rPr>
        <w:t xml:space="preserve"> </w:t>
      </w:r>
    </w:p>
    <w:p w14:paraId="3F6C2DC2" w14:textId="77777777" w:rsidR="00730639" w:rsidRPr="00654AEF" w:rsidRDefault="00730639" w:rsidP="00730639">
      <w:pPr>
        <w:rPr>
          <w:b w:val="0"/>
          <w:szCs w:val="22"/>
          <w:lang w:val="hy-AM"/>
        </w:rPr>
      </w:pPr>
      <w:r w:rsidRPr="00654AEF">
        <w:rPr>
          <w:b w:val="0"/>
          <w:lang w:val="hy-AM"/>
        </w:rPr>
        <w:t>Ծրագրված հարկաբյուջետային քաղաքականության ուղեգծից շեղման ռիսկերի գնահատման արդյունքների հիման վրա նախատեսվել են համապատասխան «հարկաբյուջետային բարձիկներ»։ Մասնավորապես, ընթացիկ ծախսերի կազմում նախատեսվել է պահուստային ֆոնդ, որի մեծությունը 2024թ</w:t>
      </w:r>
      <w:r w:rsidRPr="00654AEF">
        <w:rPr>
          <w:rFonts w:ascii="Cambria Math" w:hAnsi="Cambria Math" w:cs="Cambria Math"/>
          <w:b w:val="0"/>
          <w:lang w:val="hy-AM"/>
        </w:rPr>
        <w:t>․</w:t>
      </w:r>
      <w:r w:rsidRPr="00654AEF">
        <w:rPr>
          <w:b w:val="0"/>
          <w:lang w:val="hy-AM"/>
        </w:rPr>
        <w:t>-</w:t>
      </w:r>
      <w:r w:rsidRPr="00654AEF">
        <w:rPr>
          <w:rFonts w:cs="GHEA Grapalat"/>
          <w:b w:val="0"/>
          <w:lang w:val="hy-AM"/>
        </w:rPr>
        <w:t>ին</w:t>
      </w:r>
      <w:r w:rsidRPr="00654AEF">
        <w:rPr>
          <w:b w:val="0"/>
          <w:lang w:val="hy-AM"/>
        </w:rPr>
        <w:t xml:space="preserve"> </w:t>
      </w:r>
      <w:r w:rsidRPr="00654AEF">
        <w:rPr>
          <w:rFonts w:cs="GHEA Grapalat"/>
          <w:b w:val="0"/>
          <w:lang w:val="hy-AM"/>
        </w:rPr>
        <w:t>կկազմի</w:t>
      </w:r>
      <w:r w:rsidRPr="00654AEF">
        <w:rPr>
          <w:b w:val="0"/>
          <w:lang w:val="hy-AM"/>
        </w:rPr>
        <w:t xml:space="preserve"> 60.5 մլրդ դրամ կամ ՀՆԱ 0</w:t>
      </w:r>
      <w:r w:rsidRPr="00654AEF">
        <w:rPr>
          <w:rFonts w:ascii="Cambria Math" w:hAnsi="Cambria Math"/>
          <w:b w:val="0"/>
          <w:lang w:val="hy-AM"/>
        </w:rPr>
        <w:t>․</w:t>
      </w:r>
      <w:r w:rsidRPr="00654AEF">
        <w:rPr>
          <w:b w:val="0"/>
          <w:lang w:val="hy-AM"/>
        </w:rPr>
        <w:t xml:space="preserve">6%, և ծախսերի 2%-ը։ Միաժամանակ, ՀՀ կառավարությունը, գործող կարգավորումների համաձայն, իրացվելիության անհրաժեշտ մակարդակ երաշխավորելու համար գանձապետական կայունացման հաշվում կապահովի նվազագույն ՀՆԱ 1%-ի չափով միջոցներ։  </w:t>
      </w:r>
    </w:p>
    <w:p w14:paraId="34243A87" w14:textId="77777777" w:rsidR="00730639" w:rsidRPr="00654AEF" w:rsidRDefault="00730639" w:rsidP="00730639">
      <w:pPr>
        <w:rPr>
          <w:b w:val="0"/>
          <w:lang w:val="hy-AM"/>
        </w:rPr>
      </w:pPr>
    </w:p>
    <w:p w14:paraId="6CE618B8" w14:textId="77777777" w:rsidR="00730639" w:rsidRPr="00654AEF" w:rsidRDefault="00730639" w:rsidP="00730639">
      <w:pPr>
        <w:rPr>
          <w:rFonts w:eastAsia="Calibri"/>
          <w:b w:val="0"/>
          <w:szCs w:val="22"/>
          <w:lang w:val="hy-AM" w:eastAsia="en-US"/>
        </w:rPr>
      </w:pPr>
      <w:r w:rsidRPr="00654AEF">
        <w:rPr>
          <w:b w:val="0"/>
          <w:lang w:val="hy-AM"/>
        </w:rPr>
        <w:t>Ամփոփելով հարկաբյուջետային ռիսկերի նկարագրությունը կարող ենք նշել, որ ինչպես 2020թ. ճգնաժամային իրավիճակով և դրա դրսևորումների շարունակությամբ, այնպես էլ 2022թ. փետրվարից ռուս-ուկրաինական համամարտության սրմամբ պայմանավորված ռիսկերն առավելապես վերաբերում են առկա անորոշություններին: Մասնավորապես, անորոշություններ են առկա ինչպես ՌԴ նկատմամբ կիրառված սանկցիաների՝ ՀՀ տնտեսության վրա հնարավոր ազդեցությունների, այնպես էլ տնտեսության հետագա աճի տեմպի հետ կապված: Նշված ռիսկերի ի հայտ գալու կամ անորոշությունների վերաբերյալ նոր տեղեկատվության առկայության պայմաններում, առաջիկա տարիների հարկաբյուջետային շրջանակը կարող է վերանայվել։</w:t>
      </w:r>
    </w:p>
    <w:p w14:paraId="524F3637" w14:textId="77777777" w:rsidR="00730639" w:rsidRPr="00D178DD" w:rsidRDefault="00730639" w:rsidP="00730639">
      <w:pPr>
        <w:rPr>
          <w:rFonts w:eastAsia="Calibri"/>
          <w:b w:val="0"/>
          <w:szCs w:val="22"/>
          <w:lang w:val="hy-AM" w:eastAsia="en-US"/>
        </w:rPr>
      </w:pPr>
    </w:p>
    <w:p w14:paraId="46D3FE0F" w14:textId="77777777" w:rsidR="00D178DD" w:rsidRPr="00290696" w:rsidRDefault="00D178DD" w:rsidP="0038558B">
      <w:pPr>
        <w:keepNext/>
        <w:keepLines/>
        <w:spacing w:before="0"/>
        <w:ind w:firstLine="284"/>
        <w:outlineLvl w:val="2"/>
        <w:rPr>
          <w:rFonts w:eastAsiaTheme="majorEastAsia" w:cstheme="majorBidi"/>
          <w:bCs/>
          <w:color w:val="1F497D" w:themeColor="text2"/>
          <w:sz w:val="24"/>
          <w:lang w:val="hy-AM" w:eastAsia="en-US"/>
        </w:rPr>
      </w:pPr>
      <w:bookmarkStart w:id="109" w:name="_Toc83972840"/>
      <w:bookmarkStart w:id="110" w:name="_Toc115686028"/>
      <w:bookmarkStart w:id="111" w:name="_Toc153184472"/>
      <w:bookmarkStart w:id="112" w:name="_Toc165901463"/>
      <w:r w:rsidRPr="00290696">
        <w:rPr>
          <w:rFonts w:eastAsiaTheme="majorEastAsia" w:cstheme="majorBidi"/>
          <w:bCs/>
          <w:color w:val="1F497D" w:themeColor="text2"/>
          <w:sz w:val="24"/>
          <w:lang w:val="hy-AM" w:eastAsia="en-US"/>
        </w:rPr>
        <w:t>2.4. ՀԱՐԿԱԲՅՈՒՋԵՏԱՅԻՆ  ՔԱՂԱՔԱԿԱՆՈՒԹՅԱՆ ՀԱՄԱՊԱՏԱՍԽԱՆՈՒԹՅՈՒՆԸ ՀԱՐԿԱԲՅՈՒՋԵՏԱՅԻՆ ԿԱՆՈՆՆԵՐԻՆ</w:t>
      </w:r>
      <w:bookmarkEnd w:id="109"/>
      <w:bookmarkEnd w:id="110"/>
      <w:bookmarkEnd w:id="111"/>
      <w:bookmarkEnd w:id="112"/>
    </w:p>
    <w:p w14:paraId="0F7FD4B8" w14:textId="77777777" w:rsidR="00730639" w:rsidRPr="00654AEF" w:rsidRDefault="00730639" w:rsidP="00730639">
      <w:pPr>
        <w:rPr>
          <w:rFonts w:eastAsia="Calibri"/>
          <w:szCs w:val="22"/>
          <w:lang w:val="hy-AM" w:eastAsia="en-US"/>
        </w:rPr>
      </w:pPr>
      <w:bookmarkStart w:id="113" w:name="_Toc45838555"/>
      <w:bookmarkStart w:id="114" w:name="_Toc46154356"/>
      <w:bookmarkStart w:id="115" w:name="_Toc52452096"/>
      <w:bookmarkStart w:id="116" w:name="_Toc57655457"/>
      <w:bookmarkStart w:id="117" w:name="_Toc83972841"/>
      <w:bookmarkStart w:id="118" w:name="_Toc115686029"/>
      <w:r w:rsidRPr="00654AEF">
        <w:rPr>
          <w:rFonts w:eastAsia="Calibri"/>
          <w:b w:val="0"/>
          <w:szCs w:val="22"/>
          <w:lang w:val="hy-AM" w:eastAsia="en-US"/>
        </w:rPr>
        <w:t>ՀՀ հարկաբյուջետային կանոնների ներկա համակարգը գործարկվել է ՀՀ Ազգային ժողովի կողմից 2017 թվականի դեկտեմբերի 20-ին ՀՀ բյուջետային համակարգի մասին և Պետական պարտքի մասին ՀՀ օրենքներում փոփոխություններ և լրացումն</w:t>
      </w:r>
      <w:r w:rsidRPr="00654AEF">
        <w:rPr>
          <w:rFonts w:eastAsia="Calibri"/>
          <w:b w:val="0"/>
          <w:szCs w:val="22"/>
          <w:lang w:val="hy-AM" w:eastAsia="en-US"/>
        </w:rPr>
        <w:softHyphen/>
        <w:t xml:space="preserve">եր կատարող օրենքների, ինչպես նաև են ՀՀ Կառավարության՝ 2018 թվականի օգոստոսի 23-ի N 942-Ն որոշման </w:t>
      </w:r>
      <w:r w:rsidRPr="00654AEF">
        <w:rPr>
          <w:rFonts w:eastAsia="Calibri"/>
          <w:b w:val="0"/>
          <w:szCs w:val="22"/>
          <w:lang w:val="hy-AM" w:eastAsia="en-US"/>
        </w:rPr>
        <w:lastRenderedPageBreak/>
        <w:t>ընդունմամբ: Կանոնների համակարգը ներառում է ծախսային կանոններ, որոնք ուժի մեջ են մտնում պարտքի սահմանված շեմերը գերազանցելիս։ Մասնավորապես</w:t>
      </w:r>
      <w:r w:rsidRPr="00654AEF">
        <w:rPr>
          <w:rFonts w:ascii="Cambria Math" w:eastAsia="Calibri" w:hAnsi="Cambria Math" w:cs="Cambria Math"/>
          <w:b w:val="0"/>
          <w:szCs w:val="22"/>
          <w:lang w:val="hy-AM" w:eastAsia="en-US"/>
        </w:rPr>
        <w:t>․</w:t>
      </w:r>
    </w:p>
    <w:p w14:paraId="36106093" w14:textId="77777777" w:rsidR="00730639" w:rsidRPr="00097368" w:rsidRDefault="00730639" w:rsidP="00097368">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654AEF">
        <w:rPr>
          <w:rFonts w:eastAsia="Calibri"/>
          <w:b w:val="0"/>
          <w:szCs w:val="22"/>
          <w:lang w:val="hy-AM" w:eastAsia="en-US"/>
        </w:rPr>
        <w:t xml:space="preserve">Երբ </w:t>
      </w:r>
      <w:r w:rsidRPr="00097368">
        <w:rPr>
          <w:rFonts w:eastAsia="Calibri" w:cs="Arial"/>
          <w:b w:val="0"/>
          <w:bCs/>
          <w:kern w:val="2"/>
          <w:szCs w:val="22"/>
          <w:lang w:val="hy-AM"/>
          <w14:ligatures w14:val="standardContextual"/>
        </w:rPr>
        <w:t>կառավարության պարտք/ՀՆԱ հարաբերակցությունը գերազանցում է 40%-ը, պետական բյուջեի կապիտալ ծախսերը չպետք է փոքր լինեն բյուջեի պակասուրդից:</w:t>
      </w:r>
    </w:p>
    <w:p w14:paraId="2D55B70D" w14:textId="77777777" w:rsidR="00730639" w:rsidRPr="00097368" w:rsidRDefault="00730639" w:rsidP="00097368">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097368">
        <w:rPr>
          <w:rFonts w:eastAsia="Calibri" w:cs="Arial"/>
          <w:b w:val="0"/>
          <w:bCs/>
          <w:kern w:val="2"/>
          <w:szCs w:val="22"/>
          <w:lang w:val="hy-AM"/>
          <w14:ligatures w14:val="standardContextual"/>
        </w:rPr>
        <w:t>Կառավարության պարտք/ՀՆԱ հարաբերակցության՝ 50-60% միջակայքում գտնվելու դեպքում, ընթացիկ առաջնային ծախսերի աճի տեմպը սահմանափակվում է նախորդ 7 տարիների ՀՆԱ-ների միջին աճով, ինչպես նաև հաջորդ տարում կազմվող պետական միջնաժամկետ ծախսերի ծրագրում կառավարությունը ներկայացնում է միջոցառումների ծրագիր՝ համախառն ներքին արդյունքի նկատմամբ կառավարության պարտքի մակարդակի կանխատեսվող հետագիծը 5 տարիների ընթացքում 50 տոկոսից նվազեցնելու համար:</w:t>
      </w:r>
    </w:p>
    <w:p w14:paraId="4C5C4AC8" w14:textId="77777777" w:rsidR="00730639" w:rsidRPr="00097368" w:rsidRDefault="00730639" w:rsidP="00097368">
      <w:pPr>
        <w:pStyle w:val="ListParagraph"/>
        <w:numPr>
          <w:ilvl w:val="0"/>
          <w:numId w:val="55"/>
        </w:numPr>
        <w:tabs>
          <w:tab w:val="left" w:pos="284"/>
        </w:tabs>
        <w:suppressAutoHyphens/>
        <w:spacing w:before="0" w:after="160"/>
        <w:ind w:left="0" w:firstLine="0"/>
        <w:rPr>
          <w:rFonts w:eastAsia="Calibri" w:cs="Arial"/>
          <w:b w:val="0"/>
          <w:bCs/>
          <w:kern w:val="2"/>
          <w:szCs w:val="22"/>
          <w:lang w:val="hy-AM"/>
          <w14:ligatures w14:val="standardContextual"/>
        </w:rPr>
      </w:pPr>
      <w:r w:rsidRPr="00097368">
        <w:rPr>
          <w:rFonts w:eastAsia="Calibri" w:cs="Arial"/>
          <w:b w:val="0"/>
          <w:bCs/>
          <w:kern w:val="2"/>
          <w:szCs w:val="22"/>
          <w:lang w:val="hy-AM"/>
          <w14:ligatures w14:val="standardContextual"/>
        </w:rPr>
        <w:t xml:space="preserve">Երբ Կառավարության պարտքը գերազանցում է ՀՆԱ 60%-ը, ընթացիկ առաջնային ծախսերի աճի տեմպը սահմանափակվում է նախորդ 7 տարիների ՀՆԱ-ների միջին աճից 0.5 տոկոսային կետով նվազեցված ցուցանիշով, ընթացիկ ծախսերը սահմանափակվում են հարկերի և տուրքերի մեծությամբ, ինչպես նաև Կառավարությունը Ազգային ժողովի ֆինանսավարկային և բյուջետային ու տնտեսական հարցերի մշտական հանձնաժողովների քննարկմանը ներկայացնում է միջոցառումների ծրագիր՝ ՀՆԱ նկատմամբ կառավարության պարտքի մակարդակի կանխատեսվող հետագիծը 5 տարիների ընթացքում 60 տոկոսից նվազեցնելու համար: </w:t>
      </w:r>
    </w:p>
    <w:p w14:paraId="0BADCB6D" w14:textId="77777777" w:rsidR="00730639" w:rsidRPr="00654AEF" w:rsidRDefault="00730639" w:rsidP="00097368">
      <w:pPr>
        <w:pStyle w:val="ListParagraph"/>
        <w:numPr>
          <w:ilvl w:val="0"/>
          <w:numId w:val="55"/>
        </w:numPr>
        <w:tabs>
          <w:tab w:val="left" w:pos="284"/>
        </w:tabs>
        <w:suppressAutoHyphens/>
        <w:spacing w:before="0" w:after="160"/>
        <w:ind w:left="0" w:firstLine="0"/>
        <w:rPr>
          <w:rFonts w:eastAsia="Calibri"/>
          <w:szCs w:val="22"/>
          <w:lang w:val="hy-AM" w:eastAsia="en-US"/>
        </w:rPr>
      </w:pPr>
      <w:r w:rsidRPr="00097368">
        <w:rPr>
          <w:rFonts w:eastAsia="Calibri" w:cs="Arial"/>
          <w:b w:val="0"/>
          <w:bCs/>
          <w:kern w:val="2"/>
          <w:szCs w:val="22"/>
          <w:lang w:val="hy-AM"/>
          <w14:ligatures w14:val="standardContextual"/>
        </w:rPr>
        <w:t>Ներկայացված սահմանափակումները չեն գործում կառավարության որոշմամբ սահմանված բացառիկ</w:t>
      </w:r>
      <w:r w:rsidRPr="00654AEF">
        <w:rPr>
          <w:rFonts w:eastAsia="Calibri"/>
          <w:b w:val="0"/>
          <w:szCs w:val="22"/>
          <w:lang w:val="hy-AM" w:eastAsia="en-US"/>
        </w:rPr>
        <w:t xml:space="preserve"> դեպքերում՝ ելնելով խոշորածավալ տարերային և տեխնածին աղետների, պատերազմական գործողությունների, տնտեսությունը խաղաղ ժամանակաշրջանից պատերազմական ժամանակաշրջանի փոխադրման, տնտեսական ցնցման հանգամանքներով պայմանավորված բացասական տնտեսական զարգացումների պարագայում:</w:t>
      </w:r>
    </w:p>
    <w:p w14:paraId="2561D63D" w14:textId="77777777" w:rsidR="00730639" w:rsidRPr="00654AEF" w:rsidRDefault="00730639" w:rsidP="00730639">
      <w:pPr>
        <w:rPr>
          <w:rFonts w:eastAsia="Calibri"/>
          <w:b w:val="0"/>
          <w:bCs/>
          <w:szCs w:val="22"/>
          <w:lang w:val="hy-AM" w:eastAsia="en-US"/>
        </w:rPr>
      </w:pPr>
      <w:r w:rsidRPr="00654AEF">
        <w:rPr>
          <w:rFonts w:eastAsia="Calibri"/>
          <w:szCs w:val="22"/>
          <w:lang w:val="hy-AM" w:eastAsia="en-US"/>
        </w:rPr>
        <w:t xml:space="preserve">2022թ. վերականգնվել է հարկաբյուջետային կանոնների բնականոն իրավիճակների տրամաբանությունը՝ համահունչ 2022թ. պետական բյուջեի ուղերձում նախանշած քաղաքականությանը։ </w:t>
      </w:r>
      <w:r w:rsidRPr="00654AEF">
        <w:rPr>
          <w:rFonts w:eastAsia="Calibri"/>
          <w:b w:val="0"/>
          <w:bCs/>
          <w:szCs w:val="22"/>
          <w:lang w:val="hy-AM" w:eastAsia="en-US"/>
        </w:rPr>
        <w:t xml:space="preserve">Այսպես, եթե բացառիկ դեպքերի կարգավորումների կիրառման պայմաններում 2021թ. հաջողվել էր նվազեցնել պետական բյուջեի պակասուրդի և կապիտալ ծախսերի շեղման չափը, ապա 2022թ. պետական բյուջեի կապիտալ ծախսերը գերազանցել են պետական բյուջեի պակասուրդը շուրջ 201 մլրդ դրամով, ինչը կարևոր է երկարաժամկետ հարկաբյուջետային կայունության տեսակետից և երաշխավորում է, որ նոր վերցված փոխառություններին առաջանցիկ պետական ենթակառուցվածքներ ձևավորվեն՝ կայուն դարձնելով զուտ պարտքի դիրքը։ Միաժամանակ, ՀՀ կառավարությունը 2021թ. շեղման չափը կրճատելուց հետո 2022թ. մոտեցրել է ըստ կանոնի (երկու տարի նախորդող ցուցանիշի նկատմամբ հաշվարկված) ընթացիկ առաջնային ծախսերի աճի տեմպը նախորդ տարվա ՀՆԱ աճերի՝ 0.5 տոկոսային կետով նվազեցված ցուցանիշին՝ շեղման չափը կրճատելով մինչև 30 մլրդ դրամի։ Նշված շեղումը իր հերթին գրանցվել է տարվա ընթացքում պետական բյուջեի եկամուտների պլանի բարձրացման պայմաններում՝ համապատասխան 2022թ. պետական բյուջեի մասին ՀՀ օրենքի դրույթներին (ինչը թույլ է տալիս ավելացնել ծախսերը հարկային եկամուտների ավելացման պարագայում), ինչպես նաև հարկաբյուջետային կանոնների տրամաբանությանը։ Միաժամանակ, ընթացիկ առաջնային ծախսերի աճի տեմպի </w:t>
      </w:r>
      <w:r w:rsidRPr="00654AEF">
        <w:rPr>
          <w:rFonts w:eastAsia="Calibri"/>
          <w:b w:val="0"/>
          <w:bCs/>
          <w:szCs w:val="22"/>
          <w:lang w:val="hy-AM" w:eastAsia="en-US"/>
        </w:rPr>
        <w:lastRenderedPageBreak/>
        <w:t>համապատասխանությունը եկամուտ գեներացնելու հնարավորություններն արտահայտող երկարաժամկետ միջին ՀՆԱ աճի ցուցանիշին համապատասխանեցված է՝ ըստ նախորդ տարվա նկատմամբ ցուցանիշի հաշվարկի, իսկ տարվա ընթացքում պլանավորված մակարդակից ծախսերի ավելացումները հիմնականում միանգամյա ծախսերի բնույթ են կրել և չեն ենթադրել երկարաժամկետ ծախսային պարտավորությունների բեռի ավելացում։ Նկատի ունենալով, որ 2022թ.-ի վերջի դրությամբ ՀՀ կառավարության պարտք/ՀՆԱ հարաբերակցությունը կազմել է 46.7%` ցածր լինելով 50%-ի շեմից, ՀՀ կառավարության պարտքի նվազեցման 2022-2026թթ. վերանայված ծրագրի թիրախը ապահովված է, ինչի արդյունքում նոր պարտքի նվազեցման ծրագիր չի մշակվել։</w:t>
      </w:r>
    </w:p>
    <w:p w14:paraId="35649A22" w14:textId="77777777" w:rsidR="00730639" w:rsidRPr="00654AEF" w:rsidRDefault="00730639" w:rsidP="00730639">
      <w:pPr>
        <w:rPr>
          <w:rFonts w:eastAsia="Calibri"/>
          <w:b w:val="0"/>
          <w:szCs w:val="22"/>
          <w:lang w:val="hy-AM" w:eastAsia="en-US"/>
        </w:rPr>
      </w:pPr>
      <w:r w:rsidRPr="00654AEF">
        <w:rPr>
          <w:rFonts w:eastAsia="Calibri"/>
          <w:szCs w:val="22"/>
          <w:lang w:val="hy-AM" w:eastAsia="en-US"/>
        </w:rPr>
        <w:t xml:space="preserve"> 2023թ</w:t>
      </w:r>
      <w:r w:rsidRPr="00654AEF">
        <w:rPr>
          <w:rFonts w:ascii="Cambria Math" w:eastAsia="Calibri" w:hAnsi="Cambria Math" w:cs="Cambria Math"/>
          <w:szCs w:val="22"/>
          <w:lang w:val="hy-AM" w:eastAsia="en-US"/>
        </w:rPr>
        <w:t>․</w:t>
      </w:r>
      <w:r w:rsidRPr="00654AEF">
        <w:rPr>
          <w:rFonts w:eastAsia="Calibri"/>
          <w:szCs w:val="22"/>
          <w:lang w:val="hy-AM" w:eastAsia="en-US"/>
        </w:rPr>
        <w:t>-ի պետական բյուջեի կատարումը և նախատեսվում է շարունակել, իսկ 2024թ</w:t>
      </w:r>
      <w:r w:rsidRPr="00654AEF">
        <w:rPr>
          <w:rFonts w:ascii="Cambria Math" w:eastAsia="Calibri" w:hAnsi="Cambria Math" w:cs="Cambria Math"/>
          <w:szCs w:val="22"/>
          <w:lang w:val="hy-AM" w:eastAsia="en-US"/>
        </w:rPr>
        <w:t>․</w:t>
      </w:r>
      <w:r w:rsidRPr="00654AEF">
        <w:rPr>
          <w:rFonts w:eastAsia="Calibri"/>
          <w:szCs w:val="22"/>
          <w:lang w:val="hy-AM" w:eastAsia="en-US"/>
        </w:rPr>
        <w:t xml:space="preserve">-ի պետական բյուջեն՝ կատարել հարկաբյուջետային կանոնների ամբողջական համապատասխանության ներքո։ </w:t>
      </w:r>
      <w:r w:rsidRPr="00654AEF">
        <w:rPr>
          <w:rFonts w:eastAsia="Calibri"/>
          <w:b w:val="0"/>
          <w:szCs w:val="22"/>
          <w:lang w:val="hy-AM" w:eastAsia="en-US"/>
        </w:rPr>
        <w:t xml:space="preserve">Պետական ֆինանսների «ոսկե կանոնների» պահպանումը թույլ կտա ապահովելով պարտքի զուտ ներգրավմանն առաջանցիկ պետական ակտիվներ աճը և կառավարելի պահել երկրի իրական պարտքային դիրքը և հետևաբար՝ երկարաժամկետ հարկաբյուջետային ռիսկերը։ </w:t>
      </w:r>
      <w:r w:rsidRPr="00654AEF">
        <w:rPr>
          <w:rFonts w:eastAsia="Calibri"/>
          <w:b w:val="0"/>
          <w:lang w:val="hy-AM"/>
        </w:rPr>
        <w:t xml:space="preserve">Իսկ ընթացիկ առաջնային ծախսերի աճի տեմպի՝ երկարաժամկետ տնտեսական աճի միջին տեմպով սահմանափակման կանոնի պահպանումը հնարավորություն կտա ապահովել հակապարբերաշրջանային քաղաքականության իրականացումը և զսպել ապագայում եկամուտ գեներացնելու կարողություններին պարտավորությունների (ընթացիկ ծախսերի գծով ստանձնվող օրենսդրական պարտավորությունների և պարտքային պարտավորությունների ձևով) առաջանցիկ ավելացումը։ Միաժամանակ, </w:t>
      </w:r>
      <w:r w:rsidRPr="00654AEF">
        <w:rPr>
          <w:rFonts w:eastAsia="Calibri"/>
          <w:b w:val="0"/>
          <w:szCs w:val="22"/>
          <w:lang w:val="hy-AM" w:eastAsia="en-US"/>
        </w:rPr>
        <w:t>կառավարության պարտք/ՀՆԱ ցուցանիշը կշարունակի նվազել, ինչով հարկաբյուջետային քաղաքականությունը կտեղափոխի կանոններով  սահմանափակման առավել մեղմ ռեժիմների՝ թույլ տալով վարել առավել ճկուն հարկաբյուջետային քաղաքականություն (առավել մանրամասն տես՝ «Հարկաբյուջետային քաղաքականության հիմնական ուղղությունները և կանխատեսումները հատվածում»):</w:t>
      </w:r>
    </w:p>
    <w:p w14:paraId="6F79D820" w14:textId="77777777" w:rsidR="00730639" w:rsidRPr="00654AEF" w:rsidRDefault="00730639" w:rsidP="00730639">
      <w:pPr>
        <w:spacing w:before="0"/>
        <w:ind w:firstLine="706"/>
        <w:rPr>
          <w:rFonts w:eastAsia="Calibri"/>
          <w:b w:val="0"/>
          <w:szCs w:val="22"/>
          <w:lang w:val="hy-AM" w:eastAsia="en-US"/>
        </w:rPr>
      </w:pPr>
    </w:p>
    <w:p w14:paraId="3065324C" w14:textId="77777777" w:rsidR="00730639" w:rsidRPr="00654AEF" w:rsidRDefault="00730639" w:rsidP="00730639">
      <w:pPr>
        <w:keepNext/>
        <w:keepLines/>
        <w:spacing w:before="0" w:after="120"/>
        <w:rPr>
          <w:rFonts w:eastAsia="Calibri"/>
          <w:b w:val="0"/>
          <w:iCs/>
          <w:szCs w:val="22"/>
          <w:lang w:val="hy-AM" w:eastAsia="en-US"/>
        </w:rPr>
      </w:pPr>
      <w:r w:rsidRPr="00654AEF">
        <w:rPr>
          <w:rFonts w:eastAsia="Calibri"/>
          <w:iCs/>
          <w:szCs w:val="22"/>
          <w:lang w:val="hy-AM" w:eastAsia="en-US"/>
        </w:rPr>
        <w:t>Աղյուսակ 2.4.</w:t>
      </w:r>
      <w:r w:rsidRPr="00654AEF">
        <w:rPr>
          <w:rFonts w:eastAsia="Calibri"/>
          <w:b w:val="0"/>
          <w:iCs/>
          <w:szCs w:val="22"/>
          <w:lang w:val="hy-AM" w:eastAsia="en-US"/>
        </w:rPr>
        <w:t xml:space="preserve"> </w:t>
      </w:r>
      <w:r w:rsidRPr="00654AEF">
        <w:rPr>
          <w:rFonts w:eastAsia="Calibri"/>
          <w:b w:val="0"/>
          <w:bCs/>
          <w:iCs/>
          <w:szCs w:val="22"/>
          <w:lang w:val="hy-AM" w:eastAsia="en-US"/>
        </w:rPr>
        <w:t>Փաստացի և ծրագրավորված հարկաբյուջետային քաղաքականության համապատասխանությունը հարկաբյուջետային կանոններին</w:t>
      </w:r>
    </w:p>
    <w:tbl>
      <w:tblPr>
        <w:tblW w:w="9450" w:type="dxa"/>
        <w:shd w:val="clear" w:color="auto" w:fill="FFFFFF" w:themeFill="background1"/>
        <w:tblLook w:val="04A0" w:firstRow="1" w:lastRow="0" w:firstColumn="1" w:lastColumn="0" w:noHBand="0" w:noVBand="1"/>
      </w:tblPr>
      <w:tblGrid>
        <w:gridCol w:w="1511"/>
        <w:gridCol w:w="1493"/>
        <w:gridCol w:w="751"/>
        <w:gridCol w:w="830"/>
        <w:gridCol w:w="828"/>
        <w:gridCol w:w="811"/>
        <w:gridCol w:w="826"/>
        <w:gridCol w:w="860"/>
        <w:gridCol w:w="735"/>
        <w:gridCol w:w="835"/>
      </w:tblGrid>
      <w:tr w:rsidR="00730639" w:rsidRPr="00367064" w14:paraId="4EEDD9F2" w14:textId="77777777" w:rsidTr="00367064">
        <w:trPr>
          <w:trHeight w:val="345"/>
        </w:trPr>
        <w:tc>
          <w:tcPr>
            <w:tcW w:w="1787" w:type="dxa"/>
            <w:vMerge w:val="restart"/>
            <w:tcBorders>
              <w:top w:val="single" w:sz="4" w:space="0" w:color="auto"/>
              <w:bottom w:val="single" w:sz="4" w:space="0" w:color="auto"/>
            </w:tcBorders>
            <w:shd w:val="clear" w:color="auto" w:fill="FFFFFF" w:themeFill="background1"/>
            <w:vAlign w:val="center"/>
            <w:hideMark/>
          </w:tcPr>
          <w:p w14:paraId="35474C07"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Կանոնի ցուցանիշ</w:t>
            </w:r>
          </w:p>
        </w:tc>
        <w:tc>
          <w:tcPr>
            <w:tcW w:w="1764" w:type="dxa"/>
            <w:vMerge w:val="restart"/>
            <w:tcBorders>
              <w:top w:val="single" w:sz="4" w:space="0" w:color="auto"/>
              <w:bottom w:val="single" w:sz="4" w:space="0" w:color="auto"/>
            </w:tcBorders>
            <w:shd w:val="clear" w:color="auto" w:fill="FFFFFF" w:themeFill="background1"/>
            <w:vAlign w:val="center"/>
            <w:hideMark/>
          </w:tcPr>
          <w:p w14:paraId="0B3C67C9"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Ուղենի-շային ցուցանիշ</w:t>
            </w:r>
          </w:p>
        </w:tc>
        <w:tc>
          <w:tcPr>
            <w:tcW w:w="1581" w:type="dxa"/>
            <w:gridSpan w:val="2"/>
            <w:tcBorders>
              <w:top w:val="single" w:sz="4" w:space="0" w:color="auto"/>
              <w:bottom w:val="single" w:sz="4" w:space="0" w:color="auto"/>
            </w:tcBorders>
            <w:shd w:val="clear" w:color="auto" w:fill="FFFFFF" w:themeFill="background1"/>
            <w:noWrap/>
            <w:vAlign w:val="center"/>
            <w:hideMark/>
          </w:tcPr>
          <w:p w14:paraId="27664930"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2021</w:t>
            </w:r>
          </w:p>
        </w:tc>
        <w:tc>
          <w:tcPr>
            <w:tcW w:w="1639" w:type="dxa"/>
            <w:gridSpan w:val="2"/>
            <w:tcBorders>
              <w:top w:val="single" w:sz="4" w:space="0" w:color="auto"/>
              <w:bottom w:val="single" w:sz="4" w:space="0" w:color="auto"/>
            </w:tcBorders>
            <w:shd w:val="clear" w:color="auto" w:fill="FFFFFF" w:themeFill="background1"/>
            <w:noWrap/>
            <w:vAlign w:val="center"/>
            <w:hideMark/>
          </w:tcPr>
          <w:p w14:paraId="1A126EA3"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2022</w:t>
            </w:r>
          </w:p>
        </w:tc>
        <w:tc>
          <w:tcPr>
            <w:tcW w:w="1686" w:type="dxa"/>
            <w:gridSpan w:val="2"/>
            <w:tcBorders>
              <w:top w:val="single" w:sz="4" w:space="0" w:color="auto"/>
              <w:bottom w:val="single" w:sz="4" w:space="0" w:color="auto"/>
            </w:tcBorders>
            <w:shd w:val="clear" w:color="auto" w:fill="FFFFFF" w:themeFill="background1"/>
            <w:noWrap/>
            <w:vAlign w:val="center"/>
            <w:hideMark/>
          </w:tcPr>
          <w:p w14:paraId="502B1F88"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2023</w:t>
            </w:r>
          </w:p>
        </w:tc>
        <w:tc>
          <w:tcPr>
            <w:tcW w:w="993" w:type="dxa"/>
            <w:gridSpan w:val="2"/>
            <w:tcBorders>
              <w:top w:val="single" w:sz="4" w:space="0" w:color="auto"/>
              <w:bottom w:val="single" w:sz="4" w:space="0" w:color="auto"/>
            </w:tcBorders>
            <w:shd w:val="clear" w:color="auto" w:fill="FFFFFF" w:themeFill="background1"/>
            <w:noWrap/>
            <w:vAlign w:val="center"/>
            <w:hideMark/>
          </w:tcPr>
          <w:p w14:paraId="216586B7"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2024</w:t>
            </w:r>
          </w:p>
        </w:tc>
      </w:tr>
      <w:tr w:rsidR="00730639" w:rsidRPr="00367064" w14:paraId="092D09AF" w14:textId="77777777" w:rsidTr="00367064">
        <w:trPr>
          <w:trHeight w:val="900"/>
        </w:trPr>
        <w:tc>
          <w:tcPr>
            <w:tcW w:w="1787" w:type="dxa"/>
            <w:vMerge/>
            <w:tcBorders>
              <w:top w:val="single" w:sz="4" w:space="0" w:color="auto"/>
              <w:bottom w:val="single" w:sz="4" w:space="0" w:color="auto"/>
            </w:tcBorders>
            <w:shd w:val="clear" w:color="auto" w:fill="FFFFFF" w:themeFill="background1"/>
            <w:vAlign w:val="center"/>
            <w:hideMark/>
          </w:tcPr>
          <w:p w14:paraId="15CEECFD" w14:textId="77777777" w:rsidR="00730639" w:rsidRPr="00367064" w:rsidRDefault="00730639" w:rsidP="00E94C66">
            <w:pPr>
              <w:spacing w:before="0" w:line="240" w:lineRule="auto"/>
              <w:jc w:val="left"/>
              <w:rPr>
                <w:rFonts w:cs="Calibri"/>
                <w:b w:val="0"/>
                <w:sz w:val="20"/>
                <w:szCs w:val="20"/>
                <w:lang w:val="en-US" w:eastAsia="en-US"/>
              </w:rPr>
            </w:pPr>
          </w:p>
        </w:tc>
        <w:tc>
          <w:tcPr>
            <w:tcW w:w="1764" w:type="dxa"/>
            <w:vMerge/>
            <w:tcBorders>
              <w:top w:val="single" w:sz="4" w:space="0" w:color="auto"/>
              <w:bottom w:val="single" w:sz="4" w:space="0" w:color="auto"/>
            </w:tcBorders>
            <w:shd w:val="clear" w:color="auto" w:fill="FFFFFF" w:themeFill="background1"/>
            <w:vAlign w:val="center"/>
            <w:hideMark/>
          </w:tcPr>
          <w:p w14:paraId="3E6651BE" w14:textId="77777777" w:rsidR="00730639" w:rsidRPr="00367064" w:rsidRDefault="00730639" w:rsidP="00E94C66">
            <w:pPr>
              <w:spacing w:before="0" w:line="240" w:lineRule="auto"/>
              <w:jc w:val="left"/>
              <w:rPr>
                <w:rFonts w:cs="Calibri"/>
                <w:b w:val="0"/>
                <w:sz w:val="20"/>
                <w:szCs w:val="20"/>
                <w:lang w:val="en-US" w:eastAsia="en-US"/>
              </w:rPr>
            </w:pPr>
          </w:p>
        </w:tc>
        <w:tc>
          <w:tcPr>
            <w:tcW w:w="751" w:type="dxa"/>
            <w:tcBorders>
              <w:top w:val="single" w:sz="4" w:space="0" w:color="auto"/>
              <w:bottom w:val="single" w:sz="4" w:space="0" w:color="auto"/>
            </w:tcBorders>
            <w:shd w:val="clear" w:color="auto" w:fill="FFFFFF" w:themeFill="background1"/>
            <w:textDirection w:val="btLr"/>
            <w:vAlign w:val="center"/>
            <w:hideMark/>
          </w:tcPr>
          <w:p w14:paraId="765AC9D3"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Սահմ</w:t>
            </w:r>
            <w:r w:rsidRPr="00367064">
              <w:rPr>
                <w:rFonts w:ascii="Cambria Math" w:hAnsi="Cambria Math" w:cs="Calibri"/>
                <w:b w:val="0"/>
                <w:sz w:val="20"/>
                <w:szCs w:val="20"/>
                <w:lang w:val="en-US" w:eastAsia="en-US"/>
              </w:rPr>
              <w:t>.</w:t>
            </w:r>
          </w:p>
        </w:tc>
        <w:tc>
          <w:tcPr>
            <w:tcW w:w="830" w:type="dxa"/>
            <w:tcBorders>
              <w:top w:val="single" w:sz="4" w:space="0" w:color="auto"/>
              <w:bottom w:val="single" w:sz="4" w:space="0" w:color="auto"/>
            </w:tcBorders>
            <w:shd w:val="clear" w:color="auto" w:fill="FFFFFF" w:themeFill="background1"/>
            <w:textDirection w:val="btLr"/>
            <w:vAlign w:val="center"/>
            <w:hideMark/>
          </w:tcPr>
          <w:p w14:paraId="13FDA1C2"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Փաստ</w:t>
            </w:r>
            <w:r w:rsidRPr="00367064">
              <w:rPr>
                <w:rFonts w:ascii="Cambria Math" w:hAnsi="Cambria Math" w:cs="Calibri"/>
                <w:b w:val="0"/>
                <w:sz w:val="20"/>
                <w:szCs w:val="20"/>
                <w:lang w:val="en-US" w:eastAsia="en-US"/>
              </w:rPr>
              <w:t>.</w:t>
            </w:r>
          </w:p>
        </w:tc>
        <w:tc>
          <w:tcPr>
            <w:tcW w:w="828" w:type="dxa"/>
            <w:tcBorders>
              <w:top w:val="single" w:sz="4" w:space="0" w:color="auto"/>
              <w:bottom w:val="single" w:sz="4" w:space="0" w:color="auto"/>
            </w:tcBorders>
            <w:shd w:val="clear" w:color="auto" w:fill="FFFFFF" w:themeFill="background1"/>
            <w:textDirection w:val="btLr"/>
            <w:vAlign w:val="center"/>
            <w:hideMark/>
          </w:tcPr>
          <w:p w14:paraId="04335DEE"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Սահմ</w:t>
            </w:r>
            <w:r w:rsidRPr="00367064">
              <w:rPr>
                <w:rFonts w:ascii="Cambria Math" w:hAnsi="Cambria Math" w:cs="Calibri"/>
                <w:b w:val="0"/>
                <w:sz w:val="20"/>
                <w:szCs w:val="20"/>
                <w:lang w:val="en-US" w:eastAsia="en-US"/>
              </w:rPr>
              <w:t>.</w:t>
            </w:r>
          </w:p>
        </w:tc>
        <w:tc>
          <w:tcPr>
            <w:tcW w:w="811" w:type="dxa"/>
            <w:tcBorders>
              <w:top w:val="single" w:sz="4" w:space="0" w:color="auto"/>
              <w:bottom w:val="single" w:sz="4" w:space="0" w:color="auto"/>
            </w:tcBorders>
            <w:shd w:val="clear" w:color="auto" w:fill="FFFFFF" w:themeFill="background1"/>
            <w:textDirection w:val="btLr"/>
            <w:vAlign w:val="center"/>
            <w:hideMark/>
          </w:tcPr>
          <w:p w14:paraId="41A72DC1"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Փաստ</w:t>
            </w:r>
            <w:r w:rsidRPr="00367064">
              <w:rPr>
                <w:rFonts w:ascii="Cambria Math" w:hAnsi="Cambria Math" w:cs="Calibri"/>
                <w:b w:val="0"/>
                <w:sz w:val="20"/>
                <w:szCs w:val="20"/>
                <w:lang w:val="en-US" w:eastAsia="en-US"/>
              </w:rPr>
              <w:t>.</w:t>
            </w:r>
          </w:p>
        </w:tc>
        <w:tc>
          <w:tcPr>
            <w:tcW w:w="826" w:type="dxa"/>
            <w:tcBorders>
              <w:top w:val="single" w:sz="4" w:space="0" w:color="auto"/>
              <w:bottom w:val="single" w:sz="4" w:space="0" w:color="auto"/>
            </w:tcBorders>
            <w:shd w:val="clear" w:color="auto" w:fill="FFFFFF" w:themeFill="background1"/>
            <w:textDirection w:val="btLr"/>
            <w:vAlign w:val="center"/>
            <w:hideMark/>
          </w:tcPr>
          <w:p w14:paraId="45932B17"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Սահմ</w:t>
            </w:r>
            <w:r w:rsidRPr="00367064">
              <w:rPr>
                <w:rFonts w:ascii="Cambria Math" w:hAnsi="Cambria Math" w:cs="Calibri"/>
                <w:b w:val="0"/>
                <w:sz w:val="20"/>
                <w:szCs w:val="20"/>
                <w:lang w:val="en-US" w:eastAsia="en-US"/>
              </w:rPr>
              <w:t>.</w:t>
            </w:r>
          </w:p>
        </w:tc>
        <w:tc>
          <w:tcPr>
            <w:tcW w:w="860" w:type="dxa"/>
            <w:tcBorders>
              <w:top w:val="single" w:sz="4" w:space="0" w:color="auto"/>
              <w:bottom w:val="single" w:sz="4" w:space="0" w:color="auto"/>
            </w:tcBorders>
            <w:shd w:val="clear" w:color="auto" w:fill="FFFFFF" w:themeFill="background1"/>
            <w:textDirection w:val="btLr"/>
            <w:vAlign w:val="center"/>
            <w:hideMark/>
          </w:tcPr>
          <w:p w14:paraId="39E8F35D"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Պլան</w:t>
            </w:r>
          </w:p>
        </w:tc>
        <w:tc>
          <w:tcPr>
            <w:tcW w:w="750" w:type="dxa"/>
            <w:tcBorders>
              <w:top w:val="single" w:sz="4" w:space="0" w:color="auto"/>
              <w:bottom w:val="single" w:sz="4" w:space="0" w:color="auto"/>
            </w:tcBorders>
            <w:shd w:val="clear" w:color="auto" w:fill="FFFFFF" w:themeFill="background1"/>
            <w:textDirection w:val="btLr"/>
            <w:vAlign w:val="center"/>
            <w:hideMark/>
          </w:tcPr>
          <w:p w14:paraId="38CD00BD"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Սահմ</w:t>
            </w:r>
            <w:r w:rsidRPr="00367064">
              <w:rPr>
                <w:rFonts w:ascii="Cambria Math" w:hAnsi="Cambria Math" w:cs="Calibri"/>
                <w:b w:val="0"/>
                <w:sz w:val="20"/>
                <w:szCs w:val="20"/>
                <w:lang w:val="en-US" w:eastAsia="en-US"/>
              </w:rPr>
              <w:t>.</w:t>
            </w:r>
          </w:p>
        </w:tc>
        <w:tc>
          <w:tcPr>
            <w:tcW w:w="243" w:type="dxa"/>
            <w:tcBorders>
              <w:top w:val="single" w:sz="4" w:space="0" w:color="auto"/>
              <w:bottom w:val="single" w:sz="4" w:space="0" w:color="auto"/>
            </w:tcBorders>
            <w:shd w:val="clear" w:color="auto" w:fill="FFFFFF" w:themeFill="background1"/>
            <w:textDirection w:val="btLr"/>
            <w:vAlign w:val="center"/>
            <w:hideMark/>
          </w:tcPr>
          <w:p w14:paraId="2BA23737"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Պլան</w:t>
            </w:r>
          </w:p>
        </w:tc>
      </w:tr>
      <w:tr w:rsidR="00730639" w:rsidRPr="00367064" w14:paraId="5AA3C0FF" w14:textId="77777777" w:rsidTr="00367064">
        <w:trPr>
          <w:trHeight w:val="780"/>
        </w:trPr>
        <w:tc>
          <w:tcPr>
            <w:tcW w:w="1787" w:type="dxa"/>
            <w:tcBorders>
              <w:top w:val="single" w:sz="4" w:space="0" w:color="auto"/>
              <w:bottom w:val="single" w:sz="4" w:space="0" w:color="auto"/>
            </w:tcBorders>
            <w:shd w:val="clear" w:color="auto" w:fill="FFFFFF" w:themeFill="background1"/>
            <w:vAlign w:val="center"/>
            <w:hideMark/>
          </w:tcPr>
          <w:p w14:paraId="1FD923BE" w14:textId="77777777" w:rsidR="00730639" w:rsidRPr="00367064" w:rsidRDefault="00730639" w:rsidP="00E94C66">
            <w:pPr>
              <w:spacing w:before="0" w:line="240" w:lineRule="auto"/>
              <w:rPr>
                <w:rFonts w:cs="Calibri"/>
                <w:b w:val="0"/>
                <w:sz w:val="20"/>
                <w:szCs w:val="20"/>
                <w:lang w:eastAsia="en-US"/>
              </w:rPr>
            </w:pPr>
            <w:r w:rsidRPr="00367064">
              <w:rPr>
                <w:rFonts w:cs="Calibri"/>
                <w:b w:val="0"/>
                <w:sz w:val="20"/>
                <w:szCs w:val="20"/>
                <w:lang w:val="en-US" w:eastAsia="en-US"/>
              </w:rPr>
              <w:t>Պետական</w:t>
            </w:r>
            <w:r w:rsidRPr="00367064">
              <w:rPr>
                <w:rFonts w:cs="Calibri"/>
                <w:b w:val="0"/>
                <w:sz w:val="20"/>
                <w:szCs w:val="20"/>
                <w:lang w:eastAsia="en-US"/>
              </w:rPr>
              <w:t xml:space="preserve"> </w:t>
            </w:r>
            <w:r w:rsidRPr="00367064">
              <w:rPr>
                <w:rFonts w:cs="Calibri"/>
                <w:b w:val="0"/>
                <w:sz w:val="20"/>
                <w:szCs w:val="20"/>
                <w:lang w:val="en-US" w:eastAsia="en-US"/>
              </w:rPr>
              <w:t>բյուջեի</w:t>
            </w:r>
            <w:r w:rsidRPr="00367064">
              <w:rPr>
                <w:rFonts w:cs="Calibri"/>
                <w:b w:val="0"/>
                <w:sz w:val="20"/>
                <w:szCs w:val="20"/>
                <w:lang w:eastAsia="en-US"/>
              </w:rPr>
              <w:t xml:space="preserve"> </w:t>
            </w:r>
            <w:r w:rsidRPr="00367064">
              <w:rPr>
                <w:rFonts w:cs="Calibri"/>
                <w:b w:val="0"/>
                <w:sz w:val="20"/>
                <w:szCs w:val="20"/>
                <w:lang w:val="en-US" w:eastAsia="en-US"/>
              </w:rPr>
              <w:t>ոչ</w:t>
            </w:r>
            <w:r w:rsidRPr="00367064">
              <w:rPr>
                <w:rFonts w:cs="Calibri"/>
                <w:b w:val="0"/>
                <w:sz w:val="20"/>
                <w:szCs w:val="20"/>
                <w:lang w:eastAsia="en-US"/>
              </w:rPr>
              <w:t xml:space="preserve"> </w:t>
            </w:r>
            <w:r w:rsidRPr="00367064">
              <w:rPr>
                <w:rFonts w:cs="Calibri"/>
                <w:b w:val="0"/>
                <w:sz w:val="20"/>
                <w:szCs w:val="20"/>
                <w:lang w:val="en-US" w:eastAsia="en-US"/>
              </w:rPr>
              <w:t>ֆինանսական</w:t>
            </w:r>
            <w:r w:rsidRPr="00367064">
              <w:rPr>
                <w:rFonts w:cs="Calibri"/>
                <w:b w:val="0"/>
                <w:sz w:val="20"/>
                <w:szCs w:val="20"/>
                <w:lang w:eastAsia="en-US"/>
              </w:rPr>
              <w:t xml:space="preserve"> </w:t>
            </w:r>
            <w:r w:rsidRPr="00367064">
              <w:rPr>
                <w:rFonts w:cs="Calibri"/>
                <w:b w:val="0"/>
                <w:sz w:val="20"/>
                <w:szCs w:val="20"/>
                <w:lang w:val="en-US" w:eastAsia="en-US"/>
              </w:rPr>
              <w:t>ակտիվների</w:t>
            </w:r>
            <w:r w:rsidRPr="00367064">
              <w:rPr>
                <w:rFonts w:cs="Calibri"/>
                <w:b w:val="0"/>
                <w:sz w:val="20"/>
                <w:szCs w:val="20"/>
                <w:lang w:eastAsia="en-US"/>
              </w:rPr>
              <w:t xml:space="preserve"> </w:t>
            </w:r>
            <w:r w:rsidRPr="00367064">
              <w:rPr>
                <w:rFonts w:cs="Calibri"/>
                <w:b w:val="0"/>
                <w:sz w:val="20"/>
                <w:szCs w:val="20"/>
                <w:lang w:val="en-US" w:eastAsia="en-US"/>
              </w:rPr>
              <w:t>գծով</w:t>
            </w:r>
            <w:r w:rsidRPr="00367064">
              <w:rPr>
                <w:rFonts w:cs="Calibri"/>
                <w:b w:val="0"/>
                <w:sz w:val="20"/>
                <w:szCs w:val="20"/>
                <w:lang w:eastAsia="en-US"/>
              </w:rPr>
              <w:t xml:space="preserve"> </w:t>
            </w:r>
            <w:r w:rsidRPr="00367064">
              <w:rPr>
                <w:rFonts w:cs="Calibri"/>
                <w:b w:val="0"/>
                <w:sz w:val="20"/>
                <w:szCs w:val="20"/>
                <w:lang w:val="en-US" w:eastAsia="en-US"/>
              </w:rPr>
              <w:t>ծախսեր</w:t>
            </w:r>
          </w:p>
        </w:tc>
        <w:tc>
          <w:tcPr>
            <w:tcW w:w="1764" w:type="dxa"/>
            <w:tcBorders>
              <w:top w:val="single" w:sz="4" w:space="0" w:color="auto"/>
              <w:bottom w:val="single" w:sz="4" w:space="0" w:color="auto"/>
            </w:tcBorders>
            <w:shd w:val="clear" w:color="auto" w:fill="FFFFFF" w:themeFill="background1"/>
            <w:vAlign w:val="center"/>
            <w:hideMark/>
          </w:tcPr>
          <w:p w14:paraId="683CE718" w14:textId="77777777" w:rsidR="00730639" w:rsidRPr="00367064" w:rsidRDefault="00730639" w:rsidP="00E94C66">
            <w:pPr>
              <w:spacing w:before="0" w:line="240" w:lineRule="auto"/>
              <w:jc w:val="center"/>
              <w:rPr>
                <w:rFonts w:cs="Calibri"/>
                <w:b w:val="0"/>
                <w:sz w:val="20"/>
                <w:szCs w:val="20"/>
                <w:lang w:eastAsia="en-US"/>
              </w:rPr>
            </w:pPr>
            <w:r w:rsidRPr="00367064">
              <w:rPr>
                <w:rFonts w:cs="Calibri"/>
                <w:b w:val="0"/>
                <w:sz w:val="20"/>
                <w:szCs w:val="20"/>
                <w:lang w:eastAsia="en-US"/>
              </w:rPr>
              <w:t xml:space="preserve">&gt;/= </w:t>
            </w:r>
            <w:r w:rsidRPr="00367064">
              <w:rPr>
                <w:rFonts w:cs="Calibri"/>
                <w:b w:val="0"/>
                <w:sz w:val="20"/>
                <w:szCs w:val="20"/>
                <w:lang w:val="en-US" w:eastAsia="en-US"/>
              </w:rPr>
              <w:t>պետական</w:t>
            </w:r>
            <w:r w:rsidRPr="00367064">
              <w:rPr>
                <w:rFonts w:cs="Calibri"/>
                <w:b w:val="0"/>
                <w:sz w:val="20"/>
                <w:szCs w:val="20"/>
                <w:lang w:eastAsia="en-US"/>
              </w:rPr>
              <w:t xml:space="preserve"> </w:t>
            </w:r>
            <w:r w:rsidRPr="00367064">
              <w:rPr>
                <w:rFonts w:cs="Calibri"/>
                <w:b w:val="0"/>
                <w:sz w:val="20"/>
                <w:szCs w:val="20"/>
                <w:lang w:val="en-US" w:eastAsia="en-US"/>
              </w:rPr>
              <w:t>բյուջեի</w:t>
            </w:r>
            <w:r w:rsidRPr="00367064">
              <w:rPr>
                <w:rFonts w:cs="Calibri"/>
                <w:b w:val="0"/>
                <w:sz w:val="20"/>
                <w:szCs w:val="20"/>
                <w:lang w:eastAsia="en-US"/>
              </w:rPr>
              <w:t xml:space="preserve"> </w:t>
            </w:r>
            <w:r w:rsidRPr="00367064">
              <w:rPr>
                <w:rFonts w:cs="Calibri"/>
                <w:b w:val="0"/>
                <w:sz w:val="20"/>
                <w:szCs w:val="20"/>
                <w:lang w:val="en-US" w:eastAsia="en-US"/>
              </w:rPr>
              <w:t>պակասուրդ</w:t>
            </w:r>
            <w:r w:rsidRPr="00367064">
              <w:rPr>
                <w:rFonts w:cs="Calibri"/>
                <w:b w:val="0"/>
                <w:sz w:val="20"/>
                <w:szCs w:val="20"/>
                <w:lang w:eastAsia="en-US"/>
              </w:rPr>
              <w:t xml:space="preserve">, </w:t>
            </w:r>
            <w:r w:rsidRPr="00367064">
              <w:rPr>
                <w:rFonts w:cs="Calibri"/>
                <w:b w:val="0"/>
                <w:sz w:val="20"/>
                <w:szCs w:val="20"/>
                <w:lang w:val="en-US" w:eastAsia="en-US"/>
              </w:rPr>
              <w:t>մլրդ</w:t>
            </w:r>
            <w:r w:rsidRPr="00367064">
              <w:rPr>
                <w:rFonts w:cs="Calibri"/>
                <w:b w:val="0"/>
                <w:sz w:val="20"/>
                <w:szCs w:val="20"/>
                <w:lang w:eastAsia="en-US"/>
              </w:rPr>
              <w:t xml:space="preserve"> </w:t>
            </w:r>
            <w:r w:rsidRPr="00367064">
              <w:rPr>
                <w:rFonts w:cs="Calibri"/>
                <w:b w:val="0"/>
                <w:sz w:val="20"/>
                <w:szCs w:val="20"/>
                <w:lang w:val="en-US" w:eastAsia="en-US"/>
              </w:rPr>
              <w:t>դրամ</w:t>
            </w:r>
          </w:p>
        </w:tc>
        <w:tc>
          <w:tcPr>
            <w:tcW w:w="751" w:type="dxa"/>
            <w:tcBorders>
              <w:top w:val="single" w:sz="4" w:space="0" w:color="auto"/>
              <w:bottom w:val="single" w:sz="4" w:space="0" w:color="auto"/>
            </w:tcBorders>
            <w:shd w:val="clear" w:color="auto" w:fill="FFFFFF" w:themeFill="background1"/>
            <w:vAlign w:val="center"/>
            <w:hideMark/>
          </w:tcPr>
          <w:p w14:paraId="037A70F8"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320.5</w:t>
            </w:r>
          </w:p>
        </w:tc>
        <w:tc>
          <w:tcPr>
            <w:tcW w:w="830" w:type="dxa"/>
            <w:tcBorders>
              <w:top w:val="single" w:sz="4" w:space="0" w:color="auto"/>
              <w:bottom w:val="single" w:sz="4" w:space="0" w:color="auto"/>
            </w:tcBorders>
            <w:shd w:val="clear" w:color="auto" w:fill="FFFFFF" w:themeFill="background1"/>
            <w:vAlign w:val="center"/>
            <w:hideMark/>
          </w:tcPr>
          <w:p w14:paraId="0B4C8721"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216.3</w:t>
            </w:r>
          </w:p>
        </w:tc>
        <w:tc>
          <w:tcPr>
            <w:tcW w:w="828" w:type="dxa"/>
            <w:tcBorders>
              <w:top w:val="single" w:sz="4" w:space="0" w:color="auto"/>
              <w:bottom w:val="single" w:sz="4" w:space="0" w:color="auto"/>
            </w:tcBorders>
            <w:shd w:val="clear" w:color="auto" w:fill="FFFFFF" w:themeFill="background1"/>
            <w:vAlign w:val="center"/>
            <w:hideMark/>
          </w:tcPr>
          <w:p w14:paraId="11E8B6D6"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179.5</w:t>
            </w:r>
          </w:p>
        </w:tc>
        <w:tc>
          <w:tcPr>
            <w:tcW w:w="811" w:type="dxa"/>
            <w:tcBorders>
              <w:top w:val="single" w:sz="4" w:space="0" w:color="auto"/>
              <w:bottom w:val="single" w:sz="4" w:space="0" w:color="auto"/>
            </w:tcBorders>
            <w:shd w:val="clear" w:color="auto" w:fill="FFFFFF" w:themeFill="background1"/>
            <w:vAlign w:val="center"/>
            <w:hideMark/>
          </w:tcPr>
          <w:p w14:paraId="27BAEBE9"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380.4</w:t>
            </w:r>
          </w:p>
        </w:tc>
        <w:tc>
          <w:tcPr>
            <w:tcW w:w="826" w:type="dxa"/>
            <w:tcBorders>
              <w:top w:val="single" w:sz="4" w:space="0" w:color="auto"/>
              <w:bottom w:val="single" w:sz="4" w:space="0" w:color="auto"/>
            </w:tcBorders>
            <w:shd w:val="clear" w:color="auto" w:fill="FFFFFF" w:themeFill="background1"/>
            <w:vAlign w:val="center"/>
            <w:hideMark/>
          </w:tcPr>
          <w:p w14:paraId="48F91E03"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245.3</w:t>
            </w:r>
          </w:p>
        </w:tc>
        <w:tc>
          <w:tcPr>
            <w:tcW w:w="860" w:type="dxa"/>
            <w:tcBorders>
              <w:top w:val="single" w:sz="4" w:space="0" w:color="auto"/>
              <w:bottom w:val="single" w:sz="4" w:space="0" w:color="auto"/>
            </w:tcBorders>
            <w:shd w:val="clear" w:color="auto" w:fill="FFFFFF" w:themeFill="background1"/>
            <w:vAlign w:val="center"/>
            <w:hideMark/>
          </w:tcPr>
          <w:p w14:paraId="1801472A"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562.1</w:t>
            </w:r>
          </w:p>
        </w:tc>
        <w:tc>
          <w:tcPr>
            <w:tcW w:w="750" w:type="dxa"/>
            <w:tcBorders>
              <w:top w:val="single" w:sz="4" w:space="0" w:color="auto"/>
              <w:bottom w:val="single" w:sz="4" w:space="0" w:color="auto"/>
            </w:tcBorders>
            <w:shd w:val="clear" w:color="auto" w:fill="FFFFFF" w:themeFill="background1"/>
            <w:vAlign w:val="center"/>
            <w:hideMark/>
          </w:tcPr>
          <w:p w14:paraId="0413C338"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482.9</w:t>
            </w:r>
          </w:p>
        </w:tc>
        <w:tc>
          <w:tcPr>
            <w:tcW w:w="243" w:type="dxa"/>
            <w:tcBorders>
              <w:top w:val="single" w:sz="4" w:space="0" w:color="auto"/>
              <w:bottom w:val="single" w:sz="4" w:space="0" w:color="auto"/>
            </w:tcBorders>
            <w:shd w:val="clear" w:color="auto" w:fill="FFFFFF" w:themeFill="background1"/>
            <w:vAlign w:val="center"/>
            <w:hideMark/>
          </w:tcPr>
          <w:p w14:paraId="0534EE39"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695.3</w:t>
            </w:r>
          </w:p>
        </w:tc>
      </w:tr>
      <w:tr w:rsidR="00730639" w:rsidRPr="00367064" w14:paraId="3BC4A981" w14:textId="77777777" w:rsidTr="00367064">
        <w:trPr>
          <w:trHeight w:val="780"/>
        </w:trPr>
        <w:tc>
          <w:tcPr>
            <w:tcW w:w="1787" w:type="dxa"/>
            <w:tcBorders>
              <w:top w:val="single" w:sz="4" w:space="0" w:color="auto"/>
              <w:bottom w:val="single" w:sz="4" w:space="0" w:color="auto"/>
            </w:tcBorders>
            <w:shd w:val="clear" w:color="auto" w:fill="FFFFFF" w:themeFill="background1"/>
            <w:vAlign w:val="center"/>
            <w:hideMark/>
          </w:tcPr>
          <w:p w14:paraId="572FCAA1" w14:textId="77777777" w:rsidR="00730639" w:rsidRPr="00367064" w:rsidRDefault="00730639" w:rsidP="00E94C66">
            <w:pPr>
              <w:spacing w:before="0" w:line="240" w:lineRule="auto"/>
              <w:rPr>
                <w:rFonts w:cs="Calibri"/>
                <w:b w:val="0"/>
                <w:sz w:val="20"/>
                <w:szCs w:val="20"/>
                <w:lang w:eastAsia="en-US"/>
              </w:rPr>
            </w:pPr>
            <w:r w:rsidRPr="00367064">
              <w:rPr>
                <w:rFonts w:cs="Calibri"/>
                <w:b w:val="0"/>
                <w:sz w:val="20"/>
                <w:szCs w:val="20"/>
                <w:lang w:val="en-US" w:eastAsia="en-US"/>
              </w:rPr>
              <w:t>Պետական</w:t>
            </w:r>
            <w:r w:rsidRPr="00367064">
              <w:rPr>
                <w:rFonts w:cs="Calibri"/>
                <w:b w:val="0"/>
                <w:sz w:val="20"/>
                <w:szCs w:val="20"/>
                <w:lang w:eastAsia="en-US"/>
              </w:rPr>
              <w:t xml:space="preserve"> </w:t>
            </w:r>
            <w:r w:rsidRPr="00367064">
              <w:rPr>
                <w:rFonts w:cs="Calibri"/>
                <w:b w:val="0"/>
                <w:sz w:val="20"/>
                <w:szCs w:val="20"/>
                <w:lang w:val="en-US" w:eastAsia="en-US"/>
              </w:rPr>
              <w:t>բյուջեի</w:t>
            </w:r>
            <w:r w:rsidRPr="00367064">
              <w:rPr>
                <w:rFonts w:cs="Calibri"/>
                <w:b w:val="0"/>
                <w:sz w:val="20"/>
                <w:szCs w:val="20"/>
                <w:lang w:eastAsia="en-US"/>
              </w:rPr>
              <w:t xml:space="preserve"> </w:t>
            </w:r>
            <w:r w:rsidRPr="00367064">
              <w:rPr>
                <w:rFonts w:cs="Calibri"/>
                <w:b w:val="0"/>
                <w:sz w:val="20"/>
                <w:szCs w:val="20"/>
                <w:lang w:val="en-US" w:eastAsia="en-US"/>
              </w:rPr>
              <w:t>ընթացիկ</w:t>
            </w:r>
            <w:r w:rsidRPr="00367064">
              <w:rPr>
                <w:rFonts w:cs="Calibri"/>
                <w:b w:val="0"/>
                <w:sz w:val="20"/>
                <w:szCs w:val="20"/>
                <w:lang w:eastAsia="en-US"/>
              </w:rPr>
              <w:t xml:space="preserve"> </w:t>
            </w:r>
            <w:r w:rsidRPr="00367064">
              <w:rPr>
                <w:rFonts w:cs="Calibri"/>
                <w:b w:val="0"/>
                <w:sz w:val="20"/>
                <w:szCs w:val="20"/>
                <w:lang w:val="en-US" w:eastAsia="en-US"/>
              </w:rPr>
              <w:t>առաջնային</w:t>
            </w:r>
            <w:r w:rsidRPr="00367064">
              <w:rPr>
                <w:rFonts w:cs="Calibri"/>
                <w:b w:val="0"/>
                <w:sz w:val="20"/>
                <w:szCs w:val="20"/>
                <w:lang w:eastAsia="en-US"/>
              </w:rPr>
              <w:t xml:space="preserve"> </w:t>
            </w:r>
            <w:r w:rsidRPr="00367064">
              <w:rPr>
                <w:rFonts w:cs="Calibri"/>
                <w:b w:val="0"/>
                <w:sz w:val="20"/>
                <w:szCs w:val="20"/>
                <w:lang w:val="en-US" w:eastAsia="en-US"/>
              </w:rPr>
              <w:t>ծախսերի</w:t>
            </w:r>
            <w:r w:rsidRPr="00367064">
              <w:rPr>
                <w:rFonts w:cs="Calibri"/>
                <w:b w:val="0"/>
                <w:sz w:val="20"/>
                <w:szCs w:val="20"/>
                <w:lang w:eastAsia="en-US"/>
              </w:rPr>
              <w:t xml:space="preserve"> </w:t>
            </w:r>
            <w:r w:rsidRPr="00367064">
              <w:rPr>
                <w:rFonts w:cs="Calibri"/>
                <w:b w:val="0"/>
                <w:sz w:val="20"/>
                <w:szCs w:val="20"/>
                <w:lang w:val="en-US" w:eastAsia="en-US"/>
              </w:rPr>
              <w:t>աճի</w:t>
            </w:r>
            <w:r w:rsidRPr="00367064">
              <w:rPr>
                <w:rFonts w:cs="Calibri"/>
                <w:b w:val="0"/>
                <w:sz w:val="20"/>
                <w:szCs w:val="20"/>
                <w:lang w:eastAsia="en-US"/>
              </w:rPr>
              <w:t xml:space="preserve"> </w:t>
            </w:r>
            <w:r w:rsidRPr="00367064">
              <w:rPr>
                <w:rFonts w:cs="Calibri"/>
                <w:b w:val="0"/>
                <w:sz w:val="20"/>
                <w:szCs w:val="20"/>
                <w:lang w:val="en-US" w:eastAsia="en-US"/>
              </w:rPr>
              <w:t>տեմպ</w:t>
            </w:r>
          </w:p>
        </w:tc>
        <w:tc>
          <w:tcPr>
            <w:tcW w:w="1764" w:type="dxa"/>
            <w:tcBorders>
              <w:top w:val="single" w:sz="4" w:space="0" w:color="auto"/>
              <w:bottom w:val="single" w:sz="4" w:space="0" w:color="auto"/>
            </w:tcBorders>
            <w:shd w:val="clear" w:color="auto" w:fill="FFFFFF" w:themeFill="background1"/>
            <w:vAlign w:val="center"/>
            <w:hideMark/>
          </w:tcPr>
          <w:p w14:paraId="5F7D7414" w14:textId="77777777" w:rsidR="00730639" w:rsidRPr="00367064" w:rsidRDefault="00730639" w:rsidP="00E94C66">
            <w:pPr>
              <w:spacing w:before="0" w:line="240" w:lineRule="auto"/>
              <w:jc w:val="center"/>
              <w:rPr>
                <w:rFonts w:cs="Calibri"/>
                <w:b w:val="0"/>
                <w:sz w:val="20"/>
                <w:szCs w:val="20"/>
                <w:lang w:eastAsia="en-US"/>
              </w:rPr>
            </w:pPr>
            <w:r w:rsidRPr="00367064">
              <w:rPr>
                <w:rFonts w:cs="Calibri"/>
                <w:b w:val="0"/>
                <w:sz w:val="20"/>
                <w:szCs w:val="20"/>
                <w:lang w:eastAsia="en-US"/>
              </w:rPr>
              <w:t xml:space="preserve">&lt;/= </w:t>
            </w:r>
            <w:r w:rsidRPr="00367064">
              <w:rPr>
                <w:rFonts w:cs="Calibri"/>
                <w:b w:val="0"/>
                <w:sz w:val="20"/>
                <w:szCs w:val="20"/>
                <w:lang w:val="en-US" w:eastAsia="en-US"/>
              </w:rPr>
              <w:t>նախորդ</w:t>
            </w:r>
            <w:r w:rsidRPr="00367064">
              <w:rPr>
                <w:rFonts w:cs="Calibri"/>
                <w:b w:val="0"/>
                <w:sz w:val="20"/>
                <w:szCs w:val="20"/>
                <w:lang w:eastAsia="en-US"/>
              </w:rPr>
              <w:t xml:space="preserve"> 7 </w:t>
            </w:r>
            <w:r w:rsidRPr="00367064">
              <w:rPr>
                <w:rFonts w:cs="Calibri"/>
                <w:b w:val="0"/>
                <w:sz w:val="20"/>
                <w:szCs w:val="20"/>
                <w:lang w:val="en-US" w:eastAsia="en-US"/>
              </w:rPr>
              <w:t>տարիների</w:t>
            </w:r>
            <w:r w:rsidRPr="00367064">
              <w:rPr>
                <w:rFonts w:cs="Calibri"/>
                <w:b w:val="0"/>
                <w:sz w:val="20"/>
                <w:szCs w:val="20"/>
                <w:lang w:eastAsia="en-US"/>
              </w:rPr>
              <w:t xml:space="preserve"> </w:t>
            </w:r>
            <w:r w:rsidRPr="00367064">
              <w:rPr>
                <w:rFonts w:cs="Calibri"/>
                <w:b w:val="0"/>
                <w:sz w:val="20"/>
                <w:szCs w:val="20"/>
                <w:lang w:val="en-US" w:eastAsia="en-US"/>
              </w:rPr>
              <w:t>անվանական</w:t>
            </w:r>
            <w:r w:rsidRPr="00367064">
              <w:rPr>
                <w:rFonts w:cs="Calibri"/>
                <w:b w:val="0"/>
                <w:sz w:val="20"/>
                <w:szCs w:val="20"/>
                <w:lang w:eastAsia="en-US"/>
              </w:rPr>
              <w:t xml:space="preserve"> </w:t>
            </w:r>
            <w:r w:rsidRPr="00367064">
              <w:rPr>
                <w:rFonts w:cs="Calibri"/>
                <w:b w:val="0"/>
                <w:sz w:val="20"/>
                <w:szCs w:val="20"/>
                <w:lang w:val="en-US" w:eastAsia="en-US"/>
              </w:rPr>
              <w:t>ՀՆԱ</w:t>
            </w:r>
            <w:r w:rsidRPr="00367064">
              <w:rPr>
                <w:rFonts w:cs="Calibri"/>
                <w:b w:val="0"/>
                <w:sz w:val="20"/>
                <w:szCs w:val="20"/>
                <w:lang w:eastAsia="en-US"/>
              </w:rPr>
              <w:t xml:space="preserve"> </w:t>
            </w:r>
            <w:r w:rsidRPr="00367064">
              <w:rPr>
                <w:rFonts w:cs="Calibri"/>
                <w:b w:val="0"/>
                <w:sz w:val="20"/>
                <w:szCs w:val="20"/>
                <w:lang w:val="en-US" w:eastAsia="en-US"/>
              </w:rPr>
              <w:t>աճի</w:t>
            </w:r>
            <w:r w:rsidRPr="00367064">
              <w:rPr>
                <w:rFonts w:cs="Calibri"/>
                <w:b w:val="0"/>
                <w:sz w:val="20"/>
                <w:szCs w:val="20"/>
                <w:lang w:eastAsia="en-US"/>
              </w:rPr>
              <w:t xml:space="preserve"> </w:t>
            </w:r>
            <w:r w:rsidRPr="00367064">
              <w:rPr>
                <w:rFonts w:cs="Calibri"/>
                <w:b w:val="0"/>
                <w:sz w:val="20"/>
                <w:szCs w:val="20"/>
                <w:lang w:val="en-US" w:eastAsia="en-US"/>
              </w:rPr>
              <w:t>միջին</w:t>
            </w:r>
            <w:r w:rsidRPr="00367064">
              <w:rPr>
                <w:rFonts w:cs="Calibri"/>
                <w:b w:val="0"/>
                <w:sz w:val="20"/>
                <w:szCs w:val="20"/>
                <w:lang w:eastAsia="en-US"/>
              </w:rPr>
              <w:t xml:space="preserve"> </w:t>
            </w:r>
            <w:r w:rsidRPr="00367064">
              <w:rPr>
                <w:rFonts w:cs="Calibri"/>
                <w:b w:val="0"/>
                <w:sz w:val="20"/>
                <w:szCs w:val="20"/>
                <w:lang w:val="en-US" w:eastAsia="en-US"/>
              </w:rPr>
              <w:t>տեմպ</w:t>
            </w:r>
            <w:r w:rsidRPr="00367064">
              <w:rPr>
                <w:rFonts w:cs="Calibri"/>
                <w:b w:val="0"/>
                <w:sz w:val="20"/>
                <w:szCs w:val="20"/>
                <w:lang w:eastAsia="en-US"/>
              </w:rPr>
              <w:t>, %</w:t>
            </w:r>
          </w:p>
        </w:tc>
        <w:tc>
          <w:tcPr>
            <w:tcW w:w="751" w:type="dxa"/>
            <w:tcBorders>
              <w:top w:val="single" w:sz="4" w:space="0" w:color="auto"/>
              <w:bottom w:val="single" w:sz="4" w:space="0" w:color="auto"/>
            </w:tcBorders>
            <w:shd w:val="clear" w:color="auto" w:fill="FFFFFF" w:themeFill="background1"/>
            <w:vAlign w:val="center"/>
            <w:hideMark/>
          </w:tcPr>
          <w:p w14:paraId="6ADB0B30"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6.3</w:t>
            </w:r>
          </w:p>
        </w:tc>
        <w:tc>
          <w:tcPr>
            <w:tcW w:w="830" w:type="dxa"/>
            <w:tcBorders>
              <w:top w:val="single" w:sz="4" w:space="0" w:color="auto"/>
              <w:bottom w:val="single" w:sz="4" w:space="0" w:color="auto"/>
            </w:tcBorders>
            <w:shd w:val="clear" w:color="auto" w:fill="FFFFFF" w:themeFill="background1"/>
            <w:vAlign w:val="center"/>
            <w:hideMark/>
          </w:tcPr>
          <w:p w14:paraId="70492E2A"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12.8</w:t>
            </w:r>
          </w:p>
        </w:tc>
        <w:tc>
          <w:tcPr>
            <w:tcW w:w="828" w:type="dxa"/>
            <w:tcBorders>
              <w:top w:val="single" w:sz="4" w:space="0" w:color="auto"/>
              <w:bottom w:val="single" w:sz="4" w:space="0" w:color="auto"/>
            </w:tcBorders>
            <w:shd w:val="clear" w:color="auto" w:fill="FFFFFF" w:themeFill="background1"/>
            <w:vAlign w:val="center"/>
            <w:hideMark/>
          </w:tcPr>
          <w:p w14:paraId="427CF9AB"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4.1</w:t>
            </w:r>
          </w:p>
        </w:tc>
        <w:tc>
          <w:tcPr>
            <w:tcW w:w="811" w:type="dxa"/>
            <w:tcBorders>
              <w:top w:val="single" w:sz="4" w:space="0" w:color="auto"/>
              <w:bottom w:val="single" w:sz="4" w:space="0" w:color="auto"/>
            </w:tcBorders>
            <w:shd w:val="clear" w:color="auto" w:fill="FFFFFF" w:themeFill="background1"/>
            <w:vAlign w:val="center"/>
            <w:hideMark/>
          </w:tcPr>
          <w:p w14:paraId="4F82EB10"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5.3</w:t>
            </w:r>
          </w:p>
        </w:tc>
        <w:tc>
          <w:tcPr>
            <w:tcW w:w="826" w:type="dxa"/>
            <w:tcBorders>
              <w:top w:val="single" w:sz="4" w:space="0" w:color="auto"/>
              <w:bottom w:val="single" w:sz="4" w:space="0" w:color="auto"/>
            </w:tcBorders>
            <w:shd w:val="clear" w:color="auto" w:fill="FFFFFF" w:themeFill="background1"/>
            <w:vAlign w:val="center"/>
            <w:hideMark/>
          </w:tcPr>
          <w:p w14:paraId="6C80ABC3"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5.1</w:t>
            </w:r>
          </w:p>
        </w:tc>
        <w:tc>
          <w:tcPr>
            <w:tcW w:w="860" w:type="dxa"/>
            <w:tcBorders>
              <w:top w:val="single" w:sz="4" w:space="0" w:color="auto"/>
              <w:bottom w:val="single" w:sz="4" w:space="0" w:color="auto"/>
            </w:tcBorders>
            <w:shd w:val="clear" w:color="auto" w:fill="FFFFFF" w:themeFill="background1"/>
            <w:vAlign w:val="center"/>
            <w:hideMark/>
          </w:tcPr>
          <w:p w14:paraId="1F4A47B6"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5.2</w:t>
            </w:r>
          </w:p>
        </w:tc>
        <w:tc>
          <w:tcPr>
            <w:tcW w:w="750" w:type="dxa"/>
            <w:tcBorders>
              <w:top w:val="single" w:sz="4" w:space="0" w:color="auto"/>
              <w:bottom w:val="single" w:sz="4" w:space="0" w:color="auto"/>
            </w:tcBorders>
            <w:shd w:val="clear" w:color="auto" w:fill="FFFFFF" w:themeFill="background1"/>
            <w:vAlign w:val="center"/>
            <w:hideMark/>
          </w:tcPr>
          <w:p w14:paraId="7FADCBEF"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w:t>
            </w:r>
          </w:p>
        </w:tc>
        <w:tc>
          <w:tcPr>
            <w:tcW w:w="243" w:type="dxa"/>
            <w:tcBorders>
              <w:top w:val="single" w:sz="4" w:space="0" w:color="auto"/>
              <w:bottom w:val="single" w:sz="4" w:space="0" w:color="auto"/>
            </w:tcBorders>
            <w:shd w:val="clear" w:color="auto" w:fill="FFFFFF" w:themeFill="background1"/>
            <w:vAlign w:val="center"/>
            <w:hideMark/>
          </w:tcPr>
          <w:p w14:paraId="49758037"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13.6</w:t>
            </w:r>
          </w:p>
        </w:tc>
      </w:tr>
      <w:tr w:rsidR="00730639" w:rsidRPr="00367064" w14:paraId="17CE3DE5" w14:textId="77777777" w:rsidTr="00367064">
        <w:trPr>
          <w:trHeight w:val="780"/>
        </w:trPr>
        <w:tc>
          <w:tcPr>
            <w:tcW w:w="1787" w:type="dxa"/>
            <w:tcBorders>
              <w:top w:val="single" w:sz="4" w:space="0" w:color="auto"/>
              <w:bottom w:val="single" w:sz="4" w:space="0" w:color="auto"/>
            </w:tcBorders>
            <w:shd w:val="clear" w:color="auto" w:fill="FFFFFF" w:themeFill="background1"/>
            <w:vAlign w:val="center"/>
            <w:hideMark/>
          </w:tcPr>
          <w:p w14:paraId="02A78672" w14:textId="77777777" w:rsidR="00730639" w:rsidRPr="00367064" w:rsidRDefault="00730639" w:rsidP="00E94C66">
            <w:pPr>
              <w:spacing w:before="0" w:line="240" w:lineRule="auto"/>
              <w:rPr>
                <w:rFonts w:cs="Calibri"/>
                <w:b w:val="0"/>
                <w:sz w:val="20"/>
                <w:szCs w:val="20"/>
                <w:lang w:val="en-US" w:eastAsia="en-US"/>
              </w:rPr>
            </w:pPr>
            <w:r w:rsidRPr="00367064">
              <w:rPr>
                <w:rFonts w:cs="Calibri"/>
                <w:b w:val="0"/>
                <w:sz w:val="20"/>
                <w:szCs w:val="20"/>
                <w:lang w:val="en-US" w:eastAsia="en-US"/>
              </w:rPr>
              <w:lastRenderedPageBreak/>
              <w:t>Պետական բյուջեի ընթացիկ ծախսեր</w:t>
            </w:r>
          </w:p>
        </w:tc>
        <w:tc>
          <w:tcPr>
            <w:tcW w:w="1764" w:type="dxa"/>
            <w:tcBorders>
              <w:top w:val="single" w:sz="4" w:space="0" w:color="auto"/>
              <w:bottom w:val="single" w:sz="4" w:space="0" w:color="auto"/>
            </w:tcBorders>
            <w:shd w:val="clear" w:color="auto" w:fill="FFFFFF" w:themeFill="background1"/>
            <w:vAlign w:val="center"/>
            <w:hideMark/>
          </w:tcPr>
          <w:p w14:paraId="6FDD68F3"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&lt;/= հարկային եկամուտների և տուրքերի ծավալ, մլրդ դրամ</w:t>
            </w:r>
          </w:p>
        </w:tc>
        <w:tc>
          <w:tcPr>
            <w:tcW w:w="751" w:type="dxa"/>
            <w:tcBorders>
              <w:top w:val="single" w:sz="4" w:space="0" w:color="auto"/>
              <w:bottom w:val="single" w:sz="4" w:space="0" w:color="auto"/>
            </w:tcBorders>
            <w:shd w:val="clear" w:color="auto" w:fill="FFFFFF" w:themeFill="background1"/>
            <w:vAlign w:val="center"/>
            <w:hideMark/>
          </w:tcPr>
          <w:p w14:paraId="1C10328F"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w:t>
            </w:r>
          </w:p>
        </w:tc>
        <w:tc>
          <w:tcPr>
            <w:tcW w:w="830" w:type="dxa"/>
            <w:tcBorders>
              <w:top w:val="single" w:sz="4" w:space="0" w:color="auto"/>
              <w:bottom w:val="single" w:sz="4" w:space="0" w:color="auto"/>
            </w:tcBorders>
            <w:shd w:val="clear" w:color="auto" w:fill="FFFFFF" w:themeFill="background1"/>
            <w:vAlign w:val="center"/>
            <w:hideMark/>
          </w:tcPr>
          <w:p w14:paraId="3470614E"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1788.0</w:t>
            </w:r>
          </w:p>
        </w:tc>
        <w:tc>
          <w:tcPr>
            <w:tcW w:w="828" w:type="dxa"/>
            <w:tcBorders>
              <w:top w:val="single" w:sz="4" w:space="0" w:color="auto"/>
              <w:bottom w:val="single" w:sz="4" w:space="0" w:color="auto"/>
            </w:tcBorders>
            <w:shd w:val="clear" w:color="auto" w:fill="FFFFFF" w:themeFill="background1"/>
            <w:vAlign w:val="center"/>
            <w:hideMark/>
          </w:tcPr>
          <w:p w14:paraId="5651C081"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1926.0</w:t>
            </w:r>
          </w:p>
        </w:tc>
        <w:tc>
          <w:tcPr>
            <w:tcW w:w="811" w:type="dxa"/>
            <w:tcBorders>
              <w:top w:val="single" w:sz="4" w:space="0" w:color="auto"/>
              <w:bottom w:val="single" w:sz="4" w:space="0" w:color="auto"/>
            </w:tcBorders>
            <w:shd w:val="clear" w:color="auto" w:fill="FFFFFF" w:themeFill="background1"/>
            <w:noWrap/>
            <w:vAlign w:val="center"/>
            <w:hideMark/>
          </w:tcPr>
          <w:p w14:paraId="19530688"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1862.2</w:t>
            </w:r>
          </w:p>
        </w:tc>
        <w:tc>
          <w:tcPr>
            <w:tcW w:w="826" w:type="dxa"/>
            <w:tcBorders>
              <w:top w:val="single" w:sz="4" w:space="0" w:color="auto"/>
              <w:bottom w:val="single" w:sz="4" w:space="0" w:color="auto"/>
            </w:tcBorders>
            <w:shd w:val="clear" w:color="auto" w:fill="FFFFFF" w:themeFill="background1"/>
            <w:vAlign w:val="center"/>
            <w:hideMark/>
          </w:tcPr>
          <w:p w14:paraId="212E57F0"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2224.8</w:t>
            </w:r>
          </w:p>
        </w:tc>
        <w:tc>
          <w:tcPr>
            <w:tcW w:w="860" w:type="dxa"/>
            <w:tcBorders>
              <w:top w:val="single" w:sz="4" w:space="0" w:color="auto"/>
              <w:bottom w:val="single" w:sz="4" w:space="0" w:color="auto"/>
            </w:tcBorders>
            <w:shd w:val="clear" w:color="auto" w:fill="FFFFFF" w:themeFill="background1"/>
            <w:noWrap/>
            <w:vAlign w:val="center"/>
            <w:hideMark/>
          </w:tcPr>
          <w:p w14:paraId="09F06570"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2038.3</w:t>
            </w:r>
          </w:p>
        </w:tc>
        <w:tc>
          <w:tcPr>
            <w:tcW w:w="750" w:type="dxa"/>
            <w:tcBorders>
              <w:top w:val="single" w:sz="4" w:space="0" w:color="auto"/>
              <w:bottom w:val="single" w:sz="4" w:space="0" w:color="auto"/>
            </w:tcBorders>
            <w:shd w:val="clear" w:color="auto" w:fill="FFFFFF" w:themeFill="background1"/>
            <w:vAlign w:val="center"/>
            <w:hideMark/>
          </w:tcPr>
          <w:p w14:paraId="66702598"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w:t>
            </w:r>
          </w:p>
        </w:tc>
        <w:tc>
          <w:tcPr>
            <w:tcW w:w="243" w:type="dxa"/>
            <w:tcBorders>
              <w:top w:val="single" w:sz="4" w:space="0" w:color="auto"/>
              <w:bottom w:val="single" w:sz="4" w:space="0" w:color="auto"/>
            </w:tcBorders>
            <w:shd w:val="clear" w:color="auto" w:fill="FFFFFF" w:themeFill="background1"/>
            <w:noWrap/>
            <w:vAlign w:val="center"/>
            <w:hideMark/>
          </w:tcPr>
          <w:p w14:paraId="775F22FD"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2439.2</w:t>
            </w:r>
          </w:p>
        </w:tc>
      </w:tr>
      <w:tr w:rsidR="00730639" w:rsidRPr="00367064" w14:paraId="1BEC5C27" w14:textId="77777777" w:rsidTr="00367064">
        <w:trPr>
          <w:trHeight w:val="315"/>
        </w:trPr>
        <w:tc>
          <w:tcPr>
            <w:tcW w:w="3551" w:type="dxa"/>
            <w:gridSpan w:val="2"/>
            <w:tcBorders>
              <w:top w:val="single" w:sz="4" w:space="0" w:color="auto"/>
              <w:bottom w:val="single" w:sz="4" w:space="0" w:color="auto"/>
            </w:tcBorders>
            <w:shd w:val="clear" w:color="auto" w:fill="FFFFFF" w:themeFill="background1"/>
            <w:vAlign w:val="center"/>
            <w:hideMark/>
          </w:tcPr>
          <w:p w14:paraId="5E2948F1"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Կառավարության պարտք/ՀՆԱ, %</w:t>
            </w:r>
          </w:p>
        </w:tc>
        <w:tc>
          <w:tcPr>
            <w:tcW w:w="1581" w:type="dxa"/>
            <w:gridSpan w:val="2"/>
            <w:tcBorders>
              <w:top w:val="single" w:sz="4" w:space="0" w:color="auto"/>
              <w:bottom w:val="single" w:sz="4" w:space="0" w:color="auto"/>
            </w:tcBorders>
            <w:shd w:val="clear" w:color="auto" w:fill="FFFFFF" w:themeFill="background1"/>
            <w:vAlign w:val="center"/>
            <w:hideMark/>
          </w:tcPr>
          <w:p w14:paraId="70E01BB7"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60.3</w:t>
            </w:r>
          </w:p>
        </w:tc>
        <w:tc>
          <w:tcPr>
            <w:tcW w:w="1639" w:type="dxa"/>
            <w:gridSpan w:val="2"/>
            <w:tcBorders>
              <w:top w:val="single" w:sz="4" w:space="0" w:color="auto"/>
              <w:bottom w:val="single" w:sz="4" w:space="0" w:color="auto"/>
            </w:tcBorders>
            <w:shd w:val="clear" w:color="auto" w:fill="FFFFFF" w:themeFill="background1"/>
            <w:noWrap/>
            <w:vAlign w:val="center"/>
            <w:hideMark/>
          </w:tcPr>
          <w:p w14:paraId="60943756"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46.7</w:t>
            </w:r>
          </w:p>
        </w:tc>
        <w:tc>
          <w:tcPr>
            <w:tcW w:w="1686" w:type="dxa"/>
            <w:gridSpan w:val="2"/>
            <w:tcBorders>
              <w:top w:val="single" w:sz="4" w:space="0" w:color="auto"/>
              <w:bottom w:val="single" w:sz="4" w:space="0" w:color="auto"/>
            </w:tcBorders>
            <w:shd w:val="clear" w:color="auto" w:fill="FFFFFF" w:themeFill="background1"/>
            <w:noWrap/>
            <w:vAlign w:val="center"/>
            <w:hideMark/>
          </w:tcPr>
          <w:p w14:paraId="311BC1D3"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47.0</w:t>
            </w:r>
          </w:p>
        </w:tc>
        <w:tc>
          <w:tcPr>
            <w:tcW w:w="993" w:type="dxa"/>
            <w:gridSpan w:val="2"/>
            <w:tcBorders>
              <w:top w:val="single" w:sz="4" w:space="0" w:color="auto"/>
              <w:bottom w:val="single" w:sz="4" w:space="0" w:color="auto"/>
            </w:tcBorders>
            <w:shd w:val="clear" w:color="auto" w:fill="FFFFFF" w:themeFill="background1"/>
            <w:noWrap/>
            <w:vAlign w:val="center"/>
            <w:hideMark/>
          </w:tcPr>
          <w:p w14:paraId="10E77E7E" w14:textId="77777777" w:rsidR="00730639" w:rsidRPr="00367064" w:rsidRDefault="00730639" w:rsidP="00E94C66">
            <w:pPr>
              <w:spacing w:before="0" w:line="240" w:lineRule="auto"/>
              <w:jc w:val="center"/>
              <w:rPr>
                <w:rFonts w:cs="Calibri"/>
                <w:b w:val="0"/>
                <w:sz w:val="20"/>
                <w:szCs w:val="20"/>
                <w:lang w:val="en-US" w:eastAsia="en-US"/>
              </w:rPr>
            </w:pPr>
            <w:r w:rsidRPr="00367064">
              <w:rPr>
                <w:rFonts w:cs="Calibri"/>
                <w:b w:val="0"/>
                <w:sz w:val="20"/>
                <w:szCs w:val="20"/>
                <w:lang w:val="en-US" w:eastAsia="en-US"/>
              </w:rPr>
              <w:t>48.3</w:t>
            </w:r>
          </w:p>
        </w:tc>
      </w:tr>
    </w:tbl>
    <w:p w14:paraId="5597F65E" w14:textId="77777777" w:rsidR="00730639" w:rsidRPr="00367064" w:rsidRDefault="00730639" w:rsidP="00730639">
      <w:pPr>
        <w:spacing w:before="0" w:line="240" w:lineRule="auto"/>
        <w:ind w:left="284"/>
        <w:jc w:val="left"/>
        <w:rPr>
          <w:rFonts w:eastAsia="Calibri"/>
          <w:b w:val="0"/>
          <w:i/>
          <w:sz w:val="20"/>
          <w:szCs w:val="20"/>
          <w:lang w:val="hy-AM" w:eastAsia="en-US"/>
        </w:rPr>
      </w:pPr>
    </w:p>
    <w:p w14:paraId="41D368D0" w14:textId="77777777" w:rsidR="00730639" w:rsidRPr="00654AEF" w:rsidRDefault="00730639" w:rsidP="00730639">
      <w:pPr>
        <w:spacing w:before="0" w:line="240" w:lineRule="auto"/>
        <w:ind w:left="284"/>
        <w:jc w:val="left"/>
        <w:rPr>
          <w:rFonts w:eastAsia="Calibri"/>
          <w:i/>
          <w:sz w:val="20"/>
          <w:szCs w:val="20"/>
          <w:lang w:val="hy-AM" w:eastAsia="en-US"/>
        </w:rPr>
      </w:pPr>
      <w:r w:rsidRPr="00654AEF">
        <w:rPr>
          <w:rFonts w:eastAsia="Calibri"/>
          <w:b w:val="0"/>
          <w:i/>
          <w:sz w:val="20"/>
          <w:szCs w:val="20"/>
          <w:lang w:val="hy-AM" w:eastAsia="en-US"/>
        </w:rPr>
        <w:t>*Հաշվարկված է որպես երկու տարի առաջ (t-2) արձանագրված ցուցանիշի նկատմամբ համապատասխան տարվա (t) հավելաճի տեմպի կես</w:t>
      </w:r>
    </w:p>
    <w:p w14:paraId="6668C648" w14:textId="77777777" w:rsidR="00730639" w:rsidRPr="00654AEF" w:rsidRDefault="00730639" w:rsidP="00730639">
      <w:pPr>
        <w:spacing w:before="0" w:line="240" w:lineRule="auto"/>
        <w:ind w:left="284"/>
        <w:jc w:val="left"/>
        <w:rPr>
          <w:rFonts w:eastAsia="Calibri"/>
          <w:b w:val="0"/>
          <w:i/>
          <w:sz w:val="20"/>
          <w:szCs w:val="20"/>
          <w:lang w:val="hy-AM" w:eastAsia="en-US"/>
        </w:rPr>
      </w:pPr>
      <w:r w:rsidRPr="00654AEF">
        <w:rPr>
          <w:rFonts w:eastAsia="Calibri"/>
          <w:b w:val="0"/>
          <w:i/>
          <w:sz w:val="20"/>
          <w:szCs w:val="20"/>
          <w:lang w:val="hy-AM" w:eastAsia="en-US"/>
        </w:rPr>
        <w:t>**Պետական պարտքի առկա չափի դեպքում կիրառելի չէ</w:t>
      </w:r>
    </w:p>
    <w:p w14:paraId="5C8BA660" w14:textId="16E10524" w:rsidR="00730639" w:rsidRDefault="00730639" w:rsidP="00730639">
      <w:pPr>
        <w:spacing w:before="0" w:line="240" w:lineRule="auto"/>
        <w:ind w:left="284"/>
        <w:jc w:val="left"/>
        <w:rPr>
          <w:rFonts w:eastAsia="Calibri"/>
          <w:sz w:val="20"/>
          <w:szCs w:val="20"/>
          <w:lang w:val="hy-AM" w:eastAsia="en-US"/>
        </w:rPr>
      </w:pPr>
    </w:p>
    <w:p w14:paraId="518EE4AF" w14:textId="3F7DBCBB" w:rsidR="00367064" w:rsidRDefault="00367064" w:rsidP="00730639">
      <w:pPr>
        <w:spacing w:before="0" w:line="240" w:lineRule="auto"/>
        <w:ind w:left="284"/>
        <w:jc w:val="left"/>
        <w:rPr>
          <w:rFonts w:eastAsia="Calibri"/>
          <w:sz w:val="20"/>
          <w:szCs w:val="20"/>
          <w:lang w:val="hy-AM" w:eastAsia="en-US"/>
        </w:rPr>
      </w:pPr>
    </w:p>
    <w:p w14:paraId="55BE1BD0" w14:textId="793DD825" w:rsidR="00C46141" w:rsidRDefault="00C46141" w:rsidP="00730639">
      <w:pPr>
        <w:spacing w:before="0" w:line="240" w:lineRule="auto"/>
        <w:ind w:left="284"/>
        <w:jc w:val="left"/>
        <w:rPr>
          <w:rFonts w:eastAsia="Calibri"/>
          <w:sz w:val="20"/>
          <w:szCs w:val="20"/>
          <w:lang w:val="hy-AM" w:eastAsia="en-US"/>
        </w:rPr>
      </w:pPr>
    </w:p>
    <w:p w14:paraId="5499FE9F" w14:textId="32CA0B47" w:rsidR="00C46141" w:rsidRDefault="00C46141" w:rsidP="00730639">
      <w:pPr>
        <w:spacing w:before="0" w:line="240" w:lineRule="auto"/>
        <w:ind w:left="284"/>
        <w:jc w:val="left"/>
        <w:rPr>
          <w:rFonts w:eastAsia="Calibri"/>
          <w:sz w:val="20"/>
          <w:szCs w:val="20"/>
          <w:lang w:val="hy-AM" w:eastAsia="en-US"/>
        </w:rPr>
      </w:pPr>
    </w:p>
    <w:p w14:paraId="0C1F83C1" w14:textId="77777777" w:rsidR="00C46141" w:rsidRPr="00654AEF" w:rsidRDefault="00C46141" w:rsidP="00730639">
      <w:pPr>
        <w:spacing w:before="0" w:line="240" w:lineRule="auto"/>
        <w:ind w:left="284"/>
        <w:jc w:val="left"/>
        <w:rPr>
          <w:rFonts w:eastAsia="Calibri"/>
          <w:sz w:val="20"/>
          <w:szCs w:val="20"/>
          <w:lang w:val="hy-AM" w:eastAsia="en-US"/>
        </w:rPr>
      </w:pPr>
    </w:p>
    <w:p w14:paraId="747A9221" w14:textId="77777777" w:rsidR="00730639" w:rsidRPr="003B373F" w:rsidRDefault="00730639" w:rsidP="00730639">
      <w:pPr>
        <w:spacing w:before="0" w:line="240" w:lineRule="auto"/>
        <w:ind w:left="284"/>
        <w:jc w:val="left"/>
        <w:rPr>
          <w:rFonts w:eastAsia="Calibri"/>
          <w:sz w:val="20"/>
          <w:szCs w:val="20"/>
          <w:lang w:val="hy-AM" w:eastAsia="en-US"/>
        </w:rPr>
      </w:pPr>
    </w:p>
    <w:p w14:paraId="1D44F35A" w14:textId="77777777" w:rsidR="00730639" w:rsidRPr="009C0E1E" w:rsidRDefault="00730639" w:rsidP="00730639">
      <w:pPr>
        <w:keepNext/>
        <w:keepLines/>
        <w:spacing w:before="0"/>
        <w:ind w:firstLine="284"/>
        <w:outlineLvl w:val="2"/>
        <w:rPr>
          <w:rFonts w:eastAsiaTheme="majorEastAsia" w:cstheme="majorBidi"/>
          <w:bCs/>
          <w:color w:val="1F497D" w:themeColor="text2"/>
          <w:sz w:val="24"/>
          <w:lang w:val="hy-AM" w:eastAsia="en-US"/>
        </w:rPr>
      </w:pPr>
      <w:bookmarkStart w:id="119" w:name="_Toc152228531"/>
      <w:bookmarkStart w:id="120" w:name="_Toc153184473"/>
      <w:bookmarkStart w:id="121" w:name="_Toc165901464"/>
      <w:r w:rsidRPr="009C0E1E">
        <w:rPr>
          <w:rFonts w:eastAsiaTheme="majorEastAsia" w:cstheme="majorBidi"/>
          <w:bCs/>
          <w:color w:val="1F497D" w:themeColor="text2"/>
          <w:sz w:val="24"/>
          <w:lang w:val="hy-AM" w:eastAsia="en-US"/>
        </w:rPr>
        <w:t>2.5. ՊԵՏԱԿԱՆ ԲՅՈՒՋԵԻ ՑՈՒՑԱՆԻՇՆԵՐԻ ԿԱՆԽԱՏԵՍՈՒՄՆԵՐԻ ՀԱՄԵՄԱՏԱԿԱՆ ԱՂՅՈՒՍԱԿՆԵՐ</w:t>
      </w:r>
      <w:bookmarkEnd w:id="113"/>
      <w:bookmarkEnd w:id="114"/>
      <w:bookmarkEnd w:id="115"/>
      <w:bookmarkEnd w:id="116"/>
      <w:bookmarkEnd w:id="117"/>
      <w:bookmarkEnd w:id="118"/>
      <w:bookmarkEnd w:id="119"/>
      <w:bookmarkEnd w:id="120"/>
      <w:bookmarkEnd w:id="121"/>
    </w:p>
    <w:p w14:paraId="793884CE" w14:textId="77777777" w:rsidR="00730639" w:rsidRPr="00D178DD" w:rsidRDefault="00730639" w:rsidP="00730639">
      <w:pPr>
        <w:rPr>
          <w:lang w:val="hy-AM" w:eastAsia="en-US"/>
        </w:rPr>
      </w:pPr>
    </w:p>
    <w:p w14:paraId="084BCD1F" w14:textId="77777777" w:rsidR="00730639" w:rsidRPr="00A83C94" w:rsidRDefault="00730639" w:rsidP="00730639">
      <w:pPr>
        <w:rPr>
          <w:lang w:val="hy-AM" w:eastAsia="en-US"/>
        </w:rPr>
      </w:pPr>
    </w:p>
    <w:p w14:paraId="5F08E285" w14:textId="77777777" w:rsidR="00730639" w:rsidRDefault="00730639" w:rsidP="00730639">
      <w:pPr>
        <w:spacing w:before="0"/>
        <w:rPr>
          <w:rFonts w:eastAsia="Calibri" w:cs="Sylfaen"/>
          <w:b w:val="0"/>
          <w:bCs/>
          <w:i/>
          <w:iCs/>
          <w:color w:val="000000"/>
          <w:sz w:val="20"/>
          <w:szCs w:val="20"/>
          <w:lang w:val="hy-AM" w:eastAsia="en-US"/>
        </w:rPr>
      </w:pPr>
      <w:r w:rsidRPr="00654AEF">
        <w:rPr>
          <w:rFonts w:eastAsia="Calibri"/>
          <w:bCs/>
          <w:i/>
          <w:iCs/>
          <w:color w:val="000000"/>
          <w:szCs w:val="22"/>
          <w:lang w:val="hy-AM" w:eastAsia="en-US"/>
        </w:rPr>
        <w:t xml:space="preserve">Աղյուսակ 2.5.1. </w:t>
      </w:r>
      <w:r w:rsidRPr="00654AEF">
        <w:rPr>
          <w:rFonts w:eastAsia="Calibri" w:cs="Sylfaen"/>
          <w:b w:val="0"/>
          <w:bCs/>
          <w:i/>
          <w:iCs/>
          <w:color w:val="000000"/>
          <w:sz w:val="20"/>
          <w:szCs w:val="20"/>
          <w:lang w:val="hy-AM" w:eastAsia="en-US"/>
        </w:rPr>
        <w:t>Պետական բյուջեի եկամուտների կանխատեսումների համեմատական աղյուսակը (մլրդ դրամ)</w:t>
      </w:r>
    </w:p>
    <w:p w14:paraId="72E6F45C" w14:textId="77777777" w:rsidR="00730639" w:rsidRPr="00654AEF" w:rsidRDefault="00730639" w:rsidP="00730639">
      <w:pPr>
        <w:spacing w:before="0"/>
        <w:rPr>
          <w:rFonts w:eastAsia="Calibri" w:cs="Sylfaen"/>
          <w:b w:val="0"/>
          <w:bCs/>
          <w:i/>
          <w:iCs/>
          <w:color w:val="000000"/>
          <w:sz w:val="20"/>
          <w:szCs w:val="20"/>
          <w:lang w:val="hy-AM" w:eastAsia="en-US"/>
        </w:rPr>
      </w:pPr>
    </w:p>
    <w:p w14:paraId="21396AC7" w14:textId="77777777" w:rsidR="00730639" w:rsidRPr="00654AEF" w:rsidRDefault="00730639" w:rsidP="00730639">
      <w:pPr>
        <w:spacing w:before="0"/>
        <w:ind w:left="360" w:hanging="360"/>
        <w:rPr>
          <w:rFonts w:eastAsia="Calibri"/>
          <w:bCs/>
          <w:i/>
          <w:iCs/>
          <w:color w:val="000000"/>
          <w:sz w:val="20"/>
          <w:szCs w:val="20"/>
          <w:lang w:val="hy-AM" w:eastAsia="en-US"/>
        </w:rPr>
      </w:pPr>
      <w:r>
        <w:rPr>
          <w:rFonts w:eastAsia="Calibri"/>
          <w:bCs/>
          <w:i/>
          <w:iCs/>
          <w:color w:val="000000"/>
          <w:sz w:val="20"/>
          <w:szCs w:val="20"/>
          <w:lang w:val="hy-AM" w:eastAsia="en-US"/>
        </w:rPr>
        <w:t xml:space="preserve"> </w:t>
      </w:r>
    </w:p>
    <w:tbl>
      <w:tblPr>
        <w:tblW w:w="8240" w:type="dxa"/>
        <w:tblBorders>
          <w:top w:val="single" w:sz="4" w:space="0" w:color="auto"/>
          <w:bottom w:val="single" w:sz="4" w:space="0" w:color="auto"/>
          <w:insideH w:val="single" w:sz="4" w:space="0" w:color="auto"/>
        </w:tblBorders>
        <w:shd w:val="clear" w:color="auto" w:fill="FFFFFF" w:themeFill="background1"/>
        <w:tblLook w:val="04A0" w:firstRow="1" w:lastRow="0" w:firstColumn="1" w:lastColumn="0" w:noHBand="0" w:noVBand="1"/>
      </w:tblPr>
      <w:tblGrid>
        <w:gridCol w:w="1280"/>
        <w:gridCol w:w="3340"/>
        <w:gridCol w:w="1120"/>
        <w:gridCol w:w="1240"/>
        <w:gridCol w:w="1260"/>
      </w:tblGrid>
      <w:tr w:rsidR="00730639" w:rsidRPr="00CE47BF" w14:paraId="0AF279E9" w14:textId="77777777" w:rsidTr="00E94C66">
        <w:trPr>
          <w:trHeight w:val="675"/>
        </w:trPr>
        <w:tc>
          <w:tcPr>
            <w:tcW w:w="1280" w:type="dxa"/>
            <w:shd w:val="clear" w:color="auto" w:fill="FFFFFF" w:themeFill="background1"/>
            <w:vAlign w:val="center"/>
            <w:hideMark/>
          </w:tcPr>
          <w:p w14:paraId="32C229CA" w14:textId="77777777" w:rsidR="00730639" w:rsidRPr="00CE47BF" w:rsidRDefault="00730639" w:rsidP="00E94C66">
            <w:pPr>
              <w:spacing w:before="0" w:line="240" w:lineRule="auto"/>
              <w:jc w:val="center"/>
              <w:rPr>
                <w:rFonts w:cs="Calibri"/>
                <w:b w:val="0"/>
                <w:sz w:val="20"/>
                <w:szCs w:val="20"/>
                <w:lang w:val="en-US" w:eastAsia="en-US"/>
              </w:rPr>
            </w:pPr>
            <w:r w:rsidRPr="00CE47BF">
              <w:rPr>
                <w:rFonts w:cs="Calibri"/>
                <w:b w:val="0"/>
                <w:sz w:val="20"/>
                <w:szCs w:val="20"/>
                <w:lang w:val="en-US" w:eastAsia="en-US"/>
              </w:rPr>
              <w:t>Ընդունման տարին</w:t>
            </w:r>
          </w:p>
        </w:tc>
        <w:tc>
          <w:tcPr>
            <w:tcW w:w="3340" w:type="dxa"/>
            <w:shd w:val="clear" w:color="auto" w:fill="FFFFFF" w:themeFill="background1"/>
            <w:vAlign w:val="center"/>
            <w:hideMark/>
          </w:tcPr>
          <w:p w14:paraId="5DC9E786" w14:textId="77777777" w:rsidR="00730639" w:rsidRPr="00CE47BF" w:rsidRDefault="00730639" w:rsidP="00E94C66">
            <w:pPr>
              <w:spacing w:before="0" w:line="240" w:lineRule="auto"/>
              <w:jc w:val="center"/>
              <w:rPr>
                <w:rFonts w:cs="Calibri"/>
                <w:b w:val="0"/>
                <w:sz w:val="20"/>
                <w:szCs w:val="20"/>
                <w:lang w:val="en-US" w:eastAsia="en-US"/>
              </w:rPr>
            </w:pPr>
            <w:r w:rsidRPr="00CE47BF">
              <w:rPr>
                <w:rFonts w:cs="Calibri"/>
                <w:b w:val="0"/>
                <w:sz w:val="20"/>
                <w:szCs w:val="20"/>
                <w:lang w:val="en-US" w:eastAsia="en-US"/>
              </w:rPr>
              <w:t>Ծրագիր</w:t>
            </w:r>
          </w:p>
        </w:tc>
        <w:tc>
          <w:tcPr>
            <w:tcW w:w="1120" w:type="dxa"/>
            <w:shd w:val="clear" w:color="auto" w:fill="FFFFFF" w:themeFill="background1"/>
            <w:vAlign w:val="center"/>
            <w:hideMark/>
          </w:tcPr>
          <w:p w14:paraId="25C3E1EA" w14:textId="77777777" w:rsidR="00730639" w:rsidRPr="00CE47BF" w:rsidRDefault="00730639" w:rsidP="00E94C66">
            <w:pPr>
              <w:spacing w:before="0" w:line="240" w:lineRule="auto"/>
              <w:jc w:val="center"/>
              <w:rPr>
                <w:rFonts w:cs="Calibri"/>
                <w:b w:val="0"/>
                <w:sz w:val="20"/>
                <w:szCs w:val="20"/>
                <w:lang w:val="en-US" w:eastAsia="en-US"/>
              </w:rPr>
            </w:pPr>
            <w:r w:rsidRPr="00CE47BF">
              <w:rPr>
                <w:rFonts w:cs="Calibri"/>
                <w:b w:val="0"/>
                <w:sz w:val="20"/>
                <w:szCs w:val="20"/>
                <w:lang w:val="en-US" w:eastAsia="en-US"/>
              </w:rPr>
              <w:t>2022</w:t>
            </w:r>
          </w:p>
        </w:tc>
        <w:tc>
          <w:tcPr>
            <w:tcW w:w="1240" w:type="dxa"/>
            <w:shd w:val="clear" w:color="auto" w:fill="FFFFFF" w:themeFill="background1"/>
            <w:vAlign w:val="center"/>
            <w:hideMark/>
          </w:tcPr>
          <w:p w14:paraId="66BE8680" w14:textId="77777777" w:rsidR="00730639" w:rsidRPr="00CE47BF" w:rsidRDefault="00730639" w:rsidP="00E94C66">
            <w:pPr>
              <w:spacing w:before="0" w:line="240" w:lineRule="auto"/>
              <w:jc w:val="center"/>
              <w:rPr>
                <w:rFonts w:cs="Calibri"/>
                <w:b w:val="0"/>
                <w:sz w:val="20"/>
                <w:szCs w:val="20"/>
                <w:lang w:val="en-US" w:eastAsia="en-US"/>
              </w:rPr>
            </w:pPr>
            <w:r w:rsidRPr="00CE47BF">
              <w:rPr>
                <w:rFonts w:cs="Calibri"/>
                <w:b w:val="0"/>
                <w:sz w:val="20"/>
                <w:szCs w:val="20"/>
                <w:lang w:val="en-US" w:eastAsia="en-US"/>
              </w:rPr>
              <w:t>2023</w:t>
            </w:r>
          </w:p>
        </w:tc>
        <w:tc>
          <w:tcPr>
            <w:tcW w:w="1260" w:type="dxa"/>
            <w:shd w:val="clear" w:color="auto" w:fill="FFFFFF" w:themeFill="background1"/>
            <w:vAlign w:val="center"/>
            <w:hideMark/>
          </w:tcPr>
          <w:p w14:paraId="363ADB0E" w14:textId="77777777" w:rsidR="00730639" w:rsidRPr="00CE47BF" w:rsidRDefault="00730639" w:rsidP="00E94C66">
            <w:pPr>
              <w:spacing w:before="0" w:line="240" w:lineRule="auto"/>
              <w:jc w:val="center"/>
              <w:rPr>
                <w:rFonts w:cs="Calibri"/>
                <w:b w:val="0"/>
                <w:sz w:val="20"/>
                <w:szCs w:val="20"/>
                <w:lang w:val="en-US" w:eastAsia="en-US"/>
              </w:rPr>
            </w:pPr>
            <w:r w:rsidRPr="00CE47BF">
              <w:rPr>
                <w:rFonts w:cs="Calibri"/>
                <w:b w:val="0"/>
                <w:sz w:val="20"/>
                <w:szCs w:val="20"/>
                <w:lang w:val="en-US" w:eastAsia="en-US"/>
              </w:rPr>
              <w:t>2024</w:t>
            </w:r>
          </w:p>
        </w:tc>
      </w:tr>
      <w:tr w:rsidR="00730639" w:rsidRPr="00CE47BF" w14:paraId="1FCD61C2" w14:textId="77777777" w:rsidTr="00E94C66">
        <w:trPr>
          <w:trHeight w:val="345"/>
        </w:trPr>
        <w:tc>
          <w:tcPr>
            <w:tcW w:w="1280" w:type="dxa"/>
            <w:vMerge w:val="restart"/>
            <w:shd w:val="clear" w:color="auto" w:fill="FFFFFF" w:themeFill="background1"/>
            <w:vAlign w:val="center"/>
            <w:hideMark/>
          </w:tcPr>
          <w:p w14:paraId="133BA09C" w14:textId="77777777" w:rsidR="00730639" w:rsidRPr="00CE47BF" w:rsidRDefault="00730639" w:rsidP="00E94C66">
            <w:pPr>
              <w:spacing w:before="0" w:line="240" w:lineRule="auto"/>
              <w:jc w:val="center"/>
              <w:rPr>
                <w:rFonts w:cs="Calibri"/>
                <w:b w:val="0"/>
                <w:sz w:val="20"/>
                <w:szCs w:val="20"/>
                <w:lang w:val="en-US" w:eastAsia="en-US"/>
              </w:rPr>
            </w:pPr>
            <w:r w:rsidRPr="00CE47BF">
              <w:rPr>
                <w:rFonts w:cs="Calibri"/>
                <w:b w:val="0"/>
                <w:sz w:val="20"/>
                <w:szCs w:val="20"/>
                <w:lang w:val="en-US" w:eastAsia="en-US"/>
              </w:rPr>
              <w:t>-</w:t>
            </w:r>
          </w:p>
        </w:tc>
        <w:tc>
          <w:tcPr>
            <w:tcW w:w="3340" w:type="dxa"/>
            <w:shd w:val="clear" w:color="auto" w:fill="FFFFFF" w:themeFill="background1"/>
            <w:noWrap/>
            <w:vAlign w:val="center"/>
            <w:hideMark/>
          </w:tcPr>
          <w:p w14:paraId="718D46A7" w14:textId="77777777" w:rsidR="00730639" w:rsidRPr="00CE47BF" w:rsidRDefault="00730639" w:rsidP="00E94C66">
            <w:pPr>
              <w:spacing w:before="0" w:line="240" w:lineRule="auto"/>
              <w:rPr>
                <w:rFonts w:cs="Calibri"/>
                <w:b w:val="0"/>
                <w:sz w:val="20"/>
                <w:szCs w:val="20"/>
                <w:lang w:val="en-US" w:eastAsia="en-US"/>
              </w:rPr>
            </w:pPr>
            <w:r w:rsidRPr="00CE47BF">
              <w:rPr>
                <w:rFonts w:cs="Calibri"/>
                <w:b w:val="0"/>
                <w:sz w:val="20"/>
                <w:szCs w:val="20"/>
                <w:lang w:val="en-US" w:eastAsia="en-US"/>
              </w:rPr>
              <w:t>Փաստացի</w:t>
            </w:r>
          </w:p>
        </w:tc>
        <w:tc>
          <w:tcPr>
            <w:tcW w:w="1120" w:type="dxa"/>
            <w:shd w:val="clear" w:color="auto" w:fill="FFFFFF" w:themeFill="background1"/>
            <w:vAlign w:val="center"/>
            <w:hideMark/>
          </w:tcPr>
          <w:p w14:paraId="53DC6788"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2,063.1</w:t>
            </w:r>
          </w:p>
        </w:tc>
        <w:tc>
          <w:tcPr>
            <w:tcW w:w="1240" w:type="dxa"/>
            <w:shd w:val="clear" w:color="auto" w:fill="FFFFFF" w:themeFill="background1"/>
            <w:noWrap/>
            <w:vAlign w:val="center"/>
            <w:hideMark/>
          </w:tcPr>
          <w:p w14:paraId="497CB7C7" w14:textId="77777777" w:rsidR="00730639" w:rsidRPr="00CE47BF" w:rsidRDefault="00730639" w:rsidP="00E94C66">
            <w:pPr>
              <w:spacing w:before="0" w:line="240" w:lineRule="auto"/>
              <w:jc w:val="right"/>
              <w:rPr>
                <w:rFonts w:ascii="Calibri" w:hAnsi="Calibri" w:cs="Calibri"/>
                <w:b w:val="0"/>
                <w:sz w:val="20"/>
                <w:szCs w:val="20"/>
                <w:lang w:val="en-US" w:eastAsia="en-US"/>
              </w:rPr>
            </w:pPr>
            <w:r w:rsidRPr="00CE47BF">
              <w:rPr>
                <w:rFonts w:ascii="Calibri" w:hAnsi="Calibri" w:cs="Calibri"/>
                <w:b w:val="0"/>
                <w:sz w:val="20"/>
                <w:szCs w:val="20"/>
                <w:lang w:val="en-US" w:eastAsia="en-US"/>
              </w:rPr>
              <w:t> </w:t>
            </w:r>
          </w:p>
        </w:tc>
        <w:tc>
          <w:tcPr>
            <w:tcW w:w="1260" w:type="dxa"/>
            <w:shd w:val="clear" w:color="auto" w:fill="FFFFFF" w:themeFill="background1"/>
            <w:noWrap/>
            <w:vAlign w:val="center"/>
            <w:hideMark/>
          </w:tcPr>
          <w:p w14:paraId="50A3324C" w14:textId="77777777" w:rsidR="00730639" w:rsidRPr="00CE47BF" w:rsidRDefault="00730639" w:rsidP="00E94C66">
            <w:pPr>
              <w:spacing w:before="0" w:line="240" w:lineRule="auto"/>
              <w:jc w:val="right"/>
              <w:rPr>
                <w:rFonts w:ascii="Calibri" w:hAnsi="Calibri" w:cs="Calibri"/>
                <w:b w:val="0"/>
                <w:sz w:val="20"/>
                <w:szCs w:val="20"/>
                <w:lang w:val="en-US" w:eastAsia="en-US"/>
              </w:rPr>
            </w:pPr>
            <w:r w:rsidRPr="00CE47BF">
              <w:rPr>
                <w:rFonts w:ascii="Calibri" w:hAnsi="Calibri" w:cs="Calibri"/>
                <w:b w:val="0"/>
                <w:sz w:val="20"/>
                <w:szCs w:val="20"/>
                <w:lang w:val="en-US" w:eastAsia="en-US"/>
              </w:rPr>
              <w:t> </w:t>
            </w:r>
          </w:p>
        </w:tc>
      </w:tr>
      <w:tr w:rsidR="00730639" w:rsidRPr="00CE47BF" w14:paraId="038586BE" w14:textId="77777777" w:rsidTr="00E94C66">
        <w:trPr>
          <w:trHeight w:val="345"/>
        </w:trPr>
        <w:tc>
          <w:tcPr>
            <w:tcW w:w="1280" w:type="dxa"/>
            <w:vMerge/>
            <w:shd w:val="clear" w:color="auto" w:fill="FFFFFF" w:themeFill="background1"/>
            <w:vAlign w:val="center"/>
            <w:hideMark/>
          </w:tcPr>
          <w:p w14:paraId="252C0248" w14:textId="77777777" w:rsidR="00730639" w:rsidRPr="00CE47BF" w:rsidRDefault="00730639" w:rsidP="00E94C66">
            <w:pPr>
              <w:spacing w:before="0" w:line="240" w:lineRule="auto"/>
              <w:jc w:val="left"/>
              <w:rPr>
                <w:rFonts w:cs="Calibri"/>
                <w:b w:val="0"/>
                <w:sz w:val="20"/>
                <w:szCs w:val="20"/>
                <w:lang w:val="en-US" w:eastAsia="en-US"/>
              </w:rPr>
            </w:pPr>
          </w:p>
        </w:tc>
        <w:tc>
          <w:tcPr>
            <w:tcW w:w="3340" w:type="dxa"/>
            <w:shd w:val="clear" w:color="auto" w:fill="FFFFFF" w:themeFill="background1"/>
            <w:noWrap/>
            <w:vAlign w:val="center"/>
            <w:hideMark/>
          </w:tcPr>
          <w:p w14:paraId="24603D7A"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1B234970"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24.27%</w:t>
            </w:r>
          </w:p>
        </w:tc>
        <w:tc>
          <w:tcPr>
            <w:tcW w:w="1240" w:type="dxa"/>
            <w:shd w:val="clear" w:color="auto" w:fill="FFFFFF" w:themeFill="background1"/>
            <w:noWrap/>
            <w:vAlign w:val="center"/>
            <w:hideMark/>
          </w:tcPr>
          <w:p w14:paraId="33C5188B" w14:textId="77777777" w:rsidR="00730639" w:rsidRPr="00CE47BF" w:rsidRDefault="00730639" w:rsidP="00E94C66">
            <w:pPr>
              <w:spacing w:before="0" w:line="240" w:lineRule="auto"/>
              <w:jc w:val="right"/>
              <w:rPr>
                <w:rFonts w:ascii="Calibri" w:hAnsi="Calibri" w:cs="Calibri"/>
                <w:b w:val="0"/>
                <w:sz w:val="20"/>
                <w:szCs w:val="20"/>
                <w:lang w:val="en-US" w:eastAsia="en-US"/>
              </w:rPr>
            </w:pPr>
            <w:r w:rsidRPr="00CE47BF">
              <w:rPr>
                <w:rFonts w:ascii="Calibri" w:hAnsi="Calibri" w:cs="Calibri"/>
                <w:b w:val="0"/>
                <w:sz w:val="20"/>
                <w:szCs w:val="20"/>
                <w:lang w:val="en-US" w:eastAsia="en-US"/>
              </w:rPr>
              <w:t> </w:t>
            </w:r>
          </w:p>
        </w:tc>
        <w:tc>
          <w:tcPr>
            <w:tcW w:w="1260" w:type="dxa"/>
            <w:shd w:val="clear" w:color="auto" w:fill="FFFFFF" w:themeFill="background1"/>
            <w:noWrap/>
            <w:vAlign w:val="center"/>
            <w:hideMark/>
          </w:tcPr>
          <w:p w14:paraId="2B4B5195" w14:textId="77777777" w:rsidR="00730639" w:rsidRPr="00CE47BF" w:rsidRDefault="00730639" w:rsidP="00E94C66">
            <w:pPr>
              <w:spacing w:before="0" w:line="240" w:lineRule="auto"/>
              <w:jc w:val="right"/>
              <w:rPr>
                <w:rFonts w:ascii="Calibri" w:hAnsi="Calibri" w:cs="Calibri"/>
                <w:b w:val="0"/>
                <w:sz w:val="20"/>
                <w:szCs w:val="20"/>
                <w:lang w:val="en-US" w:eastAsia="en-US"/>
              </w:rPr>
            </w:pPr>
            <w:r w:rsidRPr="00CE47BF">
              <w:rPr>
                <w:rFonts w:ascii="Calibri" w:hAnsi="Calibri" w:cs="Calibri"/>
                <w:b w:val="0"/>
                <w:sz w:val="20"/>
                <w:szCs w:val="20"/>
                <w:lang w:val="en-US" w:eastAsia="en-US"/>
              </w:rPr>
              <w:t> </w:t>
            </w:r>
          </w:p>
        </w:tc>
      </w:tr>
      <w:tr w:rsidR="00730639" w:rsidRPr="00CE47BF" w14:paraId="64BE00C2" w14:textId="77777777" w:rsidTr="00E94C66">
        <w:trPr>
          <w:trHeight w:val="345"/>
        </w:trPr>
        <w:tc>
          <w:tcPr>
            <w:tcW w:w="1280" w:type="dxa"/>
            <w:vMerge w:val="restart"/>
            <w:shd w:val="clear" w:color="auto" w:fill="FFFFFF" w:themeFill="background1"/>
            <w:vAlign w:val="center"/>
            <w:hideMark/>
          </w:tcPr>
          <w:p w14:paraId="348ED0AF" w14:textId="77777777" w:rsidR="00730639" w:rsidRPr="00CE47BF" w:rsidRDefault="00730639" w:rsidP="00E94C66">
            <w:pPr>
              <w:spacing w:before="0" w:line="240" w:lineRule="auto"/>
              <w:jc w:val="center"/>
              <w:rPr>
                <w:rFonts w:cs="Calibri"/>
                <w:b w:val="0"/>
                <w:sz w:val="20"/>
                <w:szCs w:val="20"/>
                <w:lang w:val="en-US" w:eastAsia="en-US"/>
              </w:rPr>
            </w:pPr>
            <w:r w:rsidRPr="00CE47BF">
              <w:rPr>
                <w:rFonts w:cs="Calibri"/>
                <w:b w:val="0"/>
                <w:sz w:val="20"/>
                <w:szCs w:val="20"/>
                <w:lang w:val="en-US" w:eastAsia="en-US"/>
              </w:rPr>
              <w:t>2021</w:t>
            </w:r>
          </w:p>
        </w:tc>
        <w:tc>
          <w:tcPr>
            <w:tcW w:w="3340" w:type="dxa"/>
            <w:shd w:val="clear" w:color="auto" w:fill="FFFFFF" w:themeFill="background1"/>
            <w:noWrap/>
            <w:vAlign w:val="center"/>
            <w:hideMark/>
          </w:tcPr>
          <w:p w14:paraId="65E8A31D" w14:textId="77777777" w:rsidR="00730639" w:rsidRPr="00CE47BF" w:rsidRDefault="00730639" w:rsidP="00E94C66">
            <w:pPr>
              <w:spacing w:before="0" w:line="240" w:lineRule="auto"/>
              <w:jc w:val="left"/>
              <w:rPr>
                <w:rFonts w:cs="Calibri"/>
                <w:b w:val="0"/>
                <w:sz w:val="20"/>
                <w:szCs w:val="20"/>
                <w:lang w:val="en-US" w:eastAsia="en-US"/>
              </w:rPr>
            </w:pPr>
            <w:r w:rsidRPr="00CE47BF">
              <w:rPr>
                <w:rFonts w:cs="Calibri"/>
                <w:b w:val="0"/>
                <w:sz w:val="20"/>
                <w:szCs w:val="20"/>
                <w:lang w:val="en-US" w:eastAsia="en-US"/>
              </w:rPr>
              <w:t xml:space="preserve"> ՄԺԾԾ 2022-2024</w:t>
            </w:r>
          </w:p>
        </w:tc>
        <w:tc>
          <w:tcPr>
            <w:tcW w:w="1120" w:type="dxa"/>
            <w:shd w:val="clear" w:color="auto" w:fill="FFFFFF" w:themeFill="background1"/>
            <w:vAlign w:val="center"/>
            <w:hideMark/>
          </w:tcPr>
          <w:p w14:paraId="28C66BB3"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1,819.2</w:t>
            </w:r>
          </w:p>
        </w:tc>
        <w:tc>
          <w:tcPr>
            <w:tcW w:w="1240" w:type="dxa"/>
            <w:shd w:val="clear" w:color="auto" w:fill="FFFFFF" w:themeFill="background1"/>
            <w:vAlign w:val="center"/>
            <w:hideMark/>
          </w:tcPr>
          <w:p w14:paraId="5F1E7589"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1,966.7</w:t>
            </w:r>
          </w:p>
        </w:tc>
        <w:tc>
          <w:tcPr>
            <w:tcW w:w="1260" w:type="dxa"/>
            <w:shd w:val="clear" w:color="auto" w:fill="FFFFFF" w:themeFill="background1"/>
            <w:vAlign w:val="center"/>
            <w:hideMark/>
          </w:tcPr>
          <w:p w14:paraId="2E8FFBDC"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2,148.3</w:t>
            </w:r>
          </w:p>
        </w:tc>
      </w:tr>
      <w:tr w:rsidR="00730639" w:rsidRPr="00CE47BF" w14:paraId="2C4EA24B" w14:textId="77777777" w:rsidTr="00E94C66">
        <w:trPr>
          <w:trHeight w:val="345"/>
        </w:trPr>
        <w:tc>
          <w:tcPr>
            <w:tcW w:w="1280" w:type="dxa"/>
            <w:vMerge/>
            <w:shd w:val="clear" w:color="auto" w:fill="FFFFFF" w:themeFill="background1"/>
            <w:vAlign w:val="center"/>
            <w:hideMark/>
          </w:tcPr>
          <w:p w14:paraId="68300A82" w14:textId="77777777" w:rsidR="00730639" w:rsidRPr="00CE47BF" w:rsidRDefault="00730639" w:rsidP="00E94C66">
            <w:pPr>
              <w:spacing w:before="0" w:line="240" w:lineRule="auto"/>
              <w:jc w:val="left"/>
              <w:rPr>
                <w:rFonts w:cs="Calibri"/>
                <w:b w:val="0"/>
                <w:sz w:val="20"/>
                <w:szCs w:val="20"/>
                <w:lang w:val="en-US" w:eastAsia="en-US"/>
              </w:rPr>
            </w:pPr>
          </w:p>
        </w:tc>
        <w:tc>
          <w:tcPr>
            <w:tcW w:w="3340" w:type="dxa"/>
            <w:shd w:val="clear" w:color="auto" w:fill="FFFFFF" w:themeFill="background1"/>
            <w:vAlign w:val="center"/>
            <w:hideMark/>
          </w:tcPr>
          <w:p w14:paraId="16101CFB"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0334976A"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24.00%</w:t>
            </w:r>
          </w:p>
        </w:tc>
        <w:tc>
          <w:tcPr>
            <w:tcW w:w="1240" w:type="dxa"/>
            <w:shd w:val="clear" w:color="auto" w:fill="FFFFFF" w:themeFill="background1"/>
            <w:vAlign w:val="center"/>
            <w:hideMark/>
          </w:tcPr>
          <w:p w14:paraId="13A162E6"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24.10%</w:t>
            </w:r>
          </w:p>
        </w:tc>
        <w:tc>
          <w:tcPr>
            <w:tcW w:w="1260" w:type="dxa"/>
            <w:shd w:val="clear" w:color="auto" w:fill="FFFFFF" w:themeFill="background1"/>
            <w:vAlign w:val="center"/>
            <w:hideMark/>
          </w:tcPr>
          <w:p w14:paraId="315BDD89"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24.30%</w:t>
            </w:r>
          </w:p>
        </w:tc>
      </w:tr>
      <w:tr w:rsidR="00730639" w:rsidRPr="00CE47BF" w14:paraId="7F2D2055" w14:textId="77777777" w:rsidTr="00E94C66">
        <w:trPr>
          <w:trHeight w:val="345"/>
        </w:trPr>
        <w:tc>
          <w:tcPr>
            <w:tcW w:w="1280" w:type="dxa"/>
            <w:vMerge/>
            <w:shd w:val="clear" w:color="auto" w:fill="FFFFFF" w:themeFill="background1"/>
            <w:vAlign w:val="center"/>
            <w:hideMark/>
          </w:tcPr>
          <w:p w14:paraId="5FB4E2B3" w14:textId="77777777" w:rsidR="00730639" w:rsidRPr="00CE47BF" w:rsidRDefault="00730639" w:rsidP="00E94C66">
            <w:pPr>
              <w:spacing w:before="0" w:line="240" w:lineRule="auto"/>
              <w:jc w:val="left"/>
              <w:rPr>
                <w:rFonts w:cs="Calibri"/>
                <w:b w:val="0"/>
                <w:sz w:val="20"/>
                <w:szCs w:val="20"/>
                <w:lang w:val="en-US" w:eastAsia="en-US"/>
              </w:rPr>
            </w:pPr>
          </w:p>
        </w:tc>
        <w:tc>
          <w:tcPr>
            <w:tcW w:w="3340" w:type="dxa"/>
            <w:shd w:val="clear" w:color="auto" w:fill="FFFFFF" w:themeFill="background1"/>
            <w:noWrap/>
            <w:vAlign w:val="center"/>
            <w:hideMark/>
          </w:tcPr>
          <w:p w14:paraId="3969C37F" w14:textId="77777777" w:rsidR="00730639" w:rsidRPr="00CE47BF" w:rsidRDefault="00730639" w:rsidP="00E94C66">
            <w:pPr>
              <w:spacing w:before="0" w:line="240" w:lineRule="auto"/>
              <w:jc w:val="left"/>
              <w:rPr>
                <w:rFonts w:cs="Calibri"/>
                <w:b w:val="0"/>
                <w:sz w:val="20"/>
                <w:szCs w:val="20"/>
                <w:lang w:val="en-US" w:eastAsia="en-US"/>
              </w:rPr>
            </w:pPr>
            <w:r w:rsidRPr="00CE47BF">
              <w:rPr>
                <w:rFonts w:cs="Calibri"/>
                <w:b w:val="0"/>
                <w:sz w:val="20"/>
                <w:szCs w:val="20"/>
                <w:lang w:val="en-US" w:eastAsia="en-US"/>
              </w:rPr>
              <w:t>2022թ. Պետական բյուջե</w:t>
            </w:r>
          </w:p>
        </w:tc>
        <w:tc>
          <w:tcPr>
            <w:tcW w:w="1120" w:type="dxa"/>
            <w:shd w:val="clear" w:color="auto" w:fill="FFFFFF" w:themeFill="background1"/>
            <w:vAlign w:val="center"/>
            <w:hideMark/>
          </w:tcPr>
          <w:p w14:paraId="297DAA24"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1,947.8</w:t>
            </w:r>
          </w:p>
        </w:tc>
        <w:tc>
          <w:tcPr>
            <w:tcW w:w="1240" w:type="dxa"/>
            <w:shd w:val="clear" w:color="auto" w:fill="FFFFFF" w:themeFill="background1"/>
            <w:vAlign w:val="center"/>
            <w:hideMark/>
          </w:tcPr>
          <w:p w14:paraId="54F4FA19" w14:textId="77777777" w:rsidR="00730639" w:rsidRPr="00CE47BF" w:rsidRDefault="00730639" w:rsidP="00E94C66">
            <w:pPr>
              <w:spacing w:before="0" w:line="240" w:lineRule="auto"/>
              <w:jc w:val="right"/>
              <w:rPr>
                <w:rFonts w:ascii="Calibri" w:hAnsi="Calibri" w:cs="Calibri"/>
                <w:b w:val="0"/>
                <w:sz w:val="20"/>
                <w:szCs w:val="20"/>
                <w:lang w:val="en-US" w:eastAsia="en-US"/>
              </w:rPr>
            </w:pPr>
            <w:r w:rsidRPr="00CE47BF">
              <w:rPr>
                <w:rFonts w:ascii="Calibri" w:hAnsi="Calibri" w:cs="Calibri"/>
                <w:b w:val="0"/>
                <w:sz w:val="20"/>
                <w:szCs w:val="20"/>
                <w:lang w:val="en-US" w:eastAsia="en-US"/>
              </w:rPr>
              <w:t> </w:t>
            </w:r>
          </w:p>
        </w:tc>
        <w:tc>
          <w:tcPr>
            <w:tcW w:w="1260" w:type="dxa"/>
            <w:shd w:val="clear" w:color="auto" w:fill="FFFFFF" w:themeFill="background1"/>
            <w:noWrap/>
            <w:vAlign w:val="center"/>
            <w:hideMark/>
          </w:tcPr>
          <w:p w14:paraId="552B74D0" w14:textId="77777777" w:rsidR="00730639" w:rsidRPr="00CE47BF" w:rsidRDefault="00730639" w:rsidP="00E94C66">
            <w:pPr>
              <w:spacing w:before="0" w:line="240" w:lineRule="auto"/>
              <w:jc w:val="right"/>
              <w:rPr>
                <w:rFonts w:ascii="Calibri" w:hAnsi="Calibri" w:cs="Calibri"/>
                <w:b w:val="0"/>
                <w:sz w:val="20"/>
                <w:szCs w:val="20"/>
                <w:lang w:val="en-US" w:eastAsia="en-US"/>
              </w:rPr>
            </w:pPr>
            <w:r w:rsidRPr="00CE47BF">
              <w:rPr>
                <w:rFonts w:ascii="Calibri" w:hAnsi="Calibri" w:cs="Calibri"/>
                <w:b w:val="0"/>
                <w:sz w:val="20"/>
                <w:szCs w:val="20"/>
                <w:lang w:val="en-US" w:eastAsia="en-US"/>
              </w:rPr>
              <w:t> </w:t>
            </w:r>
          </w:p>
        </w:tc>
      </w:tr>
      <w:tr w:rsidR="00730639" w:rsidRPr="00CE47BF" w14:paraId="214A1155" w14:textId="77777777" w:rsidTr="00E94C66">
        <w:trPr>
          <w:trHeight w:val="345"/>
        </w:trPr>
        <w:tc>
          <w:tcPr>
            <w:tcW w:w="1280" w:type="dxa"/>
            <w:vMerge/>
            <w:shd w:val="clear" w:color="auto" w:fill="FFFFFF" w:themeFill="background1"/>
            <w:vAlign w:val="center"/>
            <w:hideMark/>
          </w:tcPr>
          <w:p w14:paraId="013E55BE" w14:textId="77777777" w:rsidR="00730639" w:rsidRPr="00CE47BF" w:rsidRDefault="00730639" w:rsidP="00E94C66">
            <w:pPr>
              <w:spacing w:before="0" w:line="240" w:lineRule="auto"/>
              <w:jc w:val="left"/>
              <w:rPr>
                <w:rFonts w:cs="Calibri"/>
                <w:b w:val="0"/>
                <w:sz w:val="20"/>
                <w:szCs w:val="20"/>
                <w:lang w:val="en-US" w:eastAsia="en-US"/>
              </w:rPr>
            </w:pPr>
          </w:p>
        </w:tc>
        <w:tc>
          <w:tcPr>
            <w:tcW w:w="3340" w:type="dxa"/>
            <w:shd w:val="clear" w:color="auto" w:fill="FFFFFF" w:themeFill="background1"/>
            <w:vAlign w:val="center"/>
            <w:hideMark/>
          </w:tcPr>
          <w:p w14:paraId="4F6C0D0D"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7F3D79F2"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24.80%</w:t>
            </w:r>
          </w:p>
        </w:tc>
        <w:tc>
          <w:tcPr>
            <w:tcW w:w="1240" w:type="dxa"/>
            <w:shd w:val="clear" w:color="auto" w:fill="FFFFFF" w:themeFill="background1"/>
            <w:vAlign w:val="center"/>
            <w:hideMark/>
          </w:tcPr>
          <w:p w14:paraId="747C367E" w14:textId="77777777" w:rsidR="00730639" w:rsidRPr="00CE47BF" w:rsidRDefault="00730639" w:rsidP="00E94C66">
            <w:pPr>
              <w:spacing w:before="0" w:line="240" w:lineRule="auto"/>
              <w:jc w:val="right"/>
              <w:rPr>
                <w:rFonts w:ascii="Calibri" w:hAnsi="Calibri" w:cs="Calibri"/>
                <w:b w:val="0"/>
                <w:i/>
                <w:iCs/>
                <w:sz w:val="20"/>
                <w:szCs w:val="20"/>
                <w:lang w:val="en-US" w:eastAsia="en-US"/>
              </w:rPr>
            </w:pPr>
            <w:r w:rsidRPr="00CE47BF">
              <w:rPr>
                <w:rFonts w:ascii="Calibri" w:hAnsi="Calibri" w:cs="Calibri"/>
                <w:b w:val="0"/>
                <w:i/>
                <w:iCs/>
                <w:sz w:val="20"/>
                <w:szCs w:val="20"/>
                <w:lang w:val="en-US" w:eastAsia="en-US"/>
              </w:rPr>
              <w:t> </w:t>
            </w:r>
          </w:p>
        </w:tc>
        <w:tc>
          <w:tcPr>
            <w:tcW w:w="1260" w:type="dxa"/>
            <w:shd w:val="clear" w:color="auto" w:fill="FFFFFF" w:themeFill="background1"/>
            <w:noWrap/>
            <w:vAlign w:val="center"/>
            <w:hideMark/>
          </w:tcPr>
          <w:p w14:paraId="5C436A18" w14:textId="77777777" w:rsidR="00730639" w:rsidRPr="00CE47BF" w:rsidRDefault="00730639" w:rsidP="00E94C66">
            <w:pPr>
              <w:spacing w:before="0" w:line="240" w:lineRule="auto"/>
              <w:jc w:val="right"/>
              <w:rPr>
                <w:rFonts w:ascii="Calibri" w:hAnsi="Calibri" w:cs="Calibri"/>
                <w:b w:val="0"/>
                <w:i/>
                <w:iCs/>
                <w:sz w:val="20"/>
                <w:szCs w:val="20"/>
                <w:lang w:val="en-US" w:eastAsia="en-US"/>
              </w:rPr>
            </w:pPr>
            <w:r w:rsidRPr="00CE47BF">
              <w:rPr>
                <w:rFonts w:ascii="Calibri" w:hAnsi="Calibri" w:cs="Calibri"/>
                <w:b w:val="0"/>
                <w:i/>
                <w:iCs/>
                <w:sz w:val="20"/>
                <w:szCs w:val="20"/>
                <w:lang w:val="en-US" w:eastAsia="en-US"/>
              </w:rPr>
              <w:t> </w:t>
            </w:r>
          </w:p>
        </w:tc>
      </w:tr>
      <w:tr w:rsidR="00730639" w:rsidRPr="00CE47BF" w14:paraId="242E3565" w14:textId="77777777" w:rsidTr="00E94C66">
        <w:trPr>
          <w:trHeight w:val="345"/>
        </w:trPr>
        <w:tc>
          <w:tcPr>
            <w:tcW w:w="1280" w:type="dxa"/>
            <w:vMerge w:val="restart"/>
            <w:shd w:val="clear" w:color="auto" w:fill="FFFFFF" w:themeFill="background1"/>
            <w:vAlign w:val="center"/>
            <w:hideMark/>
          </w:tcPr>
          <w:p w14:paraId="3187B1F6" w14:textId="77777777" w:rsidR="00730639" w:rsidRPr="00CE47BF" w:rsidRDefault="00730639" w:rsidP="00E94C66">
            <w:pPr>
              <w:spacing w:before="0" w:line="240" w:lineRule="auto"/>
              <w:jc w:val="center"/>
              <w:rPr>
                <w:rFonts w:cs="Calibri"/>
                <w:b w:val="0"/>
                <w:sz w:val="20"/>
                <w:szCs w:val="20"/>
                <w:lang w:val="en-US" w:eastAsia="en-US"/>
              </w:rPr>
            </w:pPr>
            <w:r w:rsidRPr="00CE47BF">
              <w:rPr>
                <w:rFonts w:cs="Calibri"/>
                <w:b w:val="0"/>
                <w:sz w:val="20"/>
                <w:szCs w:val="20"/>
                <w:lang w:val="en-US" w:eastAsia="en-US"/>
              </w:rPr>
              <w:t>2022</w:t>
            </w:r>
          </w:p>
        </w:tc>
        <w:tc>
          <w:tcPr>
            <w:tcW w:w="3340" w:type="dxa"/>
            <w:shd w:val="clear" w:color="auto" w:fill="FFFFFF" w:themeFill="background1"/>
            <w:noWrap/>
            <w:vAlign w:val="center"/>
            <w:hideMark/>
          </w:tcPr>
          <w:p w14:paraId="3DC2FA2B" w14:textId="77777777" w:rsidR="00730639" w:rsidRPr="00CE47BF" w:rsidRDefault="00730639" w:rsidP="00E94C66">
            <w:pPr>
              <w:spacing w:before="0" w:line="240" w:lineRule="auto"/>
              <w:jc w:val="left"/>
              <w:rPr>
                <w:rFonts w:cs="Calibri"/>
                <w:b w:val="0"/>
                <w:sz w:val="20"/>
                <w:szCs w:val="20"/>
                <w:lang w:val="en-US" w:eastAsia="en-US"/>
              </w:rPr>
            </w:pPr>
            <w:r w:rsidRPr="00CE47BF">
              <w:rPr>
                <w:rFonts w:cs="Calibri"/>
                <w:b w:val="0"/>
                <w:sz w:val="20"/>
                <w:szCs w:val="20"/>
                <w:lang w:val="en-US" w:eastAsia="en-US"/>
              </w:rPr>
              <w:t xml:space="preserve"> ՄԺԾԾ 2023-2025</w:t>
            </w:r>
          </w:p>
        </w:tc>
        <w:tc>
          <w:tcPr>
            <w:tcW w:w="1120" w:type="dxa"/>
            <w:shd w:val="clear" w:color="auto" w:fill="FFFFFF" w:themeFill="background1"/>
            <w:vAlign w:val="center"/>
            <w:hideMark/>
          </w:tcPr>
          <w:p w14:paraId="7C040841"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2,020.9</w:t>
            </w:r>
          </w:p>
        </w:tc>
        <w:tc>
          <w:tcPr>
            <w:tcW w:w="1240" w:type="dxa"/>
            <w:shd w:val="clear" w:color="auto" w:fill="FFFFFF" w:themeFill="background1"/>
            <w:vAlign w:val="center"/>
            <w:hideMark/>
          </w:tcPr>
          <w:p w14:paraId="41BD8E23"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2,253.8</w:t>
            </w:r>
          </w:p>
        </w:tc>
        <w:tc>
          <w:tcPr>
            <w:tcW w:w="1260" w:type="dxa"/>
            <w:shd w:val="clear" w:color="auto" w:fill="FFFFFF" w:themeFill="background1"/>
            <w:vAlign w:val="center"/>
            <w:hideMark/>
          </w:tcPr>
          <w:p w14:paraId="2002BD8B"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2,537.6</w:t>
            </w:r>
          </w:p>
        </w:tc>
      </w:tr>
      <w:tr w:rsidR="00730639" w:rsidRPr="00CE47BF" w14:paraId="774B296A" w14:textId="77777777" w:rsidTr="00E94C66">
        <w:trPr>
          <w:trHeight w:val="345"/>
        </w:trPr>
        <w:tc>
          <w:tcPr>
            <w:tcW w:w="1280" w:type="dxa"/>
            <w:vMerge/>
            <w:shd w:val="clear" w:color="auto" w:fill="FFFFFF" w:themeFill="background1"/>
            <w:vAlign w:val="center"/>
            <w:hideMark/>
          </w:tcPr>
          <w:p w14:paraId="1BC32A80" w14:textId="77777777" w:rsidR="00730639" w:rsidRPr="00CE47BF" w:rsidRDefault="00730639" w:rsidP="00E94C66">
            <w:pPr>
              <w:spacing w:before="0" w:line="240" w:lineRule="auto"/>
              <w:jc w:val="left"/>
              <w:rPr>
                <w:rFonts w:cs="Calibri"/>
                <w:b w:val="0"/>
                <w:sz w:val="20"/>
                <w:szCs w:val="20"/>
                <w:lang w:val="en-US" w:eastAsia="en-US"/>
              </w:rPr>
            </w:pPr>
          </w:p>
        </w:tc>
        <w:tc>
          <w:tcPr>
            <w:tcW w:w="3340" w:type="dxa"/>
            <w:shd w:val="clear" w:color="auto" w:fill="FFFFFF" w:themeFill="background1"/>
            <w:vAlign w:val="center"/>
            <w:hideMark/>
          </w:tcPr>
          <w:p w14:paraId="29423CEE"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6D28346D"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25.00%</w:t>
            </w:r>
          </w:p>
        </w:tc>
        <w:tc>
          <w:tcPr>
            <w:tcW w:w="1240" w:type="dxa"/>
            <w:shd w:val="clear" w:color="auto" w:fill="FFFFFF" w:themeFill="background1"/>
            <w:vAlign w:val="center"/>
            <w:hideMark/>
          </w:tcPr>
          <w:p w14:paraId="3A701BC1"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24.90%</w:t>
            </w:r>
          </w:p>
        </w:tc>
        <w:tc>
          <w:tcPr>
            <w:tcW w:w="1260" w:type="dxa"/>
            <w:shd w:val="clear" w:color="auto" w:fill="FFFFFF" w:themeFill="background1"/>
            <w:vAlign w:val="center"/>
            <w:hideMark/>
          </w:tcPr>
          <w:p w14:paraId="79E59327"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25.10%</w:t>
            </w:r>
          </w:p>
        </w:tc>
      </w:tr>
      <w:tr w:rsidR="00730639" w:rsidRPr="00CE47BF" w14:paraId="2B3EAC3B" w14:textId="77777777" w:rsidTr="00E94C66">
        <w:trPr>
          <w:trHeight w:val="345"/>
        </w:trPr>
        <w:tc>
          <w:tcPr>
            <w:tcW w:w="1280" w:type="dxa"/>
            <w:vMerge/>
            <w:shd w:val="clear" w:color="auto" w:fill="FFFFFF" w:themeFill="background1"/>
            <w:vAlign w:val="center"/>
            <w:hideMark/>
          </w:tcPr>
          <w:p w14:paraId="1980B73B" w14:textId="77777777" w:rsidR="00730639" w:rsidRPr="00CE47BF" w:rsidRDefault="00730639" w:rsidP="00E94C66">
            <w:pPr>
              <w:spacing w:before="0" w:line="240" w:lineRule="auto"/>
              <w:jc w:val="left"/>
              <w:rPr>
                <w:rFonts w:cs="Calibri"/>
                <w:b w:val="0"/>
                <w:sz w:val="20"/>
                <w:szCs w:val="20"/>
                <w:lang w:val="en-US" w:eastAsia="en-US"/>
              </w:rPr>
            </w:pPr>
          </w:p>
        </w:tc>
        <w:tc>
          <w:tcPr>
            <w:tcW w:w="3340" w:type="dxa"/>
            <w:shd w:val="clear" w:color="auto" w:fill="FFFFFF" w:themeFill="background1"/>
            <w:noWrap/>
            <w:vAlign w:val="center"/>
            <w:hideMark/>
          </w:tcPr>
          <w:p w14:paraId="7A01FF50" w14:textId="77777777" w:rsidR="00730639" w:rsidRPr="00CE47BF" w:rsidRDefault="00730639" w:rsidP="00E94C66">
            <w:pPr>
              <w:spacing w:before="0" w:line="240" w:lineRule="auto"/>
              <w:jc w:val="left"/>
              <w:rPr>
                <w:rFonts w:cs="Calibri"/>
                <w:b w:val="0"/>
                <w:sz w:val="20"/>
                <w:szCs w:val="20"/>
                <w:lang w:val="en-US" w:eastAsia="en-US"/>
              </w:rPr>
            </w:pPr>
            <w:r w:rsidRPr="00CE47BF">
              <w:rPr>
                <w:rFonts w:cs="Calibri"/>
                <w:b w:val="0"/>
                <w:sz w:val="20"/>
                <w:szCs w:val="20"/>
                <w:lang w:val="en-US" w:eastAsia="en-US"/>
              </w:rPr>
              <w:t>2023թ. Պետական բյուջե</w:t>
            </w:r>
          </w:p>
        </w:tc>
        <w:tc>
          <w:tcPr>
            <w:tcW w:w="1120" w:type="dxa"/>
            <w:shd w:val="clear" w:color="auto" w:fill="FFFFFF" w:themeFill="background1"/>
            <w:vAlign w:val="center"/>
            <w:hideMark/>
          </w:tcPr>
          <w:p w14:paraId="39AC98B3"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2,042.5</w:t>
            </w:r>
          </w:p>
        </w:tc>
        <w:tc>
          <w:tcPr>
            <w:tcW w:w="1240" w:type="dxa"/>
            <w:shd w:val="clear" w:color="auto" w:fill="FFFFFF" w:themeFill="background1"/>
            <w:vAlign w:val="center"/>
            <w:hideMark/>
          </w:tcPr>
          <w:p w14:paraId="2D6ACF97"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2,302.0</w:t>
            </w:r>
          </w:p>
        </w:tc>
        <w:tc>
          <w:tcPr>
            <w:tcW w:w="1260" w:type="dxa"/>
            <w:shd w:val="clear" w:color="auto" w:fill="FFFFFF" w:themeFill="background1"/>
            <w:vAlign w:val="center"/>
            <w:hideMark/>
          </w:tcPr>
          <w:p w14:paraId="75AA8F0C" w14:textId="77777777" w:rsidR="00730639" w:rsidRPr="00CE47BF" w:rsidRDefault="00730639" w:rsidP="00E94C66">
            <w:pPr>
              <w:spacing w:before="0" w:line="240" w:lineRule="auto"/>
              <w:jc w:val="right"/>
              <w:rPr>
                <w:rFonts w:cs="Calibri"/>
                <w:b w:val="0"/>
                <w:sz w:val="20"/>
                <w:szCs w:val="20"/>
                <w:lang w:val="en-US" w:eastAsia="en-US"/>
              </w:rPr>
            </w:pPr>
            <w:r w:rsidRPr="00CE47BF">
              <w:rPr>
                <w:rFonts w:ascii="Calibri" w:hAnsi="Calibri" w:cs="Calibri"/>
                <w:b w:val="0"/>
                <w:sz w:val="20"/>
                <w:szCs w:val="20"/>
                <w:lang w:val="en-US" w:eastAsia="en-US"/>
              </w:rPr>
              <w:t> </w:t>
            </w:r>
          </w:p>
        </w:tc>
      </w:tr>
      <w:tr w:rsidR="00730639" w:rsidRPr="00CE47BF" w14:paraId="63EB181B" w14:textId="77777777" w:rsidTr="00E94C66">
        <w:trPr>
          <w:trHeight w:val="345"/>
        </w:trPr>
        <w:tc>
          <w:tcPr>
            <w:tcW w:w="1280" w:type="dxa"/>
            <w:vMerge/>
            <w:shd w:val="clear" w:color="auto" w:fill="FFFFFF" w:themeFill="background1"/>
            <w:vAlign w:val="center"/>
            <w:hideMark/>
          </w:tcPr>
          <w:p w14:paraId="1E622A6D" w14:textId="77777777" w:rsidR="00730639" w:rsidRPr="00CE47BF" w:rsidRDefault="00730639" w:rsidP="00E94C66">
            <w:pPr>
              <w:spacing w:before="0" w:line="240" w:lineRule="auto"/>
              <w:jc w:val="left"/>
              <w:rPr>
                <w:rFonts w:cs="Calibri"/>
                <w:b w:val="0"/>
                <w:sz w:val="20"/>
                <w:szCs w:val="20"/>
                <w:lang w:val="en-US" w:eastAsia="en-US"/>
              </w:rPr>
            </w:pPr>
          </w:p>
        </w:tc>
        <w:tc>
          <w:tcPr>
            <w:tcW w:w="3340" w:type="dxa"/>
            <w:shd w:val="clear" w:color="auto" w:fill="FFFFFF" w:themeFill="background1"/>
            <w:vAlign w:val="center"/>
            <w:hideMark/>
          </w:tcPr>
          <w:p w14:paraId="37026D04"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731D0EFD"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24.63%</w:t>
            </w:r>
          </w:p>
        </w:tc>
        <w:tc>
          <w:tcPr>
            <w:tcW w:w="1240" w:type="dxa"/>
            <w:shd w:val="clear" w:color="auto" w:fill="FFFFFF" w:themeFill="background1"/>
            <w:vAlign w:val="center"/>
            <w:hideMark/>
          </w:tcPr>
          <w:p w14:paraId="3CD4E643"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24.70%</w:t>
            </w:r>
          </w:p>
        </w:tc>
        <w:tc>
          <w:tcPr>
            <w:tcW w:w="1260" w:type="dxa"/>
            <w:shd w:val="clear" w:color="auto" w:fill="FFFFFF" w:themeFill="background1"/>
            <w:vAlign w:val="center"/>
            <w:hideMark/>
          </w:tcPr>
          <w:p w14:paraId="4E9276F9"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ascii="Calibri" w:hAnsi="Calibri" w:cs="Calibri"/>
                <w:b w:val="0"/>
                <w:i/>
                <w:iCs/>
                <w:sz w:val="20"/>
                <w:szCs w:val="20"/>
                <w:lang w:val="en-US" w:eastAsia="en-US"/>
              </w:rPr>
              <w:t> </w:t>
            </w:r>
          </w:p>
        </w:tc>
      </w:tr>
      <w:tr w:rsidR="00730639" w:rsidRPr="00CE47BF" w14:paraId="361AF842" w14:textId="77777777" w:rsidTr="00E94C66">
        <w:trPr>
          <w:trHeight w:val="345"/>
        </w:trPr>
        <w:tc>
          <w:tcPr>
            <w:tcW w:w="1280" w:type="dxa"/>
            <w:vMerge w:val="restart"/>
            <w:shd w:val="clear" w:color="auto" w:fill="FFFFFF" w:themeFill="background1"/>
            <w:vAlign w:val="center"/>
            <w:hideMark/>
          </w:tcPr>
          <w:p w14:paraId="4D08A1FE" w14:textId="77777777" w:rsidR="00730639" w:rsidRPr="00CE47BF" w:rsidRDefault="00730639" w:rsidP="00E94C66">
            <w:pPr>
              <w:spacing w:before="0" w:line="240" w:lineRule="auto"/>
              <w:jc w:val="center"/>
              <w:rPr>
                <w:rFonts w:cs="Calibri"/>
                <w:b w:val="0"/>
                <w:sz w:val="20"/>
                <w:szCs w:val="20"/>
                <w:lang w:val="en-US" w:eastAsia="en-US"/>
              </w:rPr>
            </w:pPr>
            <w:r w:rsidRPr="00CE47BF">
              <w:rPr>
                <w:rFonts w:cs="Calibri"/>
                <w:b w:val="0"/>
                <w:sz w:val="20"/>
                <w:szCs w:val="20"/>
                <w:lang w:val="en-US" w:eastAsia="en-US"/>
              </w:rPr>
              <w:t>2023</w:t>
            </w:r>
          </w:p>
        </w:tc>
        <w:tc>
          <w:tcPr>
            <w:tcW w:w="3340" w:type="dxa"/>
            <w:shd w:val="clear" w:color="auto" w:fill="FFFFFF" w:themeFill="background1"/>
            <w:noWrap/>
            <w:vAlign w:val="center"/>
            <w:hideMark/>
          </w:tcPr>
          <w:p w14:paraId="5F3B7379" w14:textId="77777777" w:rsidR="00730639" w:rsidRPr="00CE47BF" w:rsidRDefault="00730639" w:rsidP="00E94C66">
            <w:pPr>
              <w:spacing w:before="0" w:line="240" w:lineRule="auto"/>
              <w:jc w:val="left"/>
              <w:rPr>
                <w:rFonts w:cs="Calibri"/>
                <w:b w:val="0"/>
                <w:sz w:val="20"/>
                <w:szCs w:val="20"/>
                <w:lang w:val="en-US" w:eastAsia="en-US"/>
              </w:rPr>
            </w:pPr>
            <w:r w:rsidRPr="00CE47BF">
              <w:rPr>
                <w:rFonts w:cs="Calibri"/>
                <w:b w:val="0"/>
                <w:sz w:val="20"/>
                <w:szCs w:val="20"/>
                <w:lang w:val="en-US" w:eastAsia="en-US"/>
              </w:rPr>
              <w:t xml:space="preserve"> ՄԺԾԾ 2024-2026</w:t>
            </w:r>
          </w:p>
        </w:tc>
        <w:tc>
          <w:tcPr>
            <w:tcW w:w="1120" w:type="dxa"/>
            <w:shd w:val="clear" w:color="auto" w:fill="FFFFFF" w:themeFill="background1"/>
            <w:vAlign w:val="center"/>
            <w:hideMark/>
          </w:tcPr>
          <w:p w14:paraId="06C9DFDF" w14:textId="77777777" w:rsidR="00730639" w:rsidRPr="00CE47BF" w:rsidRDefault="00730639" w:rsidP="00E94C66">
            <w:pPr>
              <w:spacing w:before="0" w:line="240" w:lineRule="auto"/>
              <w:jc w:val="right"/>
              <w:rPr>
                <w:rFonts w:ascii="Calibri" w:hAnsi="Calibri" w:cs="Calibri"/>
                <w:b w:val="0"/>
                <w:sz w:val="20"/>
                <w:szCs w:val="20"/>
                <w:lang w:val="en-US" w:eastAsia="en-US"/>
              </w:rPr>
            </w:pPr>
            <w:r w:rsidRPr="00CE47BF">
              <w:rPr>
                <w:rFonts w:ascii="Calibri" w:hAnsi="Calibri" w:cs="Calibri"/>
                <w:b w:val="0"/>
                <w:sz w:val="20"/>
                <w:szCs w:val="20"/>
                <w:lang w:val="en-US" w:eastAsia="en-US"/>
              </w:rPr>
              <w:t> </w:t>
            </w:r>
          </w:p>
        </w:tc>
        <w:tc>
          <w:tcPr>
            <w:tcW w:w="1240" w:type="dxa"/>
            <w:shd w:val="clear" w:color="auto" w:fill="FFFFFF" w:themeFill="background1"/>
            <w:vAlign w:val="center"/>
            <w:hideMark/>
          </w:tcPr>
          <w:p w14:paraId="099E2B9B"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2,333.7</w:t>
            </w:r>
          </w:p>
        </w:tc>
        <w:tc>
          <w:tcPr>
            <w:tcW w:w="1260" w:type="dxa"/>
            <w:shd w:val="clear" w:color="auto" w:fill="FFFFFF" w:themeFill="background1"/>
            <w:vAlign w:val="center"/>
            <w:hideMark/>
          </w:tcPr>
          <w:p w14:paraId="13FB98A0"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2,664.2</w:t>
            </w:r>
          </w:p>
        </w:tc>
      </w:tr>
      <w:tr w:rsidR="00730639" w:rsidRPr="00CE47BF" w14:paraId="07317AC0" w14:textId="77777777" w:rsidTr="00E94C66">
        <w:trPr>
          <w:trHeight w:val="345"/>
        </w:trPr>
        <w:tc>
          <w:tcPr>
            <w:tcW w:w="1280" w:type="dxa"/>
            <w:vMerge/>
            <w:shd w:val="clear" w:color="auto" w:fill="FFFFFF" w:themeFill="background1"/>
            <w:vAlign w:val="center"/>
            <w:hideMark/>
          </w:tcPr>
          <w:p w14:paraId="43B2D66A" w14:textId="77777777" w:rsidR="00730639" w:rsidRPr="00CE47BF" w:rsidRDefault="00730639" w:rsidP="00E94C66">
            <w:pPr>
              <w:spacing w:before="0" w:line="240" w:lineRule="auto"/>
              <w:jc w:val="left"/>
              <w:rPr>
                <w:rFonts w:cs="Calibri"/>
                <w:b w:val="0"/>
                <w:sz w:val="20"/>
                <w:szCs w:val="20"/>
                <w:lang w:val="en-US" w:eastAsia="en-US"/>
              </w:rPr>
            </w:pPr>
          </w:p>
        </w:tc>
        <w:tc>
          <w:tcPr>
            <w:tcW w:w="3340" w:type="dxa"/>
            <w:shd w:val="clear" w:color="auto" w:fill="FFFFFF" w:themeFill="background1"/>
            <w:vAlign w:val="center"/>
            <w:hideMark/>
          </w:tcPr>
          <w:p w14:paraId="3ED88390"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133C0A1A" w14:textId="77777777" w:rsidR="00730639" w:rsidRPr="00CE47BF" w:rsidRDefault="00730639" w:rsidP="00E94C66">
            <w:pPr>
              <w:spacing w:before="0" w:line="240" w:lineRule="auto"/>
              <w:jc w:val="right"/>
              <w:rPr>
                <w:rFonts w:ascii="Calibri" w:hAnsi="Calibri" w:cs="Calibri"/>
                <w:b w:val="0"/>
                <w:sz w:val="20"/>
                <w:szCs w:val="20"/>
                <w:lang w:val="en-US" w:eastAsia="en-US"/>
              </w:rPr>
            </w:pPr>
            <w:r w:rsidRPr="00CE47BF">
              <w:rPr>
                <w:rFonts w:ascii="Calibri" w:hAnsi="Calibri" w:cs="Calibri"/>
                <w:b w:val="0"/>
                <w:sz w:val="20"/>
                <w:szCs w:val="20"/>
                <w:lang w:val="en-US" w:eastAsia="en-US"/>
              </w:rPr>
              <w:t> </w:t>
            </w:r>
          </w:p>
        </w:tc>
        <w:tc>
          <w:tcPr>
            <w:tcW w:w="1240" w:type="dxa"/>
            <w:shd w:val="clear" w:color="auto" w:fill="FFFFFF" w:themeFill="background1"/>
            <w:vAlign w:val="center"/>
            <w:hideMark/>
          </w:tcPr>
          <w:p w14:paraId="015C324F"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24.48%</w:t>
            </w:r>
          </w:p>
        </w:tc>
        <w:tc>
          <w:tcPr>
            <w:tcW w:w="1260" w:type="dxa"/>
            <w:shd w:val="clear" w:color="auto" w:fill="FFFFFF" w:themeFill="background1"/>
            <w:vAlign w:val="center"/>
            <w:hideMark/>
          </w:tcPr>
          <w:p w14:paraId="4902B047"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25.11%</w:t>
            </w:r>
          </w:p>
        </w:tc>
      </w:tr>
      <w:tr w:rsidR="00730639" w:rsidRPr="00CE47BF" w14:paraId="7E31B4C7" w14:textId="77777777" w:rsidTr="00E94C66">
        <w:trPr>
          <w:trHeight w:val="345"/>
        </w:trPr>
        <w:tc>
          <w:tcPr>
            <w:tcW w:w="1280" w:type="dxa"/>
            <w:vMerge/>
            <w:shd w:val="clear" w:color="auto" w:fill="FFFFFF" w:themeFill="background1"/>
            <w:vAlign w:val="center"/>
            <w:hideMark/>
          </w:tcPr>
          <w:p w14:paraId="103EC65C" w14:textId="77777777" w:rsidR="00730639" w:rsidRPr="00CE47BF" w:rsidRDefault="00730639" w:rsidP="00E94C66">
            <w:pPr>
              <w:spacing w:before="0" w:line="240" w:lineRule="auto"/>
              <w:jc w:val="left"/>
              <w:rPr>
                <w:rFonts w:cs="Calibri"/>
                <w:b w:val="0"/>
                <w:sz w:val="20"/>
                <w:szCs w:val="20"/>
                <w:lang w:val="en-US" w:eastAsia="en-US"/>
              </w:rPr>
            </w:pPr>
          </w:p>
        </w:tc>
        <w:tc>
          <w:tcPr>
            <w:tcW w:w="3340" w:type="dxa"/>
            <w:shd w:val="clear" w:color="auto" w:fill="FFFFFF" w:themeFill="background1"/>
            <w:noWrap/>
            <w:vAlign w:val="center"/>
            <w:hideMark/>
          </w:tcPr>
          <w:p w14:paraId="534C6A26" w14:textId="77777777" w:rsidR="00730639" w:rsidRPr="00CE47BF" w:rsidRDefault="00730639" w:rsidP="00E94C66">
            <w:pPr>
              <w:spacing w:before="0" w:line="240" w:lineRule="auto"/>
              <w:jc w:val="left"/>
              <w:rPr>
                <w:rFonts w:cs="Calibri"/>
                <w:b w:val="0"/>
                <w:sz w:val="20"/>
                <w:szCs w:val="20"/>
                <w:lang w:val="en-US" w:eastAsia="en-US"/>
              </w:rPr>
            </w:pPr>
            <w:r w:rsidRPr="00CE47BF">
              <w:rPr>
                <w:rFonts w:cs="Calibri"/>
                <w:b w:val="0"/>
                <w:sz w:val="20"/>
                <w:szCs w:val="20"/>
                <w:lang w:val="en-US" w:eastAsia="en-US"/>
              </w:rPr>
              <w:t>2024թ. Պետական բյուջե</w:t>
            </w:r>
          </w:p>
        </w:tc>
        <w:tc>
          <w:tcPr>
            <w:tcW w:w="1120" w:type="dxa"/>
            <w:shd w:val="clear" w:color="auto" w:fill="FFFFFF" w:themeFill="background1"/>
            <w:vAlign w:val="center"/>
            <w:hideMark/>
          </w:tcPr>
          <w:p w14:paraId="35910C85" w14:textId="77777777" w:rsidR="00730639" w:rsidRPr="00CE47BF" w:rsidRDefault="00730639" w:rsidP="00E94C66">
            <w:pPr>
              <w:spacing w:before="0" w:line="240" w:lineRule="auto"/>
              <w:jc w:val="right"/>
              <w:rPr>
                <w:rFonts w:ascii="Calibri" w:hAnsi="Calibri" w:cs="Calibri"/>
                <w:b w:val="0"/>
                <w:sz w:val="20"/>
                <w:szCs w:val="20"/>
                <w:lang w:val="en-US" w:eastAsia="en-US"/>
              </w:rPr>
            </w:pPr>
            <w:r w:rsidRPr="00CE47BF">
              <w:rPr>
                <w:rFonts w:ascii="Calibri" w:hAnsi="Calibri" w:cs="Calibri"/>
                <w:b w:val="0"/>
                <w:sz w:val="20"/>
                <w:szCs w:val="20"/>
                <w:lang w:val="en-US" w:eastAsia="en-US"/>
              </w:rPr>
              <w:t> </w:t>
            </w:r>
          </w:p>
        </w:tc>
        <w:tc>
          <w:tcPr>
            <w:tcW w:w="1240" w:type="dxa"/>
            <w:shd w:val="clear" w:color="auto" w:fill="FFFFFF" w:themeFill="background1"/>
            <w:vAlign w:val="center"/>
            <w:hideMark/>
          </w:tcPr>
          <w:p w14:paraId="189A268E"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2,408.1</w:t>
            </w:r>
          </w:p>
        </w:tc>
        <w:tc>
          <w:tcPr>
            <w:tcW w:w="1260" w:type="dxa"/>
            <w:shd w:val="clear" w:color="auto" w:fill="FFFFFF" w:themeFill="background1"/>
            <w:vAlign w:val="center"/>
            <w:hideMark/>
          </w:tcPr>
          <w:p w14:paraId="6CC5E010"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2,723.6</w:t>
            </w:r>
          </w:p>
        </w:tc>
      </w:tr>
      <w:tr w:rsidR="00730639" w:rsidRPr="00CE47BF" w14:paraId="3A091563" w14:textId="77777777" w:rsidTr="00E94C66">
        <w:trPr>
          <w:trHeight w:val="345"/>
        </w:trPr>
        <w:tc>
          <w:tcPr>
            <w:tcW w:w="1280" w:type="dxa"/>
            <w:vMerge/>
            <w:shd w:val="clear" w:color="auto" w:fill="FFFFFF" w:themeFill="background1"/>
            <w:vAlign w:val="center"/>
            <w:hideMark/>
          </w:tcPr>
          <w:p w14:paraId="53F136F2" w14:textId="77777777" w:rsidR="00730639" w:rsidRPr="00CE47BF" w:rsidRDefault="00730639" w:rsidP="00E94C66">
            <w:pPr>
              <w:spacing w:before="0" w:line="240" w:lineRule="auto"/>
              <w:jc w:val="left"/>
              <w:rPr>
                <w:rFonts w:cs="Calibri"/>
                <w:b w:val="0"/>
                <w:sz w:val="20"/>
                <w:szCs w:val="20"/>
                <w:lang w:val="en-US" w:eastAsia="en-US"/>
              </w:rPr>
            </w:pPr>
          </w:p>
        </w:tc>
        <w:tc>
          <w:tcPr>
            <w:tcW w:w="3340" w:type="dxa"/>
            <w:shd w:val="clear" w:color="auto" w:fill="FFFFFF" w:themeFill="background1"/>
            <w:vAlign w:val="center"/>
            <w:hideMark/>
          </w:tcPr>
          <w:p w14:paraId="67D5B71B"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0CDE74CF" w14:textId="77777777" w:rsidR="00730639" w:rsidRPr="00CE47BF" w:rsidRDefault="00730639" w:rsidP="00E94C66">
            <w:pPr>
              <w:spacing w:before="0" w:line="240" w:lineRule="auto"/>
              <w:jc w:val="right"/>
              <w:rPr>
                <w:rFonts w:ascii="Calibri" w:hAnsi="Calibri" w:cs="Calibri"/>
                <w:b w:val="0"/>
                <w:sz w:val="20"/>
                <w:szCs w:val="20"/>
                <w:lang w:val="en-US" w:eastAsia="en-US"/>
              </w:rPr>
            </w:pPr>
            <w:r w:rsidRPr="00CE47BF">
              <w:rPr>
                <w:rFonts w:ascii="Calibri" w:hAnsi="Calibri" w:cs="Calibri"/>
                <w:b w:val="0"/>
                <w:sz w:val="20"/>
                <w:szCs w:val="20"/>
                <w:lang w:val="en-US" w:eastAsia="en-US"/>
              </w:rPr>
              <w:t> </w:t>
            </w:r>
          </w:p>
        </w:tc>
        <w:tc>
          <w:tcPr>
            <w:tcW w:w="1240" w:type="dxa"/>
            <w:shd w:val="clear" w:color="auto" w:fill="FFFFFF" w:themeFill="background1"/>
            <w:vAlign w:val="center"/>
            <w:hideMark/>
          </w:tcPr>
          <w:p w14:paraId="4D33CF30"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25.48%</w:t>
            </w:r>
          </w:p>
        </w:tc>
        <w:tc>
          <w:tcPr>
            <w:tcW w:w="1260" w:type="dxa"/>
            <w:shd w:val="clear" w:color="auto" w:fill="FFFFFF" w:themeFill="background1"/>
            <w:vAlign w:val="center"/>
            <w:hideMark/>
          </w:tcPr>
          <w:p w14:paraId="57A041CC"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25.90%</w:t>
            </w:r>
          </w:p>
        </w:tc>
      </w:tr>
    </w:tbl>
    <w:p w14:paraId="09864E7C" w14:textId="77777777" w:rsidR="00730639" w:rsidRPr="00654AEF" w:rsidRDefault="00730639" w:rsidP="00730639">
      <w:pPr>
        <w:spacing w:before="0"/>
        <w:ind w:left="360" w:hanging="360"/>
        <w:rPr>
          <w:rFonts w:eastAsia="Calibri"/>
          <w:bCs/>
          <w:i/>
          <w:iCs/>
          <w:color w:val="000000"/>
          <w:sz w:val="20"/>
          <w:szCs w:val="20"/>
          <w:lang w:val="hy-AM" w:eastAsia="en-US"/>
        </w:rPr>
      </w:pPr>
    </w:p>
    <w:p w14:paraId="007DA485" w14:textId="77777777" w:rsidR="00730639" w:rsidRPr="00654AEF" w:rsidRDefault="00730639" w:rsidP="00730639">
      <w:pPr>
        <w:spacing w:before="0"/>
        <w:ind w:left="360" w:hanging="360"/>
        <w:rPr>
          <w:rFonts w:eastAsia="Calibri"/>
          <w:bCs/>
          <w:i/>
          <w:iCs/>
          <w:color w:val="000000"/>
          <w:sz w:val="20"/>
          <w:szCs w:val="20"/>
          <w:lang w:val="hy-AM" w:eastAsia="en-US"/>
        </w:rPr>
      </w:pPr>
    </w:p>
    <w:p w14:paraId="6F1D4201" w14:textId="77777777" w:rsidR="00730639" w:rsidRDefault="00730639" w:rsidP="00730639">
      <w:pPr>
        <w:spacing w:before="0" w:line="259" w:lineRule="auto"/>
        <w:rPr>
          <w:rFonts w:eastAsia="Calibri" w:cs="Sylfaen"/>
          <w:b w:val="0"/>
          <w:bCs/>
          <w:i/>
          <w:iCs/>
          <w:color w:val="000000"/>
          <w:sz w:val="20"/>
          <w:szCs w:val="20"/>
          <w:lang w:val="hy-AM" w:eastAsia="en-US"/>
        </w:rPr>
      </w:pPr>
      <w:r w:rsidRPr="00654AEF">
        <w:rPr>
          <w:rFonts w:eastAsia="Calibri"/>
          <w:bCs/>
          <w:i/>
          <w:iCs/>
          <w:color w:val="000000"/>
          <w:sz w:val="20"/>
          <w:szCs w:val="20"/>
          <w:lang w:val="hy-AM" w:eastAsia="en-US"/>
        </w:rPr>
        <w:lastRenderedPageBreak/>
        <w:t>Աղյուսակ 2.5.2.</w:t>
      </w:r>
      <w:r w:rsidRPr="00654AEF">
        <w:rPr>
          <w:rFonts w:eastAsia="Calibri"/>
          <w:bCs/>
          <w:i/>
          <w:iCs/>
          <w:sz w:val="20"/>
          <w:szCs w:val="20"/>
          <w:lang w:val="hy-AM" w:eastAsia="en-US"/>
        </w:rPr>
        <w:t xml:space="preserve"> </w:t>
      </w:r>
      <w:r w:rsidRPr="00654AEF">
        <w:rPr>
          <w:rFonts w:eastAsia="Calibri" w:cs="Sylfaen"/>
          <w:b w:val="0"/>
          <w:bCs/>
          <w:i/>
          <w:iCs/>
          <w:color w:val="000000"/>
          <w:sz w:val="20"/>
          <w:szCs w:val="20"/>
          <w:lang w:val="hy-AM" w:eastAsia="en-US"/>
        </w:rPr>
        <w:t>Պետական բյուջեի հարկային եկամուտների կանխատեսումների համեմատական աղյուսակը (մլրդ դրամ)</w:t>
      </w:r>
    </w:p>
    <w:tbl>
      <w:tblPr>
        <w:tblW w:w="7980" w:type="dxa"/>
        <w:tblBorders>
          <w:top w:val="single" w:sz="4" w:space="0" w:color="auto"/>
          <w:bottom w:val="single" w:sz="4" w:space="0" w:color="auto"/>
          <w:insideH w:val="single" w:sz="4" w:space="0" w:color="auto"/>
        </w:tblBorders>
        <w:shd w:val="clear" w:color="auto" w:fill="FFFFFF" w:themeFill="background1"/>
        <w:tblLook w:val="04A0" w:firstRow="1" w:lastRow="0" w:firstColumn="1" w:lastColumn="0" w:noHBand="0" w:noVBand="1"/>
      </w:tblPr>
      <w:tblGrid>
        <w:gridCol w:w="1280"/>
        <w:gridCol w:w="3340"/>
        <w:gridCol w:w="1120"/>
        <w:gridCol w:w="1120"/>
        <w:gridCol w:w="1120"/>
      </w:tblGrid>
      <w:tr w:rsidR="00730639" w:rsidRPr="00CE47BF" w14:paraId="35FECC39" w14:textId="77777777" w:rsidTr="00E94C66">
        <w:trPr>
          <w:trHeight w:val="675"/>
        </w:trPr>
        <w:tc>
          <w:tcPr>
            <w:tcW w:w="1280" w:type="dxa"/>
            <w:shd w:val="clear" w:color="auto" w:fill="FFFFFF" w:themeFill="background1"/>
            <w:vAlign w:val="center"/>
            <w:hideMark/>
          </w:tcPr>
          <w:p w14:paraId="507A0957" w14:textId="77777777" w:rsidR="00730639" w:rsidRPr="00CE47BF" w:rsidRDefault="00730639" w:rsidP="00E94C66">
            <w:pPr>
              <w:spacing w:before="0" w:line="240" w:lineRule="auto"/>
              <w:jc w:val="center"/>
              <w:rPr>
                <w:rFonts w:cs="Calibri"/>
                <w:b w:val="0"/>
                <w:sz w:val="20"/>
                <w:szCs w:val="20"/>
                <w:lang w:val="en-US" w:eastAsia="en-US"/>
              </w:rPr>
            </w:pPr>
            <w:r w:rsidRPr="00CE47BF">
              <w:rPr>
                <w:rFonts w:cs="Calibri"/>
                <w:b w:val="0"/>
                <w:sz w:val="20"/>
                <w:szCs w:val="20"/>
                <w:lang w:val="en-US" w:eastAsia="en-US"/>
              </w:rPr>
              <w:t>Ընդունման տարին</w:t>
            </w:r>
          </w:p>
        </w:tc>
        <w:tc>
          <w:tcPr>
            <w:tcW w:w="3340" w:type="dxa"/>
            <w:shd w:val="clear" w:color="auto" w:fill="FFFFFF" w:themeFill="background1"/>
            <w:vAlign w:val="center"/>
            <w:hideMark/>
          </w:tcPr>
          <w:p w14:paraId="74C5200D" w14:textId="77777777" w:rsidR="00730639" w:rsidRPr="00CE47BF" w:rsidRDefault="00730639" w:rsidP="00E94C66">
            <w:pPr>
              <w:spacing w:before="0" w:line="240" w:lineRule="auto"/>
              <w:jc w:val="center"/>
              <w:rPr>
                <w:rFonts w:cs="Calibri"/>
                <w:b w:val="0"/>
                <w:sz w:val="20"/>
                <w:szCs w:val="20"/>
                <w:lang w:val="en-US" w:eastAsia="en-US"/>
              </w:rPr>
            </w:pPr>
            <w:r w:rsidRPr="00CE47BF">
              <w:rPr>
                <w:rFonts w:cs="Calibri"/>
                <w:b w:val="0"/>
                <w:sz w:val="20"/>
                <w:szCs w:val="20"/>
                <w:lang w:val="en-US" w:eastAsia="en-US"/>
              </w:rPr>
              <w:t>Ծրագիր</w:t>
            </w:r>
          </w:p>
        </w:tc>
        <w:tc>
          <w:tcPr>
            <w:tcW w:w="1120" w:type="dxa"/>
            <w:shd w:val="clear" w:color="auto" w:fill="FFFFFF" w:themeFill="background1"/>
            <w:vAlign w:val="center"/>
            <w:hideMark/>
          </w:tcPr>
          <w:p w14:paraId="496B7D92" w14:textId="77777777" w:rsidR="00730639" w:rsidRPr="00CE47BF" w:rsidRDefault="00730639" w:rsidP="00E94C66">
            <w:pPr>
              <w:spacing w:before="0" w:line="240" w:lineRule="auto"/>
              <w:jc w:val="center"/>
              <w:rPr>
                <w:rFonts w:cs="Calibri"/>
                <w:b w:val="0"/>
                <w:sz w:val="20"/>
                <w:szCs w:val="20"/>
                <w:lang w:val="en-US" w:eastAsia="en-US"/>
              </w:rPr>
            </w:pPr>
            <w:r w:rsidRPr="00CE47BF">
              <w:rPr>
                <w:rFonts w:cs="Calibri"/>
                <w:b w:val="0"/>
                <w:sz w:val="20"/>
                <w:szCs w:val="20"/>
                <w:lang w:val="en-US" w:eastAsia="en-US"/>
              </w:rPr>
              <w:t>2022</w:t>
            </w:r>
          </w:p>
        </w:tc>
        <w:tc>
          <w:tcPr>
            <w:tcW w:w="1120" w:type="dxa"/>
            <w:shd w:val="clear" w:color="auto" w:fill="FFFFFF" w:themeFill="background1"/>
            <w:vAlign w:val="center"/>
            <w:hideMark/>
          </w:tcPr>
          <w:p w14:paraId="3BBD24C7" w14:textId="77777777" w:rsidR="00730639" w:rsidRPr="00CE47BF" w:rsidRDefault="00730639" w:rsidP="00E94C66">
            <w:pPr>
              <w:spacing w:before="0" w:line="240" w:lineRule="auto"/>
              <w:jc w:val="center"/>
              <w:rPr>
                <w:rFonts w:cs="Calibri"/>
                <w:b w:val="0"/>
                <w:sz w:val="20"/>
                <w:szCs w:val="20"/>
                <w:lang w:val="en-US" w:eastAsia="en-US"/>
              </w:rPr>
            </w:pPr>
            <w:r w:rsidRPr="00CE47BF">
              <w:rPr>
                <w:rFonts w:cs="Calibri"/>
                <w:b w:val="0"/>
                <w:sz w:val="20"/>
                <w:szCs w:val="20"/>
                <w:lang w:val="en-US" w:eastAsia="en-US"/>
              </w:rPr>
              <w:t>2023</w:t>
            </w:r>
          </w:p>
        </w:tc>
        <w:tc>
          <w:tcPr>
            <w:tcW w:w="1120" w:type="dxa"/>
            <w:shd w:val="clear" w:color="auto" w:fill="FFFFFF" w:themeFill="background1"/>
            <w:vAlign w:val="center"/>
            <w:hideMark/>
          </w:tcPr>
          <w:p w14:paraId="6238BEDB" w14:textId="77777777" w:rsidR="00730639" w:rsidRPr="00CE47BF" w:rsidRDefault="00730639" w:rsidP="00E94C66">
            <w:pPr>
              <w:spacing w:before="0" w:line="240" w:lineRule="auto"/>
              <w:jc w:val="center"/>
              <w:rPr>
                <w:rFonts w:cs="Calibri"/>
                <w:b w:val="0"/>
                <w:sz w:val="20"/>
                <w:szCs w:val="20"/>
                <w:lang w:val="en-US" w:eastAsia="en-US"/>
              </w:rPr>
            </w:pPr>
            <w:r w:rsidRPr="00CE47BF">
              <w:rPr>
                <w:rFonts w:cs="Calibri"/>
                <w:b w:val="0"/>
                <w:sz w:val="20"/>
                <w:szCs w:val="20"/>
                <w:lang w:val="en-US" w:eastAsia="en-US"/>
              </w:rPr>
              <w:t>2024</w:t>
            </w:r>
          </w:p>
        </w:tc>
      </w:tr>
      <w:tr w:rsidR="00730639" w:rsidRPr="00CE47BF" w14:paraId="72DAD25F" w14:textId="77777777" w:rsidTr="00E94C66">
        <w:trPr>
          <w:trHeight w:val="345"/>
        </w:trPr>
        <w:tc>
          <w:tcPr>
            <w:tcW w:w="1280" w:type="dxa"/>
            <w:vMerge w:val="restart"/>
            <w:shd w:val="clear" w:color="auto" w:fill="FFFFFF" w:themeFill="background1"/>
            <w:vAlign w:val="center"/>
            <w:hideMark/>
          </w:tcPr>
          <w:p w14:paraId="0AED796E" w14:textId="77777777" w:rsidR="00730639" w:rsidRPr="00CE47BF" w:rsidRDefault="00730639" w:rsidP="00E94C66">
            <w:pPr>
              <w:spacing w:before="0" w:line="240" w:lineRule="auto"/>
              <w:jc w:val="center"/>
              <w:rPr>
                <w:rFonts w:cs="Calibri"/>
                <w:b w:val="0"/>
                <w:sz w:val="20"/>
                <w:szCs w:val="20"/>
                <w:lang w:val="en-US" w:eastAsia="en-US"/>
              </w:rPr>
            </w:pPr>
            <w:r w:rsidRPr="00CE47BF">
              <w:rPr>
                <w:rFonts w:cs="Calibri"/>
                <w:b w:val="0"/>
                <w:sz w:val="20"/>
                <w:szCs w:val="20"/>
                <w:lang w:val="en-US" w:eastAsia="en-US"/>
              </w:rPr>
              <w:t>-</w:t>
            </w:r>
          </w:p>
        </w:tc>
        <w:tc>
          <w:tcPr>
            <w:tcW w:w="3340" w:type="dxa"/>
            <w:shd w:val="clear" w:color="auto" w:fill="FFFFFF" w:themeFill="background1"/>
            <w:noWrap/>
            <w:vAlign w:val="center"/>
            <w:hideMark/>
          </w:tcPr>
          <w:p w14:paraId="535838D1" w14:textId="77777777" w:rsidR="00730639" w:rsidRPr="00CE47BF" w:rsidRDefault="00730639" w:rsidP="00E94C66">
            <w:pPr>
              <w:spacing w:before="0" w:line="240" w:lineRule="auto"/>
              <w:rPr>
                <w:rFonts w:cs="Calibri"/>
                <w:b w:val="0"/>
                <w:sz w:val="20"/>
                <w:szCs w:val="20"/>
                <w:lang w:val="en-US" w:eastAsia="en-US"/>
              </w:rPr>
            </w:pPr>
            <w:r w:rsidRPr="00CE47BF">
              <w:rPr>
                <w:rFonts w:cs="Calibri"/>
                <w:b w:val="0"/>
                <w:sz w:val="20"/>
                <w:szCs w:val="20"/>
                <w:lang w:val="en-US" w:eastAsia="en-US"/>
              </w:rPr>
              <w:t>Փաստացի</w:t>
            </w:r>
          </w:p>
        </w:tc>
        <w:tc>
          <w:tcPr>
            <w:tcW w:w="1120" w:type="dxa"/>
            <w:shd w:val="clear" w:color="auto" w:fill="FFFFFF" w:themeFill="background1"/>
            <w:vAlign w:val="center"/>
            <w:hideMark/>
          </w:tcPr>
          <w:p w14:paraId="7A888B2E"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1,926.0</w:t>
            </w:r>
          </w:p>
        </w:tc>
        <w:tc>
          <w:tcPr>
            <w:tcW w:w="1120" w:type="dxa"/>
            <w:shd w:val="clear" w:color="auto" w:fill="FFFFFF" w:themeFill="background1"/>
            <w:noWrap/>
            <w:vAlign w:val="center"/>
            <w:hideMark/>
          </w:tcPr>
          <w:p w14:paraId="63505B12" w14:textId="77777777" w:rsidR="00730639" w:rsidRPr="00CE47BF" w:rsidRDefault="00730639" w:rsidP="00E94C66">
            <w:pPr>
              <w:spacing w:before="0" w:line="240" w:lineRule="auto"/>
              <w:jc w:val="right"/>
              <w:rPr>
                <w:rFonts w:ascii="Calibri" w:hAnsi="Calibri" w:cs="Calibri"/>
                <w:b w:val="0"/>
                <w:sz w:val="20"/>
                <w:szCs w:val="20"/>
                <w:lang w:val="en-US" w:eastAsia="en-US"/>
              </w:rPr>
            </w:pPr>
            <w:r w:rsidRPr="00CE47BF">
              <w:rPr>
                <w:rFonts w:ascii="Calibri" w:hAnsi="Calibri" w:cs="Calibri"/>
                <w:b w:val="0"/>
                <w:sz w:val="20"/>
                <w:szCs w:val="20"/>
                <w:lang w:val="en-US" w:eastAsia="en-US"/>
              </w:rPr>
              <w:t> </w:t>
            </w:r>
          </w:p>
        </w:tc>
        <w:tc>
          <w:tcPr>
            <w:tcW w:w="1120" w:type="dxa"/>
            <w:shd w:val="clear" w:color="auto" w:fill="FFFFFF" w:themeFill="background1"/>
            <w:noWrap/>
            <w:vAlign w:val="center"/>
            <w:hideMark/>
          </w:tcPr>
          <w:p w14:paraId="1CC2A904" w14:textId="77777777" w:rsidR="00730639" w:rsidRPr="00CE47BF" w:rsidRDefault="00730639" w:rsidP="00E94C66">
            <w:pPr>
              <w:spacing w:before="0" w:line="240" w:lineRule="auto"/>
              <w:jc w:val="right"/>
              <w:rPr>
                <w:rFonts w:ascii="Calibri" w:hAnsi="Calibri" w:cs="Calibri"/>
                <w:b w:val="0"/>
                <w:sz w:val="20"/>
                <w:szCs w:val="20"/>
                <w:lang w:val="en-US" w:eastAsia="en-US"/>
              </w:rPr>
            </w:pPr>
            <w:r w:rsidRPr="00CE47BF">
              <w:rPr>
                <w:rFonts w:ascii="Calibri" w:hAnsi="Calibri" w:cs="Calibri"/>
                <w:b w:val="0"/>
                <w:sz w:val="20"/>
                <w:szCs w:val="20"/>
                <w:lang w:val="en-US" w:eastAsia="en-US"/>
              </w:rPr>
              <w:t> </w:t>
            </w:r>
          </w:p>
        </w:tc>
      </w:tr>
      <w:tr w:rsidR="00730639" w:rsidRPr="00CE47BF" w14:paraId="611FA2BC" w14:textId="77777777" w:rsidTr="00E94C66">
        <w:trPr>
          <w:trHeight w:val="345"/>
        </w:trPr>
        <w:tc>
          <w:tcPr>
            <w:tcW w:w="1280" w:type="dxa"/>
            <w:vMerge/>
            <w:shd w:val="clear" w:color="auto" w:fill="FFFFFF" w:themeFill="background1"/>
            <w:vAlign w:val="center"/>
            <w:hideMark/>
          </w:tcPr>
          <w:p w14:paraId="4FC57122" w14:textId="77777777" w:rsidR="00730639" w:rsidRPr="00CE47BF" w:rsidRDefault="00730639" w:rsidP="00E94C66">
            <w:pPr>
              <w:spacing w:before="0" w:line="240" w:lineRule="auto"/>
              <w:jc w:val="left"/>
              <w:rPr>
                <w:rFonts w:cs="Calibri"/>
                <w:b w:val="0"/>
                <w:sz w:val="20"/>
                <w:szCs w:val="20"/>
                <w:lang w:val="en-US" w:eastAsia="en-US"/>
              </w:rPr>
            </w:pPr>
          </w:p>
        </w:tc>
        <w:tc>
          <w:tcPr>
            <w:tcW w:w="3340" w:type="dxa"/>
            <w:shd w:val="clear" w:color="auto" w:fill="FFFFFF" w:themeFill="background1"/>
            <w:noWrap/>
            <w:vAlign w:val="center"/>
            <w:hideMark/>
          </w:tcPr>
          <w:p w14:paraId="64921179"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52B52CEB"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22.65%</w:t>
            </w:r>
          </w:p>
        </w:tc>
        <w:tc>
          <w:tcPr>
            <w:tcW w:w="1120" w:type="dxa"/>
            <w:shd w:val="clear" w:color="auto" w:fill="FFFFFF" w:themeFill="background1"/>
            <w:noWrap/>
            <w:vAlign w:val="center"/>
            <w:hideMark/>
          </w:tcPr>
          <w:p w14:paraId="0B8904AC" w14:textId="77777777" w:rsidR="00730639" w:rsidRPr="00CE47BF" w:rsidRDefault="00730639" w:rsidP="00E94C66">
            <w:pPr>
              <w:spacing w:before="0" w:line="240" w:lineRule="auto"/>
              <w:jc w:val="right"/>
              <w:rPr>
                <w:rFonts w:ascii="Calibri" w:hAnsi="Calibri" w:cs="Calibri"/>
                <w:b w:val="0"/>
                <w:sz w:val="20"/>
                <w:szCs w:val="20"/>
                <w:lang w:val="en-US" w:eastAsia="en-US"/>
              </w:rPr>
            </w:pPr>
            <w:r w:rsidRPr="00CE47BF">
              <w:rPr>
                <w:rFonts w:ascii="Calibri" w:hAnsi="Calibri" w:cs="Calibri"/>
                <w:b w:val="0"/>
                <w:sz w:val="20"/>
                <w:szCs w:val="20"/>
                <w:lang w:val="en-US" w:eastAsia="en-US"/>
              </w:rPr>
              <w:t> </w:t>
            </w:r>
          </w:p>
        </w:tc>
        <w:tc>
          <w:tcPr>
            <w:tcW w:w="1120" w:type="dxa"/>
            <w:shd w:val="clear" w:color="auto" w:fill="FFFFFF" w:themeFill="background1"/>
            <w:noWrap/>
            <w:vAlign w:val="center"/>
            <w:hideMark/>
          </w:tcPr>
          <w:p w14:paraId="2284F109" w14:textId="77777777" w:rsidR="00730639" w:rsidRPr="00CE47BF" w:rsidRDefault="00730639" w:rsidP="00E94C66">
            <w:pPr>
              <w:spacing w:before="0" w:line="240" w:lineRule="auto"/>
              <w:jc w:val="right"/>
              <w:rPr>
                <w:rFonts w:ascii="Calibri" w:hAnsi="Calibri" w:cs="Calibri"/>
                <w:b w:val="0"/>
                <w:sz w:val="20"/>
                <w:szCs w:val="20"/>
                <w:lang w:val="en-US" w:eastAsia="en-US"/>
              </w:rPr>
            </w:pPr>
            <w:r w:rsidRPr="00CE47BF">
              <w:rPr>
                <w:rFonts w:ascii="Calibri" w:hAnsi="Calibri" w:cs="Calibri"/>
                <w:b w:val="0"/>
                <w:sz w:val="20"/>
                <w:szCs w:val="20"/>
                <w:lang w:val="en-US" w:eastAsia="en-US"/>
              </w:rPr>
              <w:t> </w:t>
            </w:r>
          </w:p>
        </w:tc>
      </w:tr>
      <w:tr w:rsidR="00730639" w:rsidRPr="00CE47BF" w14:paraId="1AC94E6F" w14:textId="77777777" w:rsidTr="00E94C66">
        <w:trPr>
          <w:trHeight w:val="345"/>
        </w:trPr>
        <w:tc>
          <w:tcPr>
            <w:tcW w:w="1280" w:type="dxa"/>
            <w:vMerge w:val="restart"/>
            <w:shd w:val="clear" w:color="auto" w:fill="FFFFFF" w:themeFill="background1"/>
            <w:vAlign w:val="center"/>
            <w:hideMark/>
          </w:tcPr>
          <w:p w14:paraId="15B2F68B" w14:textId="77777777" w:rsidR="00730639" w:rsidRPr="00CE47BF" w:rsidRDefault="00730639" w:rsidP="00E94C66">
            <w:pPr>
              <w:spacing w:before="0" w:line="240" w:lineRule="auto"/>
              <w:jc w:val="center"/>
              <w:rPr>
                <w:rFonts w:cs="Calibri"/>
                <w:b w:val="0"/>
                <w:sz w:val="20"/>
                <w:szCs w:val="20"/>
                <w:lang w:val="en-US" w:eastAsia="en-US"/>
              </w:rPr>
            </w:pPr>
            <w:r w:rsidRPr="00CE47BF">
              <w:rPr>
                <w:rFonts w:cs="Calibri"/>
                <w:b w:val="0"/>
                <w:sz w:val="20"/>
                <w:szCs w:val="20"/>
                <w:lang w:val="en-US" w:eastAsia="en-US"/>
              </w:rPr>
              <w:t>2021</w:t>
            </w:r>
          </w:p>
        </w:tc>
        <w:tc>
          <w:tcPr>
            <w:tcW w:w="3340" w:type="dxa"/>
            <w:shd w:val="clear" w:color="auto" w:fill="FFFFFF" w:themeFill="background1"/>
            <w:noWrap/>
            <w:vAlign w:val="center"/>
            <w:hideMark/>
          </w:tcPr>
          <w:p w14:paraId="0DA8E9B9" w14:textId="77777777" w:rsidR="00730639" w:rsidRPr="00CE47BF" w:rsidRDefault="00730639" w:rsidP="00E94C66">
            <w:pPr>
              <w:spacing w:before="0" w:line="240" w:lineRule="auto"/>
              <w:jc w:val="left"/>
              <w:rPr>
                <w:rFonts w:cs="Calibri"/>
                <w:b w:val="0"/>
                <w:sz w:val="20"/>
                <w:szCs w:val="20"/>
                <w:lang w:val="en-US" w:eastAsia="en-US"/>
              </w:rPr>
            </w:pPr>
            <w:r w:rsidRPr="00CE47BF">
              <w:rPr>
                <w:rFonts w:cs="Calibri"/>
                <w:b w:val="0"/>
                <w:sz w:val="20"/>
                <w:szCs w:val="20"/>
                <w:lang w:val="en-US" w:eastAsia="en-US"/>
              </w:rPr>
              <w:t xml:space="preserve"> ՄԺԾԾ 2022-2024</w:t>
            </w:r>
          </w:p>
        </w:tc>
        <w:tc>
          <w:tcPr>
            <w:tcW w:w="1120" w:type="dxa"/>
            <w:shd w:val="clear" w:color="auto" w:fill="FFFFFF" w:themeFill="background1"/>
            <w:vAlign w:val="center"/>
            <w:hideMark/>
          </w:tcPr>
          <w:p w14:paraId="241B0CAA"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1,733.5</w:t>
            </w:r>
          </w:p>
        </w:tc>
        <w:tc>
          <w:tcPr>
            <w:tcW w:w="1120" w:type="dxa"/>
            <w:shd w:val="clear" w:color="auto" w:fill="FFFFFF" w:themeFill="background1"/>
            <w:vAlign w:val="center"/>
            <w:hideMark/>
          </w:tcPr>
          <w:p w14:paraId="3CC1A0E9"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1,889.9</w:t>
            </w:r>
          </w:p>
        </w:tc>
        <w:tc>
          <w:tcPr>
            <w:tcW w:w="1120" w:type="dxa"/>
            <w:shd w:val="clear" w:color="auto" w:fill="FFFFFF" w:themeFill="background1"/>
            <w:vAlign w:val="center"/>
            <w:hideMark/>
          </w:tcPr>
          <w:p w14:paraId="6B46EB99"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2,084.0</w:t>
            </w:r>
          </w:p>
        </w:tc>
      </w:tr>
      <w:tr w:rsidR="00730639" w:rsidRPr="00CE47BF" w14:paraId="447A9E2E" w14:textId="77777777" w:rsidTr="00E94C66">
        <w:trPr>
          <w:trHeight w:val="345"/>
        </w:trPr>
        <w:tc>
          <w:tcPr>
            <w:tcW w:w="1280" w:type="dxa"/>
            <w:vMerge/>
            <w:shd w:val="clear" w:color="auto" w:fill="FFFFFF" w:themeFill="background1"/>
            <w:vAlign w:val="center"/>
            <w:hideMark/>
          </w:tcPr>
          <w:p w14:paraId="37D2C9EC" w14:textId="77777777" w:rsidR="00730639" w:rsidRPr="00CE47BF" w:rsidRDefault="00730639" w:rsidP="00E94C66">
            <w:pPr>
              <w:spacing w:before="0" w:line="240" w:lineRule="auto"/>
              <w:jc w:val="left"/>
              <w:rPr>
                <w:rFonts w:cs="Calibri"/>
                <w:b w:val="0"/>
                <w:sz w:val="20"/>
                <w:szCs w:val="20"/>
                <w:lang w:val="en-US" w:eastAsia="en-US"/>
              </w:rPr>
            </w:pPr>
          </w:p>
        </w:tc>
        <w:tc>
          <w:tcPr>
            <w:tcW w:w="3340" w:type="dxa"/>
            <w:shd w:val="clear" w:color="auto" w:fill="FFFFFF" w:themeFill="background1"/>
            <w:vAlign w:val="center"/>
            <w:hideMark/>
          </w:tcPr>
          <w:p w14:paraId="2C993528"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0C9911E2"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22.90%</w:t>
            </w:r>
          </w:p>
        </w:tc>
        <w:tc>
          <w:tcPr>
            <w:tcW w:w="1120" w:type="dxa"/>
            <w:shd w:val="clear" w:color="auto" w:fill="FFFFFF" w:themeFill="background1"/>
            <w:vAlign w:val="center"/>
            <w:hideMark/>
          </w:tcPr>
          <w:p w14:paraId="674FB01D"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23.10%</w:t>
            </w:r>
          </w:p>
        </w:tc>
        <w:tc>
          <w:tcPr>
            <w:tcW w:w="1120" w:type="dxa"/>
            <w:shd w:val="clear" w:color="auto" w:fill="FFFFFF" w:themeFill="background1"/>
            <w:vAlign w:val="center"/>
            <w:hideMark/>
          </w:tcPr>
          <w:p w14:paraId="77243E65"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23.60%</w:t>
            </w:r>
          </w:p>
        </w:tc>
      </w:tr>
      <w:tr w:rsidR="00730639" w:rsidRPr="00CE47BF" w14:paraId="7F694085" w14:textId="77777777" w:rsidTr="00E94C66">
        <w:trPr>
          <w:trHeight w:val="345"/>
        </w:trPr>
        <w:tc>
          <w:tcPr>
            <w:tcW w:w="1280" w:type="dxa"/>
            <w:vMerge/>
            <w:shd w:val="clear" w:color="auto" w:fill="FFFFFF" w:themeFill="background1"/>
            <w:vAlign w:val="center"/>
            <w:hideMark/>
          </w:tcPr>
          <w:p w14:paraId="2F131D5C" w14:textId="77777777" w:rsidR="00730639" w:rsidRPr="00CE47BF" w:rsidRDefault="00730639" w:rsidP="00E94C66">
            <w:pPr>
              <w:spacing w:before="0" w:line="240" w:lineRule="auto"/>
              <w:jc w:val="left"/>
              <w:rPr>
                <w:rFonts w:cs="Calibri"/>
                <w:b w:val="0"/>
                <w:sz w:val="20"/>
                <w:szCs w:val="20"/>
                <w:lang w:val="en-US" w:eastAsia="en-US"/>
              </w:rPr>
            </w:pPr>
          </w:p>
        </w:tc>
        <w:tc>
          <w:tcPr>
            <w:tcW w:w="3340" w:type="dxa"/>
            <w:shd w:val="clear" w:color="auto" w:fill="FFFFFF" w:themeFill="background1"/>
            <w:noWrap/>
            <w:vAlign w:val="center"/>
            <w:hideMark/>
          </w:tcPr>
          <w:p w14:paraId="0B5A1350" w14:textId="77777777" w:rsidR="00730639" w:rsidRPr="00CE47BF" w:rsidRDefault="00730639" w:rsidP="00E94C66">
            <w:pPr>
              <w:spacing w:before="0" w:line="240" w:lineRule="auto"/>
              <w:jc w:val="left"/>
              <w:rPr>
                <w:rFonts w:cs="Calibri"/>
                <w:b w:val="0"/>
                <w:sz w:val="20"/>
                <w:szCs w:val="20"/>
                <w:lang w:val="en-US" w:eastAsia="en-US"/>
              </w:rPr>
            </w:pPr>
            <w:r w:rsidRPr="00CE47BF">
              <w:rPr>
                <w:rFonts w:cs="Calibri"/>
                <w:b w:val="0"/>
                <w:sz w:val="20"/>
                <w:szCs w:val="20"/>
                <w:lang w:val="en-US" w:eastAsia="en-US"/>
              </w:rPr>
              <w:t>2022թ. Պետական բյուջե</w:t>
            </w:r>
          </w:p>
        </w:tc>
        <w:tc>
          <w:tcPr>
            <w:tcW w:w="1120" w:type="dxa"/>
            <w:shd w:val="clear" w:color="auto" w:fill="FFFFFF" w:themeFill="background1"/>
            <w:vAlign w:val="center"/>
            <w:hideMark/>
          </w:tcPr>
          <w:p w14:paraId="19A3A314"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1,843.9</w:t>
            </w:r>
          </w:p>
        </w:tc>
        <w:tc>
          <w:tcPr>
            <w:tcW w:w="1120" w:type="dxa"/>
            <w:shd w:val="clear" w:color="auto" w:fill="FFFFFF" w:themeFill="background1"/>
            <w:vAlign w:val="center"/>
            <w:hideMark/>
          </w:tcPr>
          <w:p w14:paraId="35B406E4" w14:textId="77777777" w:rsidR="00730639" w:rsidRPr="00CE47BF" w:rsidRDefault="00730639" w:rsidP="00E94C66">
            <w:pPr>
              <w:spacing w:before="0" w:line="240" w:lineRule="auto"/>
              <w:jc w:val="right"/>
              <w:rPr>
                <w:rFonts w:ascii="Calibri" w:hAnsi="Calibri" w:cs="Calibri"/>
                <w:b w:val="0"/>
                <w:sz w:val="20"/>
                <w:szCs w:val="20"/>
                <w:lang w:val="en-US" w:eastAsia="en-US"/>
              </w:rPr>
            </w:pPr>
            <w:r w:rsidRPr="00CE47BF">
              <w:rPr>
                <w:rFonts w:ascii="Calibri" w:hAnsi="Calibri" w:cs="Calibri"/>
                <w:b w:val="0"/>
                <w:sz w:val="20"/>
                <w:szCs w:val="20"/>
                <w:lang w:val="en-US" w:eastAsia="en-US"/>
              </w:rPr>
              <w:t> </w:t>
            </w:r>
          </w:p>
        </w:tc>
        <w:tc>
          <w:tcPr>
            <w:tcW w:w="1120" w:type="dxa"/>
            <w:shd w:val="clear" w:color="auto" w:fill="FFFFFF" w:themeFill="background1"/>
            <w:noWrap/>
            <w:vAlign w:val="center"/>
            <w:hideMark/>
          </w:tcPr>
          <w:p w14:paraId="56791D63" w14:textId="77777777" w:rsidR="00730639" w:rsidRPr="00CE47BF" w:rsidRDefault="00730639" w:rsidP="00E94C66">
            <w:pPr>
              <w:spacing w:before="0" w:line="240" w:lineRule="auto"/>
              <w:jc w:val="right"/>
              <w:rPr>
                <w:rFonts w:ascii="Calibri" w:hAnsi="Calibri" w:cs="Calibri"/>
                <w:b w:val="0"/>
                <w:sz w:val="20"/>
                <w:szCs w:val="20"/>
                <w:lang w:val="en-US" w:eastAsia="en-US"/>
              </w:rPr>
            </w:pPr>
            <w:r w:rsidRPr="00CE47BF">
              <w:rPr>
                <w:rFonts w:ascii="Calibri" w:hAnsi="Calibri" w:cs="Calibri"/>
                <w:b w:val="0"/>
                <w:sz w:val="20"/>
                <w:szCs w:val="20"/>
                <w:lang w:val="en-US" w:eastAsia="en-US"/>
              </w:rPr>
              <w:t> </w:t>
            </w:r>
          </w:p>
        </w:tc>
      </w:tr>
      <w:tr w:rsidR="00730639" w:rsidRPr="00CE47BF" w14:paraId="52411BA4" w14:textId="77777777" w:rsidTr="00E94C66">
        <w:trPr>
          <w:trHeight w:val="345"/>
        </w:trPr>
        <w:tc>
          <w:tcPr>
            <w:tcW w:w="1280" w:type="dxa"/>
            <w:vMerge/>
            <w:shd w:val="clear" w:color="auto" w:fill="FFFFFF" w:themeFill="background1"/>
            <w:vAlign w:val="center"/>
            <w:hideMark/>
          </w:tcPr>
          <w:p w14:paraId="03DD1B31" w14:textId="77777777" w:rsidR="00730639" w:rsidRPr="00CE47BF" w:rsidRDefault="00730639" w:rsidP="00E94C66">
            <w:pPr>
              <w:spacing w:before="0" w:line="240" w:lineRule="auto"/>
              <w:jc w:val="left"/>
              <w:rPr>
                <w:rFonts w:cs="Calibri"/>
                <w:b w:val="0"/>
                <w:sz w:val="20"/>
                <w:szCs w:val="20"/>
                <w:lang w:val="en-US" w:eastAsia="en-US"/>
              </w:rPr>
            </w:pPr>
          </w:p>
        </w:tc>
        <w:tc>
          <w:tcPr>
            <w:tcW w:w="3340" w:type="dxa"/>
            <w:shd w:val="clear" w:color="auto" w:fill="FFFFFF" w:themeFill="background1"/>
            <w:vAlign w:val="center"/>
            <w:hideMark/>
          </w:tcPr>
          <w:p w14:paraId="5468D76E"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551D6C61"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23.40%</w:t>
            </w:r>
          </w:p>
        </w:tc>
        <w:tc>
          <w:tcPr>
            <w:tcW w:w="1120" w:type="dxa"/>
            <w:shd w:val="clear" w:color="auto" w:fill="FFFFFF" w:themeFill="background1"/>
            <w:vAlign w:val="center"/>
            <w:hideMark/>
          </w:tcPr>
          <w:p w14:paraId="64D3A1C6" w14:textId="77777777" w:rsidR="00730639" w:rsidRPr="00CE47BF" w:rsidRDefault="00730639" w:rsidP="00E94C66">
            <w:pPr>
              <w:spacing w:before="0" w:line="240" w:lineRule="auto"/>
              <w:jc w:val="right"/>
              <w:rPr>
                <w:rFonts w:ascii="Calibri" w:hAnsi="Calibri" w:cs="Calibri"/>
                <w:b w:val="0"/>
                <w:i/>
                <w:iCs/>
                <w:sz w:val="20"/>
                <w:szCs w:val="20"/>
                <w:lang w:val="en-US" w:eastAsia="en-US"/>
              </w:rPr>
            </w:pPr>
            <w:r w:rsidRPr="00CE47BF">
              <w:rPr>
                <w:rFonts w:ascii="Calibri" w:hAnsi="Calibri" w:cs="Calibri"/>
                <w:b w:val="0"/>
                <w:i/>
                <w:iCs/>
                <w:sz w:val="20"/>
                <w:szCs w:val="20"/>
                <w:lang w:val="en-US" w:eastAsia="en-US"/>
              </w:rPr>
              <w:t> </w:t>
            </w:r>
          </w:p>
        </w:tc>
        <w:tc>
          <w:tcPr>
            <w:tcW w:w="1120" w:type="dxa"/>
            <w:shd w:val="clear" w:color="auto" w:fill="FFFFFF" w:themeFill="background1"/>
            <w:noWrap/>
            <w:vAlign w:val="center"/>
            <w:hideMark/>
          </w:tcPr>
          <w:p w14:paraId="25F20F49" w14:textId="77777777" w:rsidR="00730639" w:rsidRPr="00CE47BF" w:rsidRDefault="00730639" w:rsidP="00E94C66">
            <w:pPr>
              <w:spacing w:before="0" w:line="240" w:lineRule="auto"/>
              <w:jc w:val="right"/>
              <w:rPr>
                <w:rFonts w:ascii="Calibri" w:hAnsi="Calibri" w:cs="Calibri"/>
                <w:b w:val="0"/>
                <w:i/>
                <w:iCs/>
                <w:sz w:val="20"/>
                <w:szCs w:val="20"/>
                <w:lang w:val="en-US" w:eastAsia="en-US"/>
              </w:rPr>
            </w:pPr>
            <w:r w:rsidRPr="00CE47BF">
              <w:rPr>
                <w:rFonts w:ascii="Calibri" w:hAnsi="Calibri" w:cs="Calibri"/>
                <w:b w:val="0"/>
                <w:i/>
                <w:iCs/>
                <w:sz w:val="20"/>
                <w:szCs w:val="20"/>
                <w:lang w:val="en-US" w:eastAsia="en-US"/>
              </w:rPr>
              <w:t> </w:t>
            </w:r>
          </w:p>
        </w:tc>
      </w:tr>
      <w:tr w:rsidR="00730639" w:rsidRPr="00CE47BF" w14:paraId="0C5F0E5D" w14:textId="77777777" w:rsidTr="00E94C66">
        <w:trPr>
          <w:trHeight w:val="345"/>
        </w:trPr>
        <w:tc>
          <w:tcPr>
            <w:tcW w:w="1280" w:type="dxa"/>
            <w:vMerge w:val="restart"/>
            <w:shd w:val="clear" w:color="auto" w:fill="FFFFFF" w:themeFill="background1"/>
            <w:vAlign w:val="center"/>
            <w:hideMark/>
          </w:tcPr>
          <w:p w14:paraId="26CE3E4B" w14:textId="77777777" w:rsidR="00730639" w:rsidRPr="00CE47BF" w:rsidRDefault="00730639" w:rsidP="00E94C66">
            <w:pPr>
              <w:spacing w:before="0" w:line="240" w:lineRule="auto"/>
              <w:jc w:val="center"/>
              <w:rPr>
                <w:rFonts w:cs="Calibri"/>
                <w:b w:val="0"/>
                <w:sz w:val="20"/>
                <w:szCs w:val="20"/>
                <w:lang w:val="en-US" w:eastAsia="en-US"/>
              </w:rPr>
            </w:pPr>
            <w:r w:rsidRPr="00CE47BF">
              <w:rPr>
                <w:rFonts w:cs="Calibri"/>
                <w:b w:val="0"/>
                <w:sz w:val="20"/>
                <w:szCs w:val="20"/>
                <w:lang w:val="en-US" w:eastAsia="en-US"/>
              </w:rPr>
              <w:t>2022</w:t>
            </w:r>
          </w:p>
        </w:tc>
        <w:tc>
          <w:tcPr>
            <w:tcW w:w="3340" w:type="dxa"/>
            <w:shd w:val="clear" w:color="auto" w:fill="FFFFFF" w:themeFill="background1"/>
            <w:noWrap/>
            <w:vAlign w:val="center"/>
            <w:hideMark/>
          </w:tcPr>
          <w:p w14:paraId="5138834F" w14:textId="77777777" w:rsidR="00730639" w:rsidRPr="00CE47BF" w:rsidRDefault="00730639" w:rsidP="00E94C66">
            <w:pPr>
              <w:spacing w:before="0" w:line="240" w:lineRule="auto"/>
              <w:jc w:val="left"/>
              <w:rPr>
                <w:rFonts w:cs="Calibri"/>
                <w:b w:val="0"/>
                <w:sz w:val="20"/>
                <w:szCs w:val="20"/>
                <w:lang w:val="en-US" w:eastAsia="en-US"/>
              </w:rPr>
            </w:pPr>
            <w:r w:rsidRPr="00CE47BF">
              <w:rPr>
                <w:rFonts w:cs="Calibri"/>
                <w:b w:val="0"/>
                <w:sz w:val="20"/>
                <w:szCs w:val="20"/>
                <w:lang w:val="en-US" w:eastAsia="en-US"/>
              </w:rPr>
              <w:t xml:space="preserve"> ՄԺԾԾ 2023-2025</w:t>
            </w:r>
          </w:p>
        </w:tc>
        <w:tc>
          <w:tcPr>
            <w:tcW w:w="1120" w:type="dxa"/>
            <w:shd w:val="clear" w:color="auto" w:fill="FFFFFF" w:themeFill="background1"/>
            <w:vAlign w:val="center"/>
            <w:hideMark/>
          </w:tcPr>
          <w:p w14:paraId="00125328"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1,900.0</w:t>
            </w:r>
          </w:p>
        </w:tc>
        <w:tc>
          <w:tcPr>
            <w:tcW w:w="1120" w:type="dxa"/>
            <w:shd w:val="clear" w:color="auto" w:fill="FFFFFF" w:themeFill="background1"/>
            <w:vAlign w:val="center"/>
            <w:hideMark/>
          </w:tcPr>
          <w:p w14:paraId="5A0CD6C2"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2,176.4</w:t>
            </w:r>
          </w:p>
        </w:tc>
        <w:tc>
          <w:tcPr>
            <w:tcW w:w="1120" w:type="dxa"/>
            <w:shd w:val="clear" w:color="auto" w:fill="FFFFFF" w:themeFill="background1"/>
            <w:vAlign w:val="center"/>
            <w:hideMark/>
          </w:tcPr>
          <w:p w14:paraId="3997B748"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2,467.0</w:t>
            </w:r>
          </w:p>
        </w:tc>
      </w:tr>
      <w:tr w:rsidR="00730639" w:rsidRPr="00CE47BF" w14:paraId="3CC89CDC" w14:textId="77777777" w:rsidTr="00E94C66">
        <w:trPr>
          <w:trHeight w:val="345"/>
        </w:trPr>
        <w:tc>
          <w:tcPr>
            <w:tcW w:w="1280" w:type="dxa"/>
            <w:vMerge/>
            <w:shd w:val="clear" w:color="auto" w:fill="FFFFFF" w:themeFill="background1"/>
            <w:vAlign w:val="center"/>
            <w:hideMark/>
          </w:tcPr>
          <w:p w14:paraId="35B6CB05" w14:textId="77777777" w:rsidR="00730639" w:rsidRPr="00CE47BF" w:rsidRDefault="00730639" w:rsidP="00E94C66">
            <w:pPr>
              <w:spacing w:before="0" w:line="240" w:lineRule="auto"/>
              <w:jc w:val="left"/>
              <w:rPr>
                <w:rFonts w:cs="Calibri"/>
                <w:b w:val="0"/>
                <w:sz w:val="20"/>
                <w:szCs w:val="20"/>
                <w:lang w:val="en-US" w:eastAsia="en-US"/>
              </w:rPr>
            </w:pPr>
          </w:p>
        </w:tc>
        <w:tc>
          <w:tcPr>
            <w:tcW w:w="3340" w:type="dxa"/>
            <w:shd w:val="clear" w:color="auto" w:fill="FFFFFF" w:themeFill="background1"/>
            <w:vAlign w:val="center"/>
            <w:hideMark/>
          </w:tcPr>
          <w:p w14:paraId="4097525D"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083F8192"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23.50%</w:t>
            </w:r>
          </w:p>
        </w:tc>
        <w:tc>
          <w:tcPr>
            <w:tcW w:w="1120" w:type="dxa"/>
            <w:shd w:val="clear" w:color="auto" w:fill="FFFFFF" w:themeFill="background1"/>
            <w:vAlign w:val="center"/>
            <w:hideMark/>
          </w:tcPr>
          <w:p w14:paraId="075A71F8"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24.00%</w:t>
            </w:r>
          </w:p>
        </w:tc>
        <w:tc>
          <w:tcPr>
            <w:tcW w:w="1120" w:type="dxa"/>
            <w:shd w:val="clear" w:color="auto" w:fill="FFFFFF" w:themeFill="background1"/>
            <w:vAlign w:val="center"/>
            <w:hideMark/>
          </w:tcPr>
          <w:p w14:paraId="33D2E5DA"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24.40%</w:t>
            </w:r>
          </w:p>
        </w:tc>
      </w:tr>
      <w:tr w:rsidR="00730639" w:rsidRPr="00CE47BF" w14:paraId="545A8544" w14:textId="77777777" w:rsidTr="00E94C66">
        <w:trPr>
          <w:trHeight w:val="345"/>
        </w:trPr>
        <w:tc>
          <w:tcPr>
            <w:tcW w:w="1280" w:type="dxa"/>
            <w:vMerge/>
            <w:shd w:val="clear" w:color="auto" w:fill="FFFFFF" w:themeFill="background1"/>
            <w:vAlign w:val="center"/>
            <w:hideMark/>
          </w:tcPr>
          <w:p w14:paraId="77367464" w14:textId="77777777" w:rsidR="00730639" w:rsidRPr="00CE47BF" w:rsidRDefault="00730639" w:rsidP="00E94C66">
            <w:pPr>
              <w:spacing w:before="0" w:line="240" w:lineRule="auto"/>
              <w:jc w:val="left"/>
              <w:rPr>
                <w:rFonts w:cs="Calibri"/>
                <w:b w:val="0"/>
                <w:sz w:val="20"/>
                <w:szCs w:val="20"/>
                <w:lang w:val="en-US" w:eastAsia="en-US"/>
              </w:rPr>
            </w:pPr>
          </w:p>
        </w:tc>
        <w:tc>
          <w:tcPr>
            <w:tcW w:w="3340" w:type="dxa"/>
            <w:shd w:val="clear" w:color="auto" w:fill="FFFFFF" w:themeFill="background1"/>
            <w:noWrap/>
            <w:vAlign w:val="center"/>
            <w:hideMark/>
          </w:tcPr>
          <w:p w14:paraId="7F1C23AD" w14:textId="77777777" w:rsidR="00730639" w:rsidRPr="00CE47BF" w:rsidRDefault="00730639" w:rsidP="00E94C66">
            <w:pPr>
              <w:spacing w:before="0" w:line="240" w:lineRule="auto"/>
              <w:jc w:val="left"/>
              <w:rPr>
                <w:rFonts w:cs="Calibri"/>
                <w:b w:val="0"/>
                <w:sz w:val="20"/>
                <w:szCs w:val="20"/>
                <w:lang w:val="en-US" w:eastAsia="en-US"/>
              </w:rPr>
            </w:pPr>
            <w:r w:rsidRPr="00CE47BF">
              <w:rPr>
                <w:rFonts w:cs="Calibri"/>
                <w:b w:val="0"/>
                <w:sz w:val="20"/>
                <w:szCs w:val="20"/>
                <w:lang w:val="en-US" w:eastAsia="en-US"/>
              </w:rPr>
              <w:t>2023թ. Պետական բյուջե</w:t>
            </w:r>
          </w:p>
        </w:tc>
        <w:tc>
          <w:tcPr>
            <w:tcW w:w="1120" w:type="dxa"/>
            <w:shd w:val="clear" w:color="auto" w:fill="FFFFFF" w:themeFill="background1"/>
            <w:vAlign w:val="center"/>
            <w:hideMark/>
          </w:tcPr>
          <w:p w14:paraId="75918DB8"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1,920.0</w:t>
            </w:r>
          </w:p>
        </w:tc>
        <w:tc>
          <w:tcPr>
            <w:tcW w:w="1120" w:type="dxa"/>
            <w:shd w:val="clear" w:color="auto" w:fill="FFFFFF" w:themeFill="background1"/>
            <w:vAlign w:val="center"/>
            <w:hideMark/>
          </w:tcPr>
          <w:p w14:paraId="6BF6BF02"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2,203.7</w:t>
            </w:r>
          </w:p>
        </w:tc>
        <w:tc>
          <w:tcPr>
            <w:tcW w:w="1120" w:type="dxa"/>
            <w:shd w:val="clear" w:color="auto" w:fill="FFFFFF" w:themeFill="background1"/>
            <w:vAlign w:val="center"/>
            <w:hideMark/>
          </w:tcPr>
          <w:p w14:paraId="740A909B" w14:textId="77777777" w:rsidR="00730639" w:rsidRPr="00CE47BF" w:rsidRDefault="00730639" w:rsidP="00E94C66">
            <w:pPr>
              <w:spacing w:before="0" w:line="240" w:lineRule="auto"/>
              <w:jc w:val="right"/>
              <w:rPr>
                <w:rFonts w:cs="Calibri"/>
                <w:b w:val="0"/>
                <w:sz w:val="20"/>
                <w:szCs w:val="20"/>
                <w:lang w:val="en-US" w:eastAsia="en-US"/>
              </w:rPr>
            </w:pPr>
            <w:r w:rsidRPr="00CE47BF">
              <w:rPr>
                <w:rFonts w:ascii="Calibri" w:hAnsi="Calibri" w:cs="Calibri"/>
                <w:b w:val="0"/>
                <w:sz w:val="20"/>
                <w:szCs w:val="20"/>
                <w:lang w:val="en-US" w:eastAsia="en-US"/>
              </w:rPr>
              <w:t> </w:t>
            </w:r>
          </w:p>
        </w:tc>
      </w:tr>
      <w:tr w:rsidR="00730639" w:rsidRPr="00CE47BF" w14:paraId="73FDB734" w14:textId="77777777" w:rsidTr="00E94C66">
        <w:trPr>
          <w:trHeight w:val="345"/>
        </w:trPr>
        <w:tc>
          <w:tcPr>
            <w:tcW w:w="1280" w:type="dxa"/>
            <w:vMerge/>
            <w:shd w:val="clear" w:color="auto" w:fill="FFFFFF" w:themeFill="background1"/>
            <w:vAlign w:val="center"/>
            <w:hideMark/>
          </w:tcPr>
          <w:p w14:paraId="2FB75E64" w14:textId="77777777" w:rsidR="00730639" w:rsidRPr="00CE47BF" w:rsidRDefault="00730639" w:rsidP="00E94C66">
            <w:pPr>
              <w:spacing w:before="0" w:line="240" w:lineRule="auto"/>
              <w:jc w:val="left"/>
              <w:rPr>
                <w:rFonts w:cs="Calibri"/>
                <w:b w:val="0"/>
                <w:sz w:val="20"/>
                <w:szCs w:val="20"/>
                <w:lang w:val="en-US" w:eastAsia="en-US"/>
              </w:rPr>
            </w:pPr>
          </w:p>
        </w:tc>
        <w:tc>
          <w:tcPr>
            <w:tcW w:w="3340" w:type="dxa"/>
            <w:shd w:val="clear" w:color="auto" w:fill="FFFFFF" w:themeFill="background1"/>
            <w:vAlign w:val="center"/>
            <w:hideMark/>
          </w:tcPr>
          <w:p w14:paraId="28ACF041"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0D89C3DC"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23.15%</w:t>
            </w:r>
          </w:p>
        </w:tc>
        <w:tc>
          <w:tcPr>
            <w:tcW w:w="1120" w:type="dxa"/>
            <w:shd w:val="clear" w:color="auto" w:fill="FFFFFF" w:themeFill="background1"/>
            <w:vAlign w:val="center"/>
            <w:hideMark/>
          </w:tcPr>
          <w:p w14:paraId="792B8504"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23.65%</w:t>
            </w:r>
          </w:p>
        </w:tc>
        <w:tc>
          <w:tcPr>
            <w:tcW w:w="1120" w:type="dxa"/>
            <w:shd w:val="clear" w:color="auto" w:fill="FFFFFF" w:themeFill="background1"/>
            <w:vAlign w:val="center"/>
            <w:hideMark/>
          </w:tcPr>
          <w:p w14:paraId="159AF034"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ascii="Calibri" w:hAnsi="Calibri" w:cs="Calibri"/>
                <w:b w:val="0"/>
                <w:i/>
                <w:iCs/>
                <w:sz w:val="20"/>
                <w:szCs w:val="20"/>
                <w:lang w:val="en-US" w:eastAsia="en-US"/>
              </w:rPr>
              <w:t> </w:t>
            </w:r>
          </w:p>
        </w:tc>
      </w:tr>
      <w:tr w:rsidR="00730639" w:rsidRPr="00CE47BF" w14:paraId="343BB54E" w14:textId="77777777" w:rsidTr="00E94C66">
        <w:trPr>
          <w:trHeight w:val="345"/>
        </w:trPr>
        <w:tc>
          <w:tcPr>
            <w:tcW w:w="1280" w:type="dxa"/>
            <w:vMerge w:val="restart"/>
            <w:shd w:val="clear" w:color="auto" w:fill="FFFFFF" w:themeFill="background1"/>
            <w:vAlign w:val="center"/>
            <w:hideMark/>
          </w:tcPr>
          <w:p w14:paraId="676A4E8F" w14:textId="77777777" w:rsidR="00730639" w:rsidRPr="00CE47BF" w:rsidRDefault="00730639" w:rsidP="00E94C66">
            <w:pPr>
              <w:spacing w:before="0" w:line="240" w:lineRule="auto"/>
              <w:jc w:val="center"/>
              <w:rPr>
                <w:rFonts w:cs="Calibri"/>
                <w:b w:val="0"/>
                <w:sz w:val="20"/>
                <w:szCs w:val="20"/>
                <w:lang w:val="en-US" w:eastAsia="en-US"/>
              </w:rPr>
            </w:pPr>
            <w:r w:rsidRPr="00CE47BF">
              <w:rPr>
                <w:rFonts w:cs="Calibri"/>
                <w:b w:val="0"/>
                <w:sz w:val="20"/>
                <w:szCs w:val="20"/>
                <w:lang w:val="en-US" w:eastAsia="en-US"/>
              </w:rPr>
              <w:t>2023</w:t>
            </w:r>
          </w:p>
        </w:tc>
        <w:tc>
          <w:tcPr>
            <w:tcW w:w="3340" w:type="dxa"/>
            <w:shd w:val="clear" w:color="auto" w:fill="FFFFFF" w:themeFill="background1"/>
            <w:noWrap/>
            <w:vAlign w:val="center"/>
            <w:hideMark/>
          </w:tcPr>
          <w:p w14:paraId="7454A9C6" w14:textId="77777777" w:rsidR="00730639" w:rsidRPr="00CE47BF" w:rsidRDefault="00730639" w:rsidP="00E94C66">
            <w:pPr>
              <w:spacing w:before="0" w:line="240" w:lineRule="auto"/>
              <w:jc w:val="left"/>
              <w:rPr>
                <w:rFonts w:cs="Calibri"/>
                <w:b w:val="0"/>
                <w:sz w:val="20"/>
                <w:szCs w:val="20"/>
                <w:lang w:val="en-US" w:eastAsia="en-US"/>
              </w:rPr>
            </w:pPr>
            <w:r w:rsidRPr="00CE47BF">
              <w:rPr>
                <w:rFonts w:cs="Calibri"/>
                <w:b w:val="0"/>
                <w:sz w:val="20"/>
                <w:szCs w:val="20"/>
                <w:lang w:val="en-US" w:eastAsia="en-US"/>
              </w:rPr>
              <w:t xml:space="preserve"> ՄԺԾԾ 2024-2026</w:t>
            </w:r>
          </w:p>
        </w:tc>
        <w:tc>
          <w:tcPr>
            <w:tcW w:w="1120" w:type="dxa"/>
            <w:shd w:val="clear" w:color="auto" w:fill="FFFFFF" w:themeFill="background1"/>
            <w:vAlign w:val="center"/>
            <w:hideMark/>
          </w:tcPr>
          <w:p w14:paraId="6F020B5C" w14:textId="77777777" w:rsidR="00730639" w:rsidRPr="00CE47BF" w:rsidRDefault="00730639" w:rsidP="00E94C66">
            <w:pPr>
              <w:spacing w:before="0" w:line="240" w:lineRule="auto"/>
              <w:jc w:val="right"/>
              <w:rPr>
                <w:rFonts w:ascii="Calibri" w:hAnsi="Calibri" w:cs="Calibri"/>
                <w:b w:val="0"/>
                <w:sz w:val="20"/>
                <w:szCs w:val="20"/>
                <w:lang w:val="en-US" w:eastAsia="en-US"/>
              </w:rPr>
            </w:pPr>
            <w:r w:rsidRPr="00CE47BF">
              <w:rPr>
                <w:rFonts w:ascii="Calibri" w:hAnsi="Calibri" w:cs="Calibri"/>
                <w:b w:val="0"/>
                <w:sz w:val="20"/>
                <w:szCs w:val="20"/>
                <w:lang w:val="en-US" w:eastAsia="en-US"/>
              </w:rPr>
              <w:t> </w:t>
            </w:r>
          </w:p>
        </w:tc>
        <w:tc>
          <w:tcPr>
            <w:tcW w:w="1120" w:type="dxa"/>
            <w:shd w:val="clear" w:color="auto" w:fill="FFFFFF" w:themeFill="background1"/>
            <w:vAlign w:val="center"/>
            <w:hideMark/>
          </w:tcPr>
          <w:p w14:paraId="3C7AC122"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2,235.4</w:t>
            </w:r>
          </w:p>
        </w:tc>
        <w:tc>
          <w:tcPr>
            <w:tcW w:w="1120" w:type="dxa"/>
            <w:shd w:val="clear" w:color="auto" w:fill="FFFFFF" w:themeFill="background1"/>
            <w:vAlign w:val="center"/>
            <w:hideMark/>
          </w:tcPr>
          <w:p w14:paraId="4C5000CE"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2,566.2</w:t>
            </w:r>
          </w:p>
        </w:tc>
      </w:tr>
      <w:tr w:rsidR="00730639" w:rsidRPr="00CE47BF" w14:paraId="76EFDA30" w14:textId="77777777" w:rsidTr="00E94C66">
        <w:trPr>
          <w:trHeight w:val="345"/>
        </w:trPr>
        <w:tc>
          <w:tcPr>
            <w:tcW w:w="1280" w:type="dxa"/>
            <w:vMerge/>
            <w:shd w:val="clear" w:color="auto" w:fill="FFFFFF" w:themeFill="background1"/>
            <w:vAlign w:val="center"/>
            <w:hideMark/>
          </w:tcPr>
          <w:p w14:paraId="71A73C56" w14:textId="77777777" w:rsidR="00730639" w:rsidRPr="00CE47BF" w:rsidRDefault="00730639" w:rsidP="00E94C66">
            <w:pPr>
              <w:spacing w:before="0" w:line="240" w:lineRule="auto"/>
              <w:jc w:val="left"/>
              <w:rPr>
                <w:rFonts w:cs="Calibri"/>
                <w:b w:val="0"/>
                <w:sz w:val="20"/>
                <w:szCs w:val="20"/>
                <w:lang w:val="en-US" w:eastAsia="en-US"/>
              </w:rPr>
            </w:pPr>
          </w:p>
        </w:tc>
        <w:tc>
          <w:tcPr>
            <w:tcW w:w="3340" w:type="dxa"/>
            <w:shd w:val="clear" w:color="auto" w:fill="FFFFFF" w:themeFill="background1"/>
            <w:vAlign w:val="center"/>
            <w:hideMark/>
          </w:tcPr>
          <w:p w14:paraId="37C2A8A0"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41CBE5DB" w14:textId="77777777" w:rsidR="00730639" w:rsidRPr="00CE47BF" w:rsidRDefault="00730639" w:rsidP="00E94C66">
            <w:pPr>
              <w:spacing w:before="0" w:line="240" w:lineRule="auto"/>
              <w:jc w:val="right"/>
              <w:rPr>
                <w:rFonts w:ascii="Calibri" w:hAnsi="Calibri" w:cs="Calibri"/>
                <w:b w:val="0"/>
                <w:sz w:val="20"/>
                <w:szCs w:val="20"/>
                <w:lang w:val="en-US" w:eastAsia="en-US"/>
              </w:rPr>
            </w:pPr>
            <w:r w:rsidRPr="00CE47BF">
              <w:rPr>
                <w:rFonts w:ascii="Calibri" w:hAnsi="Calibri" w:cs="Calibri"/>
                <w:b w:val="0"/>
                <w:sz w:val="20"/>
                <w:szCs w:val="20"/>
                <w:lang w:val="en-US" w:eastAsia="en-US"/>
              </w:rPr>
              <w:t> </w:t>
            </w:r>
          </w:p>
        </w:tc>
        <w:tc>
          <w:tcPr>
            <w:tcW w:w="1120" w:type="dxa"/>
            <w:shd w:val="clear" w:color="auto" w:fill="FFFFFF" w:themeFill="background1"/>
            <w:vAlign w:val="center"/>
            <w:hideMark/>
          </w:tcPr>
          <w:p w14:paraId="463DD355"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23.45%</w:t>
            </w:r>
          </w:p>
        </w:tc>
        <w:tc>
          <w:tcPr>
            <w:tcW w:w="1120" w:type="dxa"/>
            <w:shd w:val="clear" w:color="auto" w:fill="FFFFFF" w:themeFill="background1"/>
            <w:vAlign w:val="center"/>
            <w:hideMark/>
          </w:tcPr>
          <w:p w14:paraId="4CE13660" w14:textId="77777777" w:rsidR="00730639" w:rsidRPr="00CE47BF" w:rsidRDefault="00730639" w:rsidP="00E94C66">
            <w:pPr>
              <w:spacing w:before="0" w:line="240" w:lineRule="auto"/>
              <w:jc w:val="right"/>
              <w:rPr>
                <w:rFonts w:cs="Calibri"/>
                <w:b w:val="0"/>
                <w:i/>
                <w:iCs/>
                <w:sz w:val="20"/>
                <w:szCs w:val="20"/>
                <w:lang w:val="en-US" w:eastAsia="en-US"/>
              </w:rPr>
            </w:pPr>
            <w:r w:rsidRPr="00CE47BF">
              <w:rPr>
                <w:rFonts w:cs="Calibri"/>
                <w:b w:val="0"/>
                <w:i/>
                <w:iCs/>
                <w:sz w:val="20"/>
                <w:szCs w:val="20"/>
                <w:lang w:val="en-US" w:eastAsia="en-US"/>
              </w:rPr>
              <w:t>24.19%</w:t>
            </w:r>
          </w:p>
        </w:tc>
      </w:tr>
      <w:tr w:rsidR="00730639" w:rsidRPr="00CE47BF" w14:paraId="4916AA67" w14:textId="77777777" w:rsidTr="00E94C66">
        <w:trPr>
          <w:trHeight w:val="345"/>
        </w:trPr>
        <w:tc>
          <w:tcPr>
            <w:tcW w:w="1280" w:type="dxa"/>
            <w:vMerge/>
            <w:shd w:val="clear" w:color="auto" w:fill="FFFFFF" w:themeFill="background1"/>
            <w:vAlign w:val="center"/>
            <w:hideMark/>
          </w:tcPr>
          <w:p w14:paraId="6A92510E" w14:textId="77777777" w:rsidR="00730639" w:rsidRPr="00CE47BF" w:rsidRDefault="00730639" w:rsidP="00E94C66">
            <w:pPr>
              <w:spacing w:before="0" w:line="240" w:lineRule="auto"/>
              <w:jc w:val="left"/>
              <w:rPr>
                <w:rFonts w:cs="Calibri"/>
                <w:b w:val="0"/>
                <w:sz w:val="20"/>
                <w:szCs w:val="20"/>
                <w:lang w:val="en-US" w:eastAsia="en-US"/>
              </w:rPr>
            </w:pPr>
          </w:p>
        </w:tc>
        <w:tc>
          <w:tcPr>
            <w:tcW w:w="3340" w:type="dxa"/>
            <w:shd w:val="clear" w:color="auto" w:fill="FFFFFF" w:themeFill="background1"/>
            <w:noWrap/>
            <w:vAlign w:val="center"/>
            <w:hideMark/>
          </w:tcPr>
          <w:p w14:paraId="0A3C7C67" w14:textId="77777777" w:rsidR="00730639" w:rsidRPr="00CE47BF" w:rsidRDefault="00730639" w:rsidP="00E94C66">
            <w:pPr>
              <w:spacing w:before="0" w:line="240" w:lineRule="auto"/>
              <w:jc w:val="left"/>
              <w:rPr>
                <w:rFonts w:cs="Calibri"/>
                <w:b w:val="0"/>
                <w:sz w:val="20"/>
                <w:szCs w:val="20"/>
                <w:lang w:val="en-US" w:eastAsia="en-US"/>
              </w:rPr>
            </w:pPr>
            <w:r w:rsidRPr="00CE47BF">
              <w:rPr>
                <w:rFonts w:cs="Calibri"/>
                <w:b w:val="0"/>
                <w:sz w:val="20"/>
                <w:szCs w:val="20"/>
                <w:lang w:val="en-US" w:eastAsia="en-US"/>
              </w:rPr>
              <w:t>2024թ. Պետական բյուջե</w:t>
            </w:r>
          </w:p>
        </w:tc>
        <w:tc>
          <w:tcPr>
            <w:tcW w:w="1120" w:type="dxa"/>
            <w:shd w:val="clear" w:color="auto" w:fill="FFFFFF" w:themeFill="background1"/>
            <w:vAlign w:val="center"/>
            <w:hideMark/>
          </w:tcPr>
          <w:p w14:paraId="4D7D27A0" w14:textId="77777777" w:rsidR="00730639" w:rsidRPr="00CE47BF" w:rsidRDefault="00730639" w:rsidP="00E94C66">
            <w:pPr>
              <w:spacing w:before="0" w:line="240" w:lineRule="auto"/>
              <w:jc w:val="right"/>
              <w:rPr>
                <w:rFonts w:ascii="Calibri" w:hAnsi="Calibri" w:cs="Calibri"/>
                <w:b w:val="0"/>
                <w:sz w:val="20"/>
                <w:szCs w:val="20"/>
                <w:lang w:val="en-US" w:eastAsia="en-US"/>
              </w:rPr>
            </w:pPr>
            <w:r w:rsidRPr="00CE47BF">
              <w:rPr>
                <w:rFonts w:ascii="Calibri" w:hAnsi="Calibri" w:cs="Calibri"/>
                <w:b w:val="0"/>
                <w:sz w:val="20"/>
                <w:szCs w:val="20"/>
                <w:lang w:val="en-US" w:eastAsia="en-US"/>
              </w:rPr>
              <w:t> </w:t>
            </w:r>
          </w:p>
        </w:tc>
        <w:tc>
          <w:tcPr>
            <w:tcW w:w="1120" w:type="dxa"/>
            <w:shd w:val="clear" w:color="auto" w:fill="FFFFFF" w:themeFill="background1"/>
            <w:vAlign w:val="center"/>
            <w:hideMark/>
          </w:tcPr>
          <w:p w14:paraId="55660568"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2,277.8</w:t>
            </w:r>
          </w:p>
        </w:tc>
        <w:tc>
          <w:tcPr>
            <w:tcW w:w="1120" w:type="dxa"/>
            <w:shd w:val="clear" w:color="auto" w:fill="FFFFFF" w:themeFill="background1"/>
            <w:vAlign w:val="center"/>
            <w:hideMark/>
          </w:tcPr>
          <w:p w14:paraId="45EA5048" w14:textId="77777777" w:rsidR="00730639" w:rsidRPr="00CE47BF" w:rsidRDefault="00730639" w:rsidP="00E94C66">
            <w:pPr>
              <w:spacing w:before="0" w:line="240" w:lineRule="auto"/>
              <w:jc w:val="right"/>
              <w:rPr>
                <w:rFonts w:cs="Calibri"/>
                <w:b w:val="0"/>
                <w:sz w:val="20"/>
                <w:szCs w:val="20"/>
                <w:lang w:val="en-US" w:eastAsia="en-US"/>
              </w:rPr>
            </w:pPr>
            <w:r w:rsidRPr="00CE47BF">
              <w:rPr>
                <w:rFonts w:cs="Calibri"/>
                <w:b w:val="0"/>
                <w:sz w:val="20"/>
                <w:szCs w:val="20"/>
                <w:lang w:val="en-US" w:eastAsia="en-US"/>
              </w:rPr>
              <w:t>2,613.6</w:t>
            </w:r>
          </w:p>
        </w:tc>
      </w:tr>
      <w:tr w:rsidR="00730639" w:rsidRPr="00CE47BF" w14:paraId="6E64B860" w14:textId="77777777" w:rsidTr="00E94C66">
        <w:trPr>
          <w:trHeight w:val="345"/>
        </w:trPr>
        <w:tc>
          <w:tcPr>
            <w:tcW w:w="1280" w:type="dxa"/>
            <w:vMerge/>
            <w:shd w:val="clear" w:color="auto" w:fill="FFFFFF" w:themeFill="background1"/>
            <w:vAlign w:val="center"/>
            <w:hideMark/>
          </w:tcPr>
          <w:p w14:paraId="05941FDE" w14:textId="77777777" w:rsidR="00730639" w:rsidRPr="00CE47BF" w:rsidRDefault="00730639" w:rsidP="00E94C66">
            <w:pPr>
              <w:spacing w:before="0" w:line="240" w:lineRule="auto"/>
              <w:jc w:val="left"/>
              <w:rPr>
                <w:rFonts w:cs="Calibri"/>
                <w:b w:val="0"/>
                <w:szCs w:val="22"/>
                <w:lang w:val="en-US" w:eastAsia="en-US"/>
              </w:rPr>
            </w:pPr>
          </w:p>
        </w:tc>
        <w:tc>
          <w:tcPr>
            <w:tcW w:w="3340" w:type="dxa"/>
            <w:shd w:val="clear" w:color="auto" w:fill="FFFFFF" w:themeFill="background1"/>
            <w:vAlign w:val="center"/>
            <w:hideMark/>
          </w:tcPr>
          <w:p w14:paraId="1E973116" w14:textId="77777777" w:rsidR="00730639" w:rsidRPr="00CE47BF" w:rsidRDefault="00730639" w:rsidP="00E94C66">
            <w:pPr>
              <w:spacing w:before="0" w:line="240" w:lineRule="auto"/>
              <w:jc w:val="left"/>
              <w:rPr>
                <w:rFonts w:cs="Calibri"/>
                <w:b w:val="0"/>
                <w:i/>
                <w:iCs/>
                <w:szCs w:val="22"/>
                <w:lang w:val="en-US" w:eastAsia="en-US"/>
              </w:rPr>
            </w:pPr>
            <w:r w:rsidRPr="00CE47BF">
              <w:rPr>
                <w:rFonts w:cs="Calibri"/>
                <w:b w:val="0"/>
                <w:i/>
                <w:iCs/>
                <w:szCs w:val="22"/>
                <w:lang w:val="en-US" w:eastAsia="en-US"/>
              </w:rPr>
              <w:t>%-ով՝ ՀՆԱ-ի նկատմամբ</w:t>
            </w:r>
          </w:p>
        </w:tc>
        <w:tc>
          <w:tcPr>
            <w:tcW w:w="1120" w:type="dxa"/>
            <w:shd w:val="clear" w:color="auto" w:fill="FFFFFF" w:themeFill="background1"/>
            <w:vAlign w:val="center"/>
            <w:hideMark/>
          </w:tcPr>
          <w:p w14:paraId="2942DDA1" w14:textId="77777777" w:rsidR="00730639" w:rsidRPr="00CE47BF" w:rsidRDefault="00730639" w:rsidP="00E94C66">
            <w:pPr>
              <w:spacing w:before="0" w:line="240" w:lineRule="auto"/>
              <w:jc w:val="right"/>
              <w:rPr>
                <w:rFonts w:ascii="Calibri" w:hAnsi="Calibri" w:cs="Calibri"/>
                <w:b w:val="0"/>
                <w:szCs w:val="22"/>
                <w:lang w:val="en-US" w:eastAsia="en-US"/>
              </w:rPr>
            </w:pPr>
            <w:r w:rsidRPr="00CE47BF">
              <w:rPr>
                <w:rFonts w:ascii="Calibri" w:hAnsi="Calibri" w:cs="Calibri"/>
                <w:b w:val="0"/>
                <w:szCs w:val="22"/>
                <w:lang w:val="en-US" w:eastAsia="en-US"/>
              </w:rPr>
              <w:t> </w:t>
            </w:r>
          </w:p>
        </w:tc>
        <w:tc>
          <w:tcPr>
            <w:tcW w:w="1120" w:type="dxa"/>
            <w:shd w:val="clear" w:color="auto" w:fill="FFFFFF" w:themeFill="background1"/>
            <w:vAlign w:val="center"/>
            <w:hideMark/>
          </w:tcPr>
          <w:p w14:paraId="053D2BA7" w14:textId="77777777" w:rsidR="00730639" w:rsidRPr="00CE47BF" w:rsidRDefault="00730639" w:rsidP="00E94C66">
            <w:pPr>
              <w:spacing w:before="0" w:line="240" w:lineRule="auto"/>
              <w:jc w:val="right"/>
              <w:rPr>
                <w:rFonts w:cs="Calibri"/>
                <w:b w:val="0"/>
                <w:i/>
                <w:iCs/>
                <w:szCs w:val="22"/>
                <w:lang w:val="en-US" w:eastAsia="en-US"/>
              </w:rPr>
            </w:pPr>
            <w:r w:rsidRPr="00CE47BF">
              <w:rPr>
                <w:rFonts w:cs="Calibri"/>
                <w:b w:val="0"/>
                <w:i/>
                <w:iCs/>
                <w:szCs w:val="22"/>
                <w:lang w:val="en-US" w:eastAsia="en-US"/>
              </w:rPr>
              <w:t>24.10%</w:t>
            </w:r>
          </w:p>
        </w:tc>
        <w:tc>
          <w:tcPr>
            <w:tcW w:w="1120" w:type="dxa"/>
            <w:shd w:val="clear" w:color="auto" w:fill="FFFFFF" w:themeFill="background1"/>
            <w:vAlign w:val="center"/>
            <w:hideMark/>
          </w:tcPr>
          <w:p w14:paraId="16C0680F" w14:textId="77777777" w:rsidR="00730639" w:rsidRPr="00CE47BF" w:rsidRDefault="00730639" w:rsidP="00E94C66">
            <w:pPr>
              <w:spacing w:before="0" w:line="240" w:lineRule="auto"/>
              <w:jc w:val="right"/>
              <w:rPr>
                <w:rFonts w:cs="Calibri"/>
                <w:b w:val="0"/>
                <w:i/>
                <w:iCs/>
                <w:szCs w:val="22"/>
                <w:lang w:val="en-US" w:eastAsia="en-US"/>
              </w:rPr>
            </w:pPr>
            <w:r w:rsidRPr="00CE47BF">
              <w:rPr>
                <w:rFonts w:cs="Calibri"/>
                <w:b w:val="0"/>
                <w:i/>
                <w:iCs/>
                <w:szCs w:val="22"/>
                <w:lang w:val="en-US" w:eastAsia="en-US"/>
              </w:rPr>
              <w:t>24.85%</w:t>
            </w:r>
          </w:p>
        </w:tc>
      </w:tr>
    </w:tbl>
    <w:p w14:paraId="29022C2B" w14:textId="77777777" w:rsidR="00730639" w:rsidRPr="00654AEF" w:rsidRDefault="00730639" w:rsidP="00730639">
      <w:pPr>
        <w:spacing w:before="0" w:line="259" w:lineRule="auto"/>
        <w:rPr>
          <w:rFonts w:eastAsia="Calibri"/>
          <w:bCs/>
          <w:i/>
          <w:iCs/>
          <w:color w:val="000000"/>
          <w:sz w:val="20"/>
          <w:szCs w:val="20"/>
          <w:lang w:val="hy-AM" w:eastAsia="en-US"/>
        </w:rPr>
      </w:pPr>
    </w:p>
    <w:p w14:paraId="536539AC" w14:textId="77777777" w:rsidR="00730639" w:rsidRPr="00654AEF" w:rsidRDefault="00730639" w:rsidP="00730639">
      <w:pPr>
        <w:spacing w:before="0" w:line="259" w:lineRule="auto"/>
        <w:rPr>
          <w:rFonts w:eastAsia="Calibri" w:cs="Sylfaen"/>
          <w:b w:val="0"/>
          <w:bCs/>
          <w:i/>
          <w:iCs/>
          <w:color w:val="000000"/>
          <w:sz w:val="20"/>
          <w:szCs w:val="20"/>
          <w:lang w:val="hy-AM" w:eastAsia="en-US"/>
        </w:rPr>
      </w:pPr>
      <w:r w:rsidRPr="00654AEF">
        <w:rPr>
          <w:rFonts w:eastAsia="Calibri"/>
          <w:bCs/>
          <w:i/>
          <w:iCs/>
          <w:color w:val="000000"/>
          <w:sz w:val="20"/>
          <w:szCs w:val="20"/>
          <w:lang w:val="hy-AM" w:eastAsia="en-US"/>
        </w:rPr>
        <w:t>Աղյուսակ 2.5.3.</w:t>
      </w:r>
      <w:r w:rsidRPr="00654AEF">
        <w:rPr>
          <w:rFonts w:eastAsia="Calibri"/>
          <w:bCs/>
          <w:i/>
          <w:iCs/>
          <w:sz w:val="20"/>
          <w:szCs w:val="20"/>
          <w:lang w:val="hy-AM" w:eastAsia="en-US"/>
        </w:rPr>
        <w:t xml:space="preserve"> </w:t>
      </w:r>
      <w:r w:rsidRPr="00654AEF">
        <w:rPr>
          <w:rFonts w:eastAsia="Calibri" w:cs="Sylfaen"/>
          <w:b w:val="0"/>
          <w:bCs/>
          <w:i/>
          <w:iCs/>
          <w:color w:val="000000"/>
          <w:sz w:val="20"/>
          <w:szCs w:val="20"/>
          <w:lang w:val="hy-AM" w:eastAsia="en-US"/>
        </w:rPr>
        <w:t>Պետական բյուջեի ծախսերի կանխատեսումների համեմատական աղյուսակը (մլրդ դրամ)</w:t>
      </w:r>
    </w:p>
    <w:tbl>
      <w:tblPr>
        <w:tblW w:w="7980" w:type="dxa"/>
        <w:tblInd w:w="10" w:type="dxa"/>
        <w:tblBorders>
          <w:top w:val="single" w:sz="4" w:space="0" w:color="auto"/>
          <w:bottom w:val="single" w:sz="4" w:space="0" w:color="auto"/>
          <w:insideH w:val="single" w:sz="4" w:space="0" w:color="auto"/>
        </w:tblBorders>
        <w:tblLook w:val="04A0" w:firstRow="1" w:lastRow="0" w:firstColumn="1" w:lastColumn="0" w:noHBand="0" w:noVBand="1"/>
      </w:tblPr>
      <w:tblGrid>
        <w:gridCol w:w="1280"/>
        <w:gridCol w:w="3340"/>
        <w:gridCol w:w="1120"/>
        <w:gridCol w:w="1120"/>
        <w:gridCol w:w="1120"/>
      </w:tblGrid>
      <w:tr w:rsidR="00730639" w:rsidRPr="00822EDF" w14:paraId="3DBD8071" w14:textId="77777777" w:rsidTr="00367064">
        <w:trPr>
          <w:trHeight w:val="602"/>
        </w:trPr>
        <w:tc>
          <w:tcPr>
            <w:tcW w:w="1280" w:type="dxa"/>
            <w:shd w:val="clear" w:color="auto" w:fill="FFFFFF" w:themeFill="background1"/>
            <w:vAlign w:val="center"/>
            <w:hideMark/>
          </w:tcPr>
          <w:p w14:paraId="6D626355"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Ընդունման տարին</w:t>
            </w:r>
          </w:p>
        </w:tc>
        <w:tc>
          <w:tcPr>
            <w:tcW w:w="3340" w:type="dxa"/>
            <w:shd w:val="clear" w:color="auto" w:fill="FFFFFF" w:themeFill="background1"/>
            <w:vAlign w:val="center"/>
            <w:hideMark/>
          </w:tcPr>
          <w:p w14:paraId="7289AAA3"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Ծրագիր</w:t>
            </w:r>
          </w:p>
        </w:tc>
        <w:tc>
          <w:tcPr>
            <w:tcW w:w="1120" w:type="dxa"/>
            <w:shd w:val="clear" w:color="auto" w:fill="FFFFFF" w:themeFill="background1"/>
            <w:vAlign w:val="center"/>
            <w:hideMark/>
          </w:tcPr>
          <w:p w14:paraId="26642BAC"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2022</w:t>
            </w:r>
          </w:p>
        </w:tc>
        <w:tc>
          <w:tcPr>
            <w:tcW w:w="1120" w:type="dxa"/>
            <w:shd w:val="clear" w:color="auto" w:fill="FFFFFF" w:themeFill="background1"/>
            <w:vAlign w:val="center"/>
            <w:hideMark/>
          </w:tcPr>
          <w:p w14:paraId="6BEC3415"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2023</w:t>
            </w:r>
          </w:p>
        </w:tc>
        <w:tc>
          <w:tcPr>
            <w:tcW w:w="1120" w:type="dxa"/>
            <w:shd w:val="clear" w:color="auto" w:fill="FFFFFF" w:themeFill="background1"/>
            <w:vAlign w:val="center"/>
            <w:hideMark/>
          </w:tcPr>
          <w:p w14:paraId="5F96F839"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2024</w:t>
            </w:r>
          </w:p>
        </w:tc>
      </w:tr>
      <w:tr w:rsidR="00730639" w:rsidRPr="00822EDF" w14:paraId="6D7BD9D1" w14:textId="77777777" w:rsidTr="00E94C66">
        <w:trPr>
          <w:trHeight w:val="345"/>
        </w:trPr>
        <w:tc>
          <w:tcPr>
            <w:tcW w:w="1280" w:type="dxa"/>
            <w:vMerge w:val="restart"/>
            <w:shd w:val="clear" w:color="auto" w:fill="FFFFFF" w:themeFill="background1"/>
            <w:vAlign w:val="center"/>
            <w:hideMark/>
          </w:tcPr>
          <w:p w14:paraId="29F551CF"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w:t>
            </w:r>
          </w:p>
        </w:tc>
        <w:tc>
          <w:tcPr>
            <w:tcW w:w="3340" w:type="dxa"/>
            <w:shd w:val="clear" w:color="auto" w:fill="FFFFFF" w:themeFill="background1"/>
            <w:noWrap/>
            <w:vAlign w:val="center"/>
            <w:hideMark/>
          </w:tcPr>
          <w:p w14:paraId="4350351C" w14:textId="77777777" w:rsidR="00730639" w:rsidRPr="00CE47BF" w:rsidRDefault="00730639" w:rsidP="00367064">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Փաստացի</w:t>
            </w:r>
          </w:p>
        </w:tc>
        <w:tc>
          <w:tcPr>
            <w:tcW w:w="1120" w:type="dxa"/>
            <w:shd w:val="clear" w:color="auto" w:fill="FFFFFF" w:themeFill="background1"/>
            <w:vAlign w:val="center"/>
            <w:hideMark/>
          </w:tcPr>
          <w:p w14:paraId="771254E0"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2,242.6</w:t>
            </w:r>
          </w:p>
        </w:tc>
        <w:tc>
          <w:tcPr>
            <w:tcW w:w="1120" w:type="dxa"/>
            <w:shd w:val="clear" w:color="auto" w:fill="FFFFFF" w:themeFill="background1"/>
            <w:noWrap/>
            <w:vAlign w:val="center"/>
            <w:hideMark/>
          </w:tcPr>
          <w:p w14:paraId="154F102F" w14:textId="08E5053C"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noWrap/>
            <w:vAlign w:val="center"/>
            <w:hideMark/>
          </w:tcPr>
          <w:p w14:paraId="152CA9D4" w14:textId="5506929B"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73001959" w14:textId="77777777" w:rsidTr="00E94C66">
        <w:trPr>
          <w:trHeight w:val="345"/>
        </w:trPr>
        <w:tc>
          <w:tcPr>
            <w:tcW w:w="1280" w:type="dxa"/>
            <w:vMerge/>
            <w:shd w:val="clear" w:color="auto" w:fill="FFFFFF" w:themeFill="background1"/>
            <w:vAlign w:val="center"/>
            <w:hideMark/>
          </w:tcPr>
          <w:p w14:paraId="436022C8"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noWrap/>
            <w:vAlign w:val="center"/>
            <w:hideMark/>
          </w:tcPr>
          <w:p w14:paraId="5A23363C" w14:textId="77777777" w:rsidR="00730639" w:rsidRPr="00CE47BF" w:rsidRDefault="00730639" w:rsidP="00367064">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13E48500"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26.38%</w:t>
            </w:r>
          </w:p>
        </w:tc>
        <w:tc>
          <w:tcPr>
            <w:tcW w:w="1120" w:type="dxa"/>
            <w:shd w:val="clear" w:color="auto" w:fill="FFFFFF" w:themeFill="background1"/>
            <w:noWrap/>
            <w:vAlign w:val="center"/>
            <w:hideMark/>
          </w:tcPr>
          <w:p w14:paraId="40CF0560" w14:textId="78332CE8"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noWrap/>
            <w:vAlign w:val="center"/>
            <w:hideMark/>
          </w:tcPr>
          <w:p w14:paraId="610E0C70" w14:textId="5E4EAFFF"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54C84AB9" w14:textId="77777777" w:rsidTr="00E94C66">
        <w:trPr>
          <w:trHeight w:val="345"/>
        </w:trPr>
        <w:tc>
          <w:tcPr>
            <w:tcW w:w="1280" w:type="dxa"/>
            <w:vMerge w:val="restart"/>
            <w:shd w:val="clear" w:color="auto" w:fill="FFFFFF" w:themeFill="background1"/>
            <w:vAlign w:val="center"/>
            <w:hideMark/>
          </w:tcPr>
          <w:p w14:paraId="65D9646A"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2021</w:t>
            </w:r>
          </w:p>
        </w:tc>
        <w:tc>
          <w:tcPr>
            <w:tcW w:w="3340" w:type="dxa"/>
            <w:shd w:val="clear" w:color="auto" w:fill="FFFFFF" w:themeFill="background1"/>
            <w:noWrap/>
            <w:vAlign w:val="center"/>
            <w:hideMark/>
          </w:tcPr>
          <w:p w14:paraId="5FEE24BA" w14:textId="0BC2C340" w:rsidR="00730639" w:rsidRPr="00CE47BF" w:rsidRDefault="00730639" w:rsidP="00367064">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ՄԺԾԾ 2022-2024</w:t>
            </w:r>
          </w:p>
        </w:tc>
        <w:tc>
          <w:tcPr>
            <w:tcW w:w="1120" w:type="dxa"/>
            <w:shd w:val="clear" w:color="auto" w:fill="FFFFFF" w:themeFill="background1"/>
            <w:vAlign w:val="center"/>
            <w:hideMark/>
          </w:tcPr>
          <w:p w14:paraId="4E03D4D4"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2,000.9</w:t>
            </w:r>
          </w:p>
        </w:tc>
        <w:tc>
          <w:tcPr>
            <w:tcW w:w="1120" w:type="dxa"/>
            <w:shd w:val="clear" w:color="auto" w:fill="FFFFFF" w:themeFill="background1"/>
            <w:vAlign w:val="center"/>
            <w:hideMark/>
          </w:tcPr>
          <w:p w14:paraId="04089A04"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2,135.5</w:t>
            </w:r>
          </w:p>
        </w:tc>
        <w:tc>
          <w:tcPr>
            <w:tcW w:w="1120" w:type="dxa"/>
            <w:shd w:val="clear" w:color="auto" w:fill="FFFFFF" w:themeFill="background1"/>
            <w:vAlign w:val="center"/>
            <w:hideMark/>
          </w:tcPr>
          <w:p w14:paraId="59094C7D"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2,312.0</w:t>
            </w:r>
          </w:p>
        </w:tc>
      </w:tr>
      <w:tr w:rsidR="00730639" w:rsidRPr="00822EDF" w14:paraId="29330C2A" w14:textId="77777777" w:rsidTr="00E94C66">
        <w:trPr>
          <w:trHeight w:val="345"/>
        </w:trPr>
        <w:tc>
          <w:tcPr>
            <w:tcW w:w="1280" w:type="dxa"/>
            <w:vMerge/>
            <w:shd w:val="clear" w:color="auto" w:fill="FFFFFF" w:themeFill="background1"/>
            <w:vAlign w:val="center"/>
            <w:hideMark/>
          </w:tcPr>
          <w:p w14:paraId="22E789F4" w14:textId="77777777" w:rsidR="00730639" w:rsidRPr="00CE47BF" w:rsidRDefault="00730639" w:rsidP="00367064">
            <w:pPr>
              <w:spacing w:before="0" w:line="240" w:lineRule="auto"/>
              <w:jc w:val="center"/>
              <w:rPr>
                <w:rFonts w:cs="Calibri"/>
                <w:b w:val="0"/>
                <w:i/>
                <w:iCs/>
                <w:sz w:val="20"/>
                <w:szCs w:val="20"/>
                <w:lang w:val="en-US" w:eastAsia="en-US"/>
              </w:rPr>
            </w:pPr>
          </w:p>
        </w:tc>
        <w:tc>
          <w:tcPr>
            <w:tcW w:w="3340" w:type="dxa"/>
            <w:shd w:val="clear" w:color="auto" w:fill="FFFFFF" w:themeFill="background1"/>
            <w:vAlign w:val="center"/>
            <w:hideMark/>
          </w:tcPr>
          <w:p w14:paraId="27A41AF3" w14:textId="77777777" w:rsidR="00730639" w:rsidRPr="00CE47BF" w:rsidRDefault="00730639" w:rsidP="00367064">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5DAAB6CA"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26.40%</w:t>
            </w:r>
          </w:p>
        </w:tc>
        <w:tc>
          <w:tcPr>
            <w:tcW w:w="1120" w:type="dxa"/>
            <w:shd w:val="clear" w:color="auto" w:fill="FFFFFF" w:themeFill="background1"/>
            <w:vAlign w:val="center"/>
            <w:hideMark/>
          </w:tcPr>
          <w:p w14:paraId="79334D67"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26.10%</w:t>
            </w:r>
          </w:p>
        </w:tc>
        <w:tc>
          <w:tcPr>
            <w:tcW w:w="1120" w:type="dxa"/>
            <w:shd w:val="clear" w:color="auto" w:fill="FFFFFF" w:themeFill="background1"/>
            <w:vAlign w:val="center"/>
            <w:hideMark/>
          </w:tcPr>
          <w:p w14:paraId="402D6972"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26.20%</w:t>
            </w:r>
          </w:p>
        </w:tc>
      </w:tr>
      <w:tr w:rsidR="00730639" w:rsidRPr="00822EDF" w14:paraId="1748C1EA" w14:textId="77777777" w:rsidTr="00E94C66">
        <w:trPr>
          <w:trHeight w:val="345"/>
        </w:trPr>
        <w:tc>
          <w:tcPr>
            <w:tcW w:w="1280" w:type="dxa"/>
            <w:vMerge/>
            <w:shd w:val="clear" w:color="auto" w:fill="FFFFFF" w:themeFill="background1"/>
            <w:vAlign w:val="center"/>
            <w:hideMark/>
          </w:tcPr>
          <w:p w14:paraId="26666141" w14:textId="77777777" w:rsidR="00730639" w:rsidRPr="00CE47BF" w:rsidRDefault="00730639" w:rsidP="00367064">
            <w:pPr>
              <w:spacing w:before="0" w:line="240" w:lineRule="auto"/>
              <w:jc w:val="center"/>
              <w:rPr>
                <w:rFonts w:cs="Calibri"/>
                <w:b w:val="0"/>
                <w:i/>
                <w:iCs/>
                <w:sz w:val="20"/>
                <w:szCs w:val="20"/>
                <w:lang w:val="en-US" w:eastAsia="en-US"/>
              </w:rPr>
            </w:pPr>
          </w:p>
        </w:tc>
        <w:tc>
          <w:tcPr>
            <w:tcW w:w="3340" w:type="dxa"/>
            <w:shd w:val="clear" w:color="auto" w:fill="FFFFFF" w:themeFill="background1"/>
            <w:noWrap/>
            <w:vAlign w:val="center"/>
            <w:hideMark/>
          </w:tcPr>
          <w:p w14:paraId="40ADC4B8" w14:textId="77777777" w:rsidR="00730639" w:rsidRPr="00CE47BF" w:rsidRDefault="00730639" w:rsidP="00367064">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2022թ. Պետական բյուջե</w:t>
            </w:r>
          </w:p>
        </w:tc>
        <w:tc>
          <w:tcPr>
            <w:tcW w:w="1120" w:type="dxa"/>
            <w:shd w:val="clear" w:color="auto" w:fill="FFFFFF" w:themeFill="background1"/>
            <w:vAlign w:val="center"/>
            <w:hideMark/>
          </w:tcPr>
          <w:p w14:paraId="656092F8"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2,184.0</w:t>
            </w:r>
          </w:p>
        </w:tc>
        <w:tc>
          <w:tcPr>
            <w:tcW w:w="1120" w:type="dxa"/>
            <w:shd w:val="clear" w:color="auto" w:fill="FFFFFF" w:themeFill="background1"/>
            <w:vAlign w:val="center"/>
            <w:hideMark/>
          </w:tcPr>
          <w:p w14:paraId="44F322EA" w14:textId="49C91A28"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noWrap/>
            <w:vAlign w:val="center"/>
            <w:hideMark/>
          </w:tcPr>
          <w:p w14:paraId="3E8F3749" w14:textId="42FD5B4E"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4D5A8720" w14:textId="77777777" w:rsidTr="00E94C66">
        <w:trPr>
          <w:trHeight w:val="345"/>
        </w:trPr>
        <w:tc>
          <w:tcPr>
            <w:tcW w:w="1280" w:type="dxa"/>
            <w:vMerge/>
            <w:shd w:val="clear" w:color="auto" w:fill="FFFFFF" w:themeFill="background1"/>
            <w:vAlign w:val="center"/>
            <w:hideMark/>
          </w:tcPr>
          <w:p w14:paraId="5D43F20B" w14:textId="77777777" w:rsidR="00730639" w:rsidRPr="00CE47BF" w:rsidRDefault="00730639" w:rsidP="00367064">
            <w:pPr>
              <w:spacing w:before="0" w:line="240" w:lineRule="auto"/>
              <w:jc w:val="center"/>
              <w:rPr>
                <w:rFonts w:cs="Calibri"/>
                <w:b w:val="0"/>
                <w:i/>
                <w:iCs/>
                <w:sz w:val="20"/>
                <w:szCs w:val="20"/>
                <w:lang w:val="en-US" w:eastAsia="en-US"/>
              </w:rPr>
            </w:pPr>
          </w:p>
        </w:tc>
        <w:tc>
          <w:tcPr>
            <w:tcW w:w="3340" w:type="dxa"/>
            <w:shd w:val="clear" w:color="auto" w:fill="FFFFFF" w:themeFill="background1"/>
            <w:vAlign w:val="center"/>
            <w:hideMark/>
          </w:tcPr>
          <w:p w14:paraId="12A96724" w14:textId="77777777" w:rsidR="00730639" w:rsidRPr="00CE47BF" w:rsidRDefault="00730639" w:rsidP="00367064">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07E68D13"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27.80%</w:t>
            </w:r>
          </w:p>
        </w:tc>
        <w:tc>
          <w:tcPr>
            <w:tcW w:w="1120" w:type="dxa"/>
            <w:shd w:val="clear" w:color="auto" w:fill="FFFFFF" w:themeFill="background1"/>
            <w:vAlign w:val="center"/>
            <w:hideMark/>
          </w:tcPr>
          <w:p w14:paraId="32BEBFD6" w14:textId="0CA492F6"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noWrap/>
            <w:vAlign w:val="center"/>
            <w:hideMark/>
          </w:tcPr>
          <w:p w14:paraId="5AD2357B" w14:textId="20A68FC1"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216D5164" w14:textId="77777777" w:rsidTr="00E94C66">
        <w:trPr>
          <w:trHeight w:val="345"/>
        </w:trPr>
        <w:tc>
          <w:tcPr>
            <w:tcW w:w="1280" w:type="dxa"/>
            <w:vMerge w:val="restart"/>
            <w:shd w:val="clear" w:color="auto" w:fill="FFFFFF" w:themeFill="background1"/>
            <w:vAlign w:val="center"/>
            <w:hideMark/>
          </w:tcPr>
          <w:p w14:paraId="24FEAF7E"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2022</w:t>
            </w:r>
          </w:p>
        </w:tc>
        <w:tc>
          <w:tcPr>
            <w:tcW w:w="3340" w:type="dxa"/>
            <w:shd w:val="clear" w:color="auto" w:fill="FFFFFF" w:themeFill="background1"/>
            <w:noWrap/>
            <w:vAlign w:val="center"/>
            <w:hideMark/>
          </w:tcPr>
          <w:p w14:paraId="599F3895" w14:textId="30E5B548" w:rsidR="00730639" w:rsidRPr="00CE47BF" w:rsidRDefault="00730639" w:rsidP="00367064">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ՄԺԾԾ 2023-2025</w:t>
            </w:r>
          </w:p>
        </w:tc>
        <w:tc>
          <w:tcPr>
            <w:tcW w:w="1120" w:type="dxa"/>
            <w:shd w:val="clear" w:color="auto" w:fill="FFFFFF" w:themeFill="background1"/>
            <w:vAlign w:val="center"/>
            <w:hideMark/>
          </w:tcPr>
          <w:p w14:paraId="4C4A94BA"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2,192.2</w:t>
            </w:r>
          </w:p>
        </w:tc>
        <w:tc>
          <w:tcPr>
            <w:tcW w:w="1120" w:type="dxa"/>
            <w:shd w:val="clear" w:color="auto" w:fill="FFFFFF" w:themeFill="background1"/>
            <w:vAlign w:val="center"/>
            <w:hideMark/>
          </w:tcPr>
          <w:p w14:paraId="64389349"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2,546.0</w:t>
            </w:r>
          </w:p>
        </w:tc>
        <w:tc>
          <w:tcPr>
            <w:tcW w:w="1120" w:type="dxa"/>
            <w:shd w:val="clear" w:color="auto" w:fill="FFFFFF" w:themeFill="background1"/>
            <w:vAlign w:val="center"/>
            <w:hideMark/>
          </w:tcPr>
          <w:p w14:paraId="6977510D"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2,810.9</w:t>
            </w:r>
          </w:p>
        </w:tc>
      </w:tr>
      <w:tr w:rsidR="00730639" w:rsidRPr="00822EDF" w14:paraId="2B6C1285" w14:textId="77777777" w:rsidTr="00E94C66">
        <w:trPr>
          <w:trHeight w:val="345"/>
        </w:trPr>
        <w:tc>
          <w:tcPr>
            <w:tcW w:w="1280" w:type="dxa"/>
            <w:vMerge/>
            <w:shd w:val="clear" w:color="auto" w:fill="FFFFFF" w:themeFill="background1"/>
            <w:vAlign w:val="center"/>
            <w:hideMark/>
          </w:tcPr>
          <w:p w14:paraId="79D831DB" w14:textId="77777777" w:rsidR="00730639" w:rsidRPr="00CE47BF" w:rsidRDefault="00730639" w:rsidP="00367064">
            <w:pPr>
              <w:spacing w:before="0" w:line="240" w:lineRule="auto"/>
              <w:jc w:val="center"/>
              <w:rPr>
                <w:rFonts w:cs="Calibri"/>
                <w:b w:val="0"/>
                <w:i/>
                <w:iCs/>
                <w:sz w:val="20"/>
                <w:szCs w:val="20"/>
                <w:lang w:val="en-US" w:eastAsia="en-US"/>
              </w:rPr>
            </w:pPr>
          </w:p>
        </w:tc>
        <w:tc>
          <w:tcPr>
            <w:tcW w:w="3340" w:type="dxa"/>
            <w:shd w:val="clear" w:color="auto" w:fill="FFFFFF" w:themeFill="background1"/>
            <w:vAlign w:val="center"/>
            <w:hideMark/>
          </w:tcPr>
          <w:p w14:paraId="75FD982A" w14:textId="77777777" w:rsidR="00730639" w:rsidRPr="00CE47BF" w:rsidRDefault="00730639" w:rsidP="00367064">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1CC37BF8"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27.20%</w:t>
            </w:r>
          </w:p>
        </w:tc>
        <w:tc>
          <w:tcPr>
            <w:tcW w:w="1120" w:type="dxa"/>
            <w:shd w:val="clear" w:color="auto" w:fill="FFFFFF" w:themeFill="background1"/>
            <w:vAlign w:val="center"/>
            <w:hideMark/>
          </w:tcPr>
          <w:p w14:paraId="1277A48D"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28.10%</w:t>
            </w:r>
          </w:p>
        </w:tc>
        <w:tc>
          <w:tcPr>
            <w:tcW w:w="1120" w:type="dxa"/>
            <w:shd w:val="clear" w:color="auto" w:fill="FFFFFF" w:themeFill="background1"/>
            <w:vAlign w:val="center"/>
            <w:hideMark/>
          </w:tcPr>
          <w:p w14:paraId="12F06554"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27.80%</w:t>
            </w:r>
          </w:p>
        </w:tc>
      </w:tr>
      <w:tr w:rsidR="00730639" w:rsidRPr="00822EDF" w14:paraId="6E02EBC0" w14:textId="77777777" w:rsidTr="00E94C66">
        <w:trPr>
          <w:trHeight w:val="345"/>
        </w:trPr>
        <w:tc>
          <w:tcPr>
            <w:tcW w:w="1280" w:type="dxa"/>
            <w:vMerge/>
            <w:shd w:val="clear" w:color="auto" w:fill="FFFFFF" w:themeFill="background1"/>
            <w:vAlign w:val="center"/>
            <w:hideMark/>
          </w:tcPr>
          <w:p w14:paraId="6C0F4B56" w14:textId="77777777" w:rsidR="00730639" w:rsidRPr="00CE47BF" w:rsidRDefault="00730639" w:rsidP="00367064">
            <w:pPr>
              <w:spacing w:before="0" w:line="240" w:lineRule="auto"/>
              <w:jc w:val="center"/>
              <w:rPr>
                <w:rFonts w:cs="Calibri"/>
                <w:b w:val="0"/>
                <w:i/>
                <w:iCs/>
                <w:sz w:val="20"/>
                <w:szCs w:val="20"/>
                <w:lang w:val="en-US" w:eastAsia="en-US"/>
              </w:rPr>
            </w:pPr>
          </w:p>
        </w:tc>
        <w:tc>
          <w:tcPr>
            <w:tcW w:w="3340" w:type="dxa"/>
            <w:shd w:val="clear" w:color="auto" w:fill="FFFFFF" w:themeFill="background1"/>
            <w:noWrap/>
            <w:vAlign w:val="center"/>
            <w:hideMark/>
          </w:tcPr>
          <w:p w14:paraId="21CA05F9" w14:textId="77777777" w:rsidR="00730639" w:rsidRPr="00CE47BF" w:rsidRDefault="00730639" w:rsidP="00367064">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2023թ. Պետական բյուջե</w:t>
            </w:r>
          </w:p>
        </w:tc>
        <w:tc>
          <w:tcPr>
            <w:tcW w:w="1120" w:type="dxa"/>
            <w:shd w:val="clear" w:color="auto" w:fill="FFFFFF" w:themeFill="background1"/>
            <w:vAlign w:val="center"/>
            <w:hideMark/>
          </w:tcPr>
          <w:p w14:paraId="5E53F24E"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2,246.7</w:t>
            </w:r>
          </w:p>
        </w:tc>
        <w:tc>
          <w:tcPr>
            <w:tcW w:w="1120" w:type="dxa"/>
            <w:shd w:val="clear" w:color="auto" w:fill="FFFFFF" w:themeFill="background1"/>
            <w:vAlign w:val="center"/>
            <w:hideMark/>
          </w:tcPr>
          <w:p w14:paraId="558373CD"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2,591.0</w:t>
            </w:r>
          </w:p>
        </w:tc>
        <w:tc>
          <w:tcPr>
            <w:tcW w:w="1120" w:type="dxa"/>
            <w:shd w:val="clear" w:color="auto" w:fill="FFFFFF" w:themeFill="background1"/>
            <w:vAlign w:val="center"/>
            <w:hideMark/>
          </w:tcPr>
          <w:p w14:paraId="2EFE54AB" w14:textId="776860A5"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226AA553" w14:textId="77777777" w:rsidTr="00E94C66">
        <w:trPr>
          <w:trHeight w:val="345"/>
        </w:trPr>
        <w:tc>
          <w:tcPr>
            <w:tcW w:w="1280" w:type="dxa"/>
            <w:vMerge/>
            <w:shd w:val="clear" w:color="auto" w:fill="FFFFFF" w:themeFill="background1"/>
            <w:vAlign w:val="center"/>
            <w:hideMark/>
          </w:tcPr>
          <w:p w14:paraId="011B1778" w14:textId="77777777" w:rsidR="00730639" w:rsidRPr="00CE47BF" w:rsidRDefault="00730639" w:rsidP="00367064">
            <w:pPr>
              <w:spacing w:before="0" w:line="240" w:lineRule="auto"/>
              <w:jc w:val="center"/>
              <w:rPr>
                <w:rFonts w:cs="Calibri"/>
                <w:b w:val="0"/>
                <w:i/>
                <w:iCs/>
                <w:sz w:val="20"/>
                <w:szCs w:val="20"/>
                <w:lang w:val="en-US" w:eastAsia="en-US"/>
              </w:rPr>
            </w:pPr>
          </w:p>
        </w:tc>
        <w:tc>
          <w:tcPr>
            <w:tcW w:w="3340" w:type="dxa"/>
            <w:shd w:val="clear" w:color="auto" w:fill="FFFFFF" w:themeFill="background1"/>
            <w:vAlign w:val="center"/>
            <w:hideMark/>
          </w:tcPr>
          <w:p w14:paraId="07600DAB" w14:textId="77777777" w:rsidR="00730639" w:rsidRPr="00CE47BF" w:rsidRDefault="00730639" w:rsidP="00367064">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0AF92002"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27.09%</w:t>
            </w:r>
          </w:p>
        </w:tc>
        <w:tc>
          <w:tcPr>
            <w:tcW w:w="1120" w:type="dxa"/>
            <w:shd w:val="clear" w:color="auto" w:fill="FFFFFF" w:themeFill="background1"/>
            <w:vAlign w:val="center"/>
            <w:hideMark/>
          </w:tcPr>
          <w:p w14:paraId="124DA543"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27.80%</w:t>
            </w:r>
          </w:p>
        </w:tc>
        <w:tc>
          <w:tcPr>
            <w:tcW w:w="1120" w:type="dxa"/>
            <w:shd w:val="clear" w:color="auto" w:fill="FFFFFF" w:themeFill="background1"/>
            <w:vAlign w:val="center"/>
            <w:hideMark/>
          </w:tcPr>
          <w:p w14:paraId="47C9C3D5" w14:textId="7A50A3CE"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021A6E24" w14:textId="77777777" w:rsidTr="00E94C66">
        <w:trPr>
          <w:trHeight w:val="345"/>
        </w:trPr>
        <w:tc>
          <w:tcPr>
            <w:tcW w:w="1280" w:type="dxa"/>
            <w:vMerge w:val="restart"/>
            <w:shd w:val="clear" w:color="auto" w:fill="FFFFFF" w:themeFill="background1"/>
            <w:vAlign w:val="center"/>
            <w:hideMark/>
          </w:tcPr>
          <w:p w14:paraId="70552256"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2023</w:t>
            </w:r>
          </w:p>
        </w:tc>
        <w:tc>
          <w:tcPr>
            <w:tcW w:w="3340" w:type="dxa"/>
            <w:shd w:val="clear" w:color="auto" w:fill="FFFFFF" w:themeFill="background1"/>
            <w:noWrap/>
            <w:vAlign w:val="center"/>
            <w:hideMark/>
          </w:tcPr>
          <w:p w14:paraId="0D133E7F" w14:textId="02A91E6F" w:rsidR="00730639" w:rsidRPr="00CE47BF" w:rsidRDefault="00730639" w:rsidP="00367064">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ՄԺԾԾ 2024-2026</w:t>
            </w:r>
          </w:p>
        </w:tc>
        <w:tc>
          <w:tcPr>
            <w:tcW w:w="1120" w:type="dxa"/>
            <w:shd w:val="clear" w:color="auto" w:fill="FFFFFF" w:themeFill="background1"/>
            <w:vAlign w:val="center"/>
            <w:hideMark/>
          </w:tcPr>
          <w:p w14:paraId="36514E5A" w14:textId="2D0140E6"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vAlign w:val="center"/>
            <w:hideMark/>
          </w:tcPr>
          <w:p w14:paraId="68379FB8"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2,607.6</w:t>
            </w:r>
          </w:p>
        </w:tc>
        <w:tc>
          <w:tcPr>
            <w:tcW w:w="1120" w:type="dxa"/>
            <w:shd w:val="clear" w:color="auto" w:fill="FFFFFF" w:themeFill="background1"/>
            <w:vAlign w:val="center"/>
            <w:hideMark/>
          </w:tcPr>
          <w:p w14:paraId="38F74B8F"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2,966.7</w:t>
            </w:r>
          </w:p>
        </w:tc>
      </w:tr>
      <w:tr w:rsidR="00730639" w:rsidRPr="00822EDF" w14:paraId="33BC6D47" w14:textId="77777777" w:rsidTr="00E94C66">
        <w:trPr>
          <w:trHeight w:val="345"/>
        </w:trPr>
        <w:tc>
          <w:tcPr>
            <w:tcW w:w="1280" w:type="dxa"/>
            <w:vMerge/>
            <w:shd w:val="clear" w:color="auto" w:fill="FFFFFF" w:themeFill="background1"/>
            <w:vAlign w:val="center"/>
            <w:hideMark/>
          </w:tcPr>
          <w:p w14:paraId="4B000F9A"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vAlign w:val="center"/>
            <w:hideMark/>
          </w:tcPr>
          <w:p w14:paraId="5C636D73" w14:textId="77777777" w:rsidR="00730639" w:rsidRPr="00CE47BF" w:rsidRDefault="00730639" w:rsidP="00367064">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6D6AB1D6" w14:textId="2423705B"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vAlign w:val="center"/>
            <w:hideMark/>
          </w:tcPr>
          <w:p w14:paraId="31354F83"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27.35%</w:t>
            </w:r>
          </w:p>
        </w:tc>
        <w:tc>
          <w:tcPr>
            <w:tcW w:w="1120" w:type="dxa"/>
            <w:shd w:val="clear" w:color="auto" w:fill="FFFFFF" w:themeFill="background1"/>
            <w:vAlign w:val="center"/>
            <w:hideMark/>
          </w:tcPr>
          <w:p w14:paraId="6538164D"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27.97%</w:t>
            </w:r>
          </w:p>
        </w:tc>
      </w:tr>
      <w:tr w:rsidR="00730639" w:rsidRPr="00822EDF" w14:paraId="576ED714" w14:textId="77777777" w:rsidTr="00E94C66">
        <w:trPr>
          <w:trHeight w:val="345"/>
        </w:trPr>
        <w:tc>
          <w:tcPr>
            <w:tcW w:w="1280" w:type="dxa"/>
            <w:vMerge/>
            <w:shd w:val="clear" w:color="auto" w:fill="FFFFFF" w:themeFill="background1"/>
            <w:vAlign w:val="center"/>
            <w:hideMark/>
          </w:tcPr>
          <w:p w14:paraId="5EB90672"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noWrap/>
            <w:vAlign w:val="center"/>
            <w:hideMark/>
          </w:tcPr>
          <w:p w14:paraId="7B393274" w14:textId="77777777" w:rsidR="00730639" w:rsidRPr="00CE47BF" w:rsidRDefault="00730639" w:rsidP="00367064">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2024թ. Պետական բյուջե</w:t>
            </w:r>
          </w:p>
        </w:tc>
        <w:tc>
          <w:tcPr>
            <w:tcW w:w="1120" w:type="dxa"/>
            <w:shd w:val="clear" w:color="auto" w:fill="FFFFFF" w:themeFill="background1"/>
            <w:vAlign w:val="center"/>
            <w:hideMark/>
          </w:tcPr>
          <w:p w14:paraId="5C5193AF" w14:textId="7E9A1165"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vAlign w:val="center"/>
            <w:hideMark/>
          </w:tcPr>
          <w:p w14:paraId="409B910B"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2,653.4</w:t>
            </w:r>
          </w:p>
        </w:tc>
        <w:tc>
          <w:tcPr>
            <w:tcW w:w="1120" w:type="dxa"/>
            <w:shd w:val="clear" w:color="auto" w:fill="FFFFFF" w:themeFill="background1"/>
            <w:vAlign w:val="center"/>
            <w:hideMark/>
          </w:tcPr>
          <w:p w14:paraId="2B181F20"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3,206.5</w:t>
            </w:r>
          </w:p>
        </w:tc>
      </w:tr>
      <w:tr w:rsidR="00730639" w:rsidRPr="00822EDF" w14:paraId="618D4808" w14:textId="77777777" w:rsidTr="00E94C66">
        <w:trPr>
          <w:trHeight w:val="345"/>
        </w:trPr>
        <w:tc>
          <w:tcPr>
            <w:tcW w:w="1280" w:type="dxa"/>
            <w:vMerge/>
            <w:shd w:val="clear" w:color="auto" w:fill="FFFFFF" w:themeFill="background1"/>
            <w:vAlign w:val="center"/>
            <w:hideMark/>
          </w:tcPr>
          <w:p w14:paraId="523E0CE8"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vAlign w:val="center"/>
            <w:hideMark/>
          </w:tcPr>
          <w:p w14:paraId="3181F6AD" w14:textId="77777777" w:rsidR="00730639" w:rsidRPr="00CE47BF" w:rsidRDefault="00730639" w:rsidP="00367064">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61E10EE1" w14:textId="779A54B0"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vAlign w:val="center"/>
            <w:hideMark/>
          </w:tcPr>
          <w:p w14:paraId="1204CB3F"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28.08%</w:t>
            </w:r>
          </w:p>
        </w:tc>
        <w:tc>
          <w:tcPr>
            <w:tcW w:w="1120" w:type="dxa"/>
            <w:shd w:val="clear" w:color="auto" w:fill="FFFFFF" w:themeFill="background1"/>
            <w:vAlign w:val="center"/>
            <w:hideMark/>
          </w:tcPr>
          <w:p w14:paraId="5CF5ECE0"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30.49%</w:t>
            </w:r>
          </w:p>
        </w:tc>
      </w:tr>
    </w:tbl>
    <w:p w14:paraId="04114203" w14:textId="77777777" w:rsidR="00730639" w:rsidRPr="00654AEF" w:rsidRDefault="00730639" w:rsidP="00730639">
      <w:pPr>
        <w:spacing w:before="0" w:line="259" w:lineRule="auto"/>
        <w:rPr>
          <w:rFonts w:eastAsia="Calibri" w:cs="Sylfaen"/>
          <w:b w:val="0"/>
          <w:bCs/>
          <w:i/>
          <w:iCs/>
          <w:color w:val="000000"/>
          <w:sz w:val="20"/>
          <w:szCs w:val="20"/>
          <w:lang w:val="hy-AM" w:eastAsia="en-US"/>
        </w:rPr>
      </w:pPr>
    </w:p>
    <w:p w14:paraId="251E1E2B" w14:textId="77777777" w:rsidR="00730639" w:rsidRPr="00654AEF" w:rsidRDefault="00730639" w:rsidP="00730639">
      <w:pPr>
        <w:spacing w:before="0" w:line="259" w:lineRule="auto"/>
        <w:rPr>
          <w:rFonts w:eastAsia="Calibri" w:cs="Sylfaen"/>
          <w:b w:val="0"/>
          <w:bCs/>
          <w:i/>
          <w:iCs/>
          <w:color w:val="000000"/>
          <w:sz w:val="20"/>
          <w:szCs w:val="20"/>
          <w:lang w:val="hy-AM" w:eastAsia="en-US"/>
        </w:rPr>
      </w:pPr>
      <w:r w:rsidRPr="00654AEF">
        <w:rPr>
          <w:rFonts w:eastAsia="Calibri"/>
          <w:bCs/>
          <w:i/>
          <w:iCs/>
          <w:color w:val="000000"/>
          <w:sz w:val="20"/>
          <w:szCs w:val="20"/>
          <w:lang w:val="hy-AM" w:eastAsia="en-US"/>
        </w:rPr>
        <w:t>Աղյուսակ 2.5.4.</w:t>
      </w:r>
      <w:r w:rsidRPr="00654AEF">
        <w:rPr>
          <w:rFonts w:eastAsia="Calibri"/>
          <w:bCs/>
          <w:i/>
          <w:iCs/>
          <w:sz w:val="20"/>
          <w:szCs w:val="20"/>
          <w:lang w:val="hy-AM" w:eastAsia="en-US"/>
        </w:rPr>
        <w:t xml:space="preserve"> </w:t>
      </w:r>
      <w:r w:rsidRPr="00654AEF">
        <w:rPr>
          <w:rFonts w:eastAsia="Calibri" w:cs="Sylfaen"/>
          <w:b w:val="0"/>
          <w:bCs/>
          <w:i/>
          <w:iCs/>
          <w:color w:val="000000"/>
          <w:sz w:val="20"/>
          <w:szCs w:val="20"/>
          <w:lang w:val="hy-AM" w:eastAsia="en-US"/>
        </w:rPr>
        <w:t>Պետական բյուջեի ընթացիկ ծախսերի կանխատեսումների համեմատական աղյուսակը (մլրդ դրամ)</w:t>
      </w:r>
    </w:p>
    <w:tbl>
      <w:tblPr>
        <w:tblW w:w="7980" w:type="dxa"/>
        <w:tblBorders>
          <w:insideH w:val="single" w:sz="4" w:space="0" w:color="auto"/>
        </w:tblBorders>
        <w:tblLook w:val="04A0" w:firstRow="1" w:lastRow="0" w:firstColumn="1" w:lastColumn="0" w:noHBand="0" w:noVBand="1"/>
      </w:tblPr>
      <w:tblGrid>
        <w:gridCol w:w="1280"/>
        <w:gridCol w:w="3340"/>
        <w:gridCol w:w="1120"/>
        <w:gridCol w:w="1120"/>
        <w:gridCol w:w="1120"/>
      </w:tblGrid>
      <w:tr w:rsidR="00730639" w:rsidRPr="00822EDF" w14:paraId="5AF70176" w14:textId="77777777" w:rsidTr="00E94C66">
        <w:trPr>
          <w:trHeight w:val="675"/>
        </w:trPr>
        <w:tc>
          <w:tcPr>
            <w:tcW w:w="1280" w:type="dxa"/>
            <w:shd w:val="clear" w:color="auto" w:fill="FFFFFF" w:themeFill="background1"/>
            <w:vAlign w:val="center"/>
            <w:hideMark/>
          </w:tcPr>
          <w:p w14:paraId="0F78307D"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Ընդունման տարին</w:t>
            </w:r>
          </w:p>
        </w:tc>
        <w:tc>
          <w:tcPr>
            <w:tcW w:w="3340" w:type="dxa"/>
            <w:shd w:val="clear" w:color="auto" w:fill="FFFFFF" w:themeFill="background1"/>
            <w:vAlign w:val="center"/>
            <w:hideMark/>
          </w:tcPr>
          <w:p w14:paraId="10E8EF39"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Ծրագիր</w:t>
            </w:r>
          </w:p>
        </w:tc>
        <w:tc>
          <w:tcPr>
            <w:tcW w:w="1120" w:type="dxa"/>
            <w:shd w:val="clear" w:color="auto" w:fill="FFFFFF" w:themeFill="background1"/>
            <w:vAlign w:val="center"/>
            <w:hideMark/>
          </w:tcPr>
          <w:p w14:paraId="532E1FF1"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2022</w:t>
            </w:r>
          </w:p>
        </w:tc>
        <w:tc>
          <w:tcPr>
            <w:tcW w:w="1120" w:type="dxa"/>
            <w:shd w:val="clear" w:color="auto" w:fill="FFFFFF" w:themeFill="background1"/>
            <w:vAlign w:val="center"/>
            <w:hideMark/>
          </w:tcPr>
          <w:p w14:paraId="2B8C5045"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2023</w:t>
            </w:r>
          </w:p>
        </w:tc>
        <w:tc>
          <w:tcPr>
            <w:tcW w:w="1120" w:type="dxa"/>
            <w:shd w:val="clear" w:color="auto" w:fill="FFFFFF" w:themeFill="background1"/>
            <w:vAlign w:val="center"/>
            <w:hideMark/>
          </w:tcPr>
          <w:p w14:paraId="40F03A3D"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2024</w:t>
            </w:r>
          </w:p>
        </w:tc>
      </w:tr>
      <w:tr w:rsidR="00730639" w:rsidRPr="00822EDF" w14:paraId="5539FA48" w14:textId="77777777" w:rsidTr="00E94C66">
        <w:trPr>
          <w:trHeight w:val="345"/>
        </w:trPr>
        <w:tc>
          <w:tcPr>
            <w:tcW w:w="1280" w:type="dxa"/>
            <w:vMerge w:val="restart"/>
            <w:shd w:val="clear" w:color="auto" w:fill="FFFFFF" w:themeFill="background1"/>
            <w:vAlign w:val="center"/>
            <w:hideMark/>
          </w:tcPr>
          <w:p w14:paraId="50FFFAC3"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w:t>
            </w:r>
          </w:p>
        </w:tc>
        <w:tc>
          <w:tcPr>
            <w:tcW w:w="3340" w:type="dxa"/>
            <w:shd w:val="clear" w:color="auto" w:fill="FFFFFF" w:themeFill="background1"/>
            <w:noWrap/>
            <w:vAlign w:val="center"/>
            <w:hideMark/>
          </w:tcPr>
          <w:p w14:paraId="0743DE17"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Փաստացի</w:t>
            </w:r>
          </w:p>
        </w:tc>
        <w:tc>
          <w:tcPr>
            <w:tcW w:w="1120" w:type="dxa"/>
            <w:shd w:val="clear" w:color="auto" w:fill="FFFFFF" w:themeFill="background1"/>
            <w:vAlign w:val="center"/>
            <w:hideMark/>
          </w:tcPr>
          <w:p w14:paraId="51ABC443"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1,862.2</w:t>
            </w:r>
          </w:p>
        </w:tc>
        <w:tc>
          <w:tcPr>
            <w:tcW w:w="1120" w:type="dxa"/>
            <w:shd w:val="clear" w:color="auto" w:fill="FFFFFF" w:themeFill="background1"/>
            <w:noWrap/>
            <w:vAlign w:val="center"/>
            <w:hideMark/>
          </w:tcPr>
          <w:p w14:paraId="4595291D" w14:textId="7FE59C80"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noWrap/>
            <w:vAlign w:val="center"/>
            <w:hideMark/>
          </w:tcPr>
          <w:p w14:paraId="06571129" w14:textId="26B1E724"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7936A7CF" w14:textId="77777777" w:rsidTr="00E94C66">
        <w:trPr>
          <w:trHeight w:val="345"/>
        </w:trPr>
        <w:tc>
          <w:tcPr>
            <w:tcW w:w="1280" w:type="dxa"/>
            <w:vMerge/>
            <w:shd w:val="clear" w:color="auto" w:fill="FFFFFF" w:themeFill="background1"/>
            <w:vAlign w:val="center"/>
            <w:hideMark/>
          </w:tcPr>
          <w:p w14:paraId="2C437253"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noWrap/>
            <w:vAlign w:val="center"/>
            <w:hideMark/>
          </w:tcPr>
          <w:p w14:paraId="3285AFA6"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4DB03072"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21.90%</w:t>
            </w:r>
          </w:p>
        </w:tc>
        <w:tc>
          <w:tcPr>
            <w:tcW w:w="1120" w:type="dxa"/>
            <w:shd w:val="clear" w:color="auto" w:fill="FFFFFF" w:themeFill="background1"/>
            <w:noWrap/>
            <w:vAlign w:val="center"/>
            <w:hideMark/>
          </w:tcPr>
          <w:p w14:paraId="7B3F67A4" w14:textId="11FD27AC"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noWrap/>
            <w:vAlign w:val="center"/>
            <w:hideMark/>
          </w:tcPr>
          <w:p w14:paraId="4A7803CD" w14:textId="37E7B1EC"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11F01C95" w14:textId="77777777" w:rsidTr="00E94C66">
        <w:trPr>
          <w:trHeight w:val="345"/>
        </w:trPr>
        <w:tc>
          <w:tcPr>
            <w:tcW w:w="1280" w:type="dxa"/>
            <w:vMerge w:val="restart"/>
            <w:shd w:val="clear" w:color="auto" w:fill="FFFFFF" w:themeFill="background1"/>
            <w:vAlign w:val="center"/>
            <w:hideMark/>
          </w:tcPr>
          <w:p w14:paraId="40D0B652"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lastRenderedPageBreak/>
              <w:t>2021</w:t>
            </w:r>
          </w:p>
        </w:tc>
        <w:tc>
          <w:tcPr>
            <w:tcW w:w="3340" w:type="dxa"/>
            <w:shd w:val="clear" w:color="auto" w:fill="FFFFFF" w:themeFill="background1"/>
            <w:noWrap/>
            <w:vAlign w:val="center"/>
            <w:hideMark/>
          </w:tcPr>
          <w:p w14:paraId="21EF4706"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 xml:space="preserve"> ՄԺԾԾ 2022-2024</w:t>
            </w:r>
          </w:p>
        </w:tc>
        <w:tc>
          <w:tcPr>
            <w:tcW w:w="1120" w:type="dxa"/>
            <w:shd w:val="clear" w:color="auto" w:fill="FFFFFF" w:themeFill="background1"/>
            <w:vAlign w:val="center"/>
            <w:hideMark/>
          </w:tcPr>
          <w:p w14:paraId="738485D9"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1,708.3</w:t>
            </w:r>
          </w:p>
        </w:tc>
        <w:tc>
          <w:tcPr>
            <w:tcW w:w="1120" w:type="dxa"/>
            <w:shd w:val="clear" w:color="auto" w:fill="FFFFFF" w:themeFill="background1"/>
            <w:vAlign w:val="center"/>
            <w:hideMark/>
          </w:tcPr>
          <w:p w14:paraId="3E0FB96A"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1,827.3</w:t>
            </w:r>
          </w:p>
        </w:tc>
        <w:tc>
          <w:tcPr>
            <w:tcW w:w="1120" w:type="dxa"/>
            <w:shd w:val="clear" w:color="auto" w:fill="FFFFFF" w:themeFill="background1"/>
            <w:vAlign w:val="center"/>
            <w:hideMark/>
          </w:tcPr>
          <w:p w14:paraId="7C48DA6A"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1,958.1</w:t>
            </w:r>
          </w:p>
        </w:tc>
      </w:tr>
      <w:tr w:rsidR="00730639" w:rsidRPr="00822EDF" w14:paraId="4329BE3D" w14:textId="77777777" w:rsidTr="00E94C66">
        <w:trPr>
          <w:trHeight w:val="345"/>
        </w:trPr>
        <w:tc>
          <w:tcPr>
            <w:tcW w:w="1280" w:type="dxa"/>
            <w:vMerge/>
            <w:shd w:val="clear" w:color="auto" w:fill="FFFFFF" w:themeFill="background1"/>
            <w:vAlign w:val="center"/>
            <w:hideMark/>
          </w:tcPr>
          <w:p w14:paraId="43852E36"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vAlign w:val="center"/>
            <w:hideMark/>
          </w:tcPr>
          <w:p w14:paraId="674A9C4A"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345AB872"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22.60%</w:t>
            </w:r>
          </w:p>
        </w:tc>
        <w:tc>
          <w:tcPr>
            <w:tcW w:w="1120" w:type="dxa"/>
            <w:shd w:val="clear" w:color="auto" w:fill="FFFFFF" w:themeFill="background1"/>
            <w:vAlign w:val="center"/>
            <w:hideMark/>
          </w:tcPr>
          <w:p w14:paraId="1762C708"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22.40%</w:t>
            </w:r>
          </w:p>
        </w:tc>
        <w:tc>
          <w:tcPr>
            <w:tcW w:w="1120" w:type="dxa"/>
            <w:shd w:val="clear" w:color="auto" w:fill="FFFFFF" w:themeFill="background1"/>
            <w:vAlign w:val="center"/>
            <w:hideMark/>
          </w:tcPr>
          <w:p w14:paraId="437A3AAC"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22.20%</w:t>
            </w:r>
          </w:p>
        </w:tc>
      </w:tr>
      <w:tr w:rsidR="00730639" w:rsidRPr="00822EDF" w14:paraId="5A3DB335" w14:textId="77777777" w:rsidTr="00E94C66">
        <w:trPr>
          <w:trHeight w:val="345"/>
        </w:trPr>
        <w:tc>
          <w:tcPr>
            <w:tcW w:w="1280" w:type="dxa"/>
            <w:vMerge/>
            <w:shd w:val="clear" w:color="auto" w:fill="FFFFFF" w:themeFill="background1"/>
            <w:vAlign w:val="center"/>
            <w:hideMark/>
          </w:tcPr>
          <w:p w14:paraId="3373F743"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noWrap/>
            <w:vAlign w:val="center"/>
            <w:hideMark/>
          </w:tcPr>
          <w:p w14:paraId="02E19BA9"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2022թ. Պետական բյուջե</w:t>
            </w:r>
          </w:p>
        </w:tc>
        <w:tc>
          <w:tcPr>
            <w:tcW w:w="1120" w:type="dxa"/>
            <w:shd w:val="clear" w:color="auto" w:fill="FFFFFF" w:themeFill="background1"/>
            <w:vAlign w:val="center"/>
            <w:hideMark/>
          </w:tcPr>
          <w:p w14:paraId="241D5F77"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1,842.2</w:t>
            </w:r>
          </w:p>
        </w:tc>
        <w:tc>
          <w:tcPr>
            <w:tcW w:w="1120" w:type="dxa"/>
            <w:shd w:val="clear" w:color="auto" w:fill="FFFFFF" w:themeFill="background1"/>
            <w:vAlign w:val="center"/>
            <w:hideMark/>
          </w:tcPr>
          <w:p w14:paraId="15E40D23" w14:textId="4EA18CAA"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noWrap/>
            <w:vAlign w:val="center"/>
            <w:hideMark/>
          </w:tcPr>
          <w:p w14:paraId="68D8A4F8" w14:textId="269E3F1C"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6BF546CE" w14:textId="77777777" w:rsidTr="00E94C66">
        <w:trPr>
          <w:trHeight w:val="345"/>
        </w:trPr>
        <w:tc>
          <w:tcPr>
            <w:tcW w:w="1280" w:type="dxa"/>
            <w:vMerge/>
            <w:shd w:val="clear" w:color="auto" w:fill="FFFFFF" w:themeFill="background1"/>
            <w:vAlign w:val="center"/>
            <w:hideMark/>
          </w:tcPr>
          <w:p w14:paraId="0C10CE6D"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vAlign w:val="center"/>
            <w:hideMark/>
          </w:tcPr>
          <w:p w14:paraId="7BCBDAB9"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5692F513"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23.40%</w:t>
            </w:r>
          </w:p>
        </w:tc>
        <w:tc>
          <w:tcPr>
            <w:tcW w:w="1120" w:type="dxa"/>
            <w:shd w:val="clear" w:color="auto" w:fill="FFFFFF" w:themeFill="background1"/>
            <w:vAlign w:val="center"/>
            <w:hideMark/>
          </w:tcPr>
          <w:p w14:paraId="5ED0BC22" w14:textId="1FE7D77C"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noWrap/>
            <w:vAlign w:val="center"/>
            <w:hideMark/>
          </w:tcPr>
          <w:p w14:paraId="08CE4337" w14:textId="1C42805F"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4EA98825" w14:textId="77777777" w:rsidTr="00E94C66">
        <w:trPr>
          <w:trHeight w:val="345"/>
        </w:trPr>
        <w:tc>
          <w:tcPr>
            <w:tcW w:w="1280" w:type="dxa"/>
            <w:vMerge w:val="restart"/>
            <w:shd w:val="clear" w:color="auto" w:fill="FFFFFF" w:themeFill="background1"/>
            <w:vAlign w:val="center"/>
            <w:hideMark/>
          </w:tcPr>
          <w:p w14:paraId="3BAA4506"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2022</w:t>
            </w:r>
          </w:p>
        </w:tc>
        <w:tc>
          <w:tcPr>
            <w:tcW w:w="3340" w:type="dxa"/>
            <w:shd w:val="clear" w:color="auto" w:fill="FFFFFF" w:themeFill="background1"/>
            <w:noWrap/>
            <w:vAlign w:val="center"/>
            <w:hideMark/>
          </w:tcPr>
          <w:p w14:paraId="0E26B825"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 xml:space="preserve"> ՄԺԾԾ 2023-2025</w:t>
            </w:r>
          </w:p>
        </w:tc>
        <w:tc>
          <w:tcPr>
            <w:tcW w:w="1120" w:type="dxa"/>
            <w:shd w:val="clear" w:color="auto" w:fill="FFFFFF" w:themeFill="background1"/>
            <w:vAlign w:val="center"/>
            <w:hideMark/>
          </w:tcPr>
          <w:p w14:paraId="7E73296C"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1,842.2</w:t>
            </w:r>
          </w:p>
        </w:tc>
        <w:tc>
          <w:tcPr>
            <w:tcW w:w="1120" w:type="dxa"/>
            <w:shd w:val="clear" w:color="auto" w:fill="FFFFFF" w:themeFill="background1"/>
            <w:vAlign w:val="center"/>
            <w:hideMark/>
          </w:tcPr>
          <w:p w14:paraId="2309071A"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2,030.7</w:t>
            </w:r>
          </w:p>
        </w:tc>
        <w:tc>
          <w:tcPr>
            <w:tcW w:w="1120" w:type="dxa"/>
            <w:shd w:val="clear" w:color="auto" w:fill="FFFFFF" w:themeFill="background1"/>
            <w:vAlign w:val="center"/>
            <w:hideMark/>
          </w:tcPr>
          <w:p w14:paraId="2C623575"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2,221.2</w:t>
            </w:r>
          </w:p>
        </w:tc>
      </w:tr>
      <w:tr w:rsidR="00730639" w:rsidRPr="00822EDF" w14:paraId="256703C6" w14:textId="77777777" w:rsidTr="00E94C66">
        <w:trPr>
          <w:trHeight w:val="345"/>
        </w:trPr>
        <w:tc>
          <w:tcPr>
            <w:tcW w:w="1280" w:type="dxa"/>
            <w:vMerge/>
            <w:shd w:val="clear" w:color="auto" w:fill="FFFFFF" w:themeFill="background1"/>
            <w:vAlign w:val="center"/>
            <w:hideMark/>
          </w:tcPr>
          <w:p w14:paraId="58D8C796"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vAlign w:val="center"/>
            <w:hideMark/>
          </w:tcPr>
          <w:p w14:paraId="0F6D9EA9"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7B6C72B6"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22.80%</w:t>
            </w:r>
          </w:p>
        </w:tc>
        <w:tc>
          <w:tcPr>
            <w:tcW w:w="1120" w:type="dxa"/>
            <w:shd w:val="clear" w:color="auto" w:fill="FFFFFF" w:themeFill="background1"/>
            <w:vAlign w:val="center"/>
            <w:hideMark/>
          </w:tcPr>
          <w:p w14:paraId="0A79AE9A"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22.40%</w:t>
            </w:r>
          </w:p>
        </w:tc>
        <w:tc>
          <w:tcPr>
            <w:tcW w:w="1120" w:type="dxa"/>
            <w:shd w:val="clear" w:color="auto" w:fill="FFFFFF" w:themeFill="background1"/>
            <w:vAlign w:val="center"/>
            <w:hideMark/>
          </w:tcPr>
          <w:p w14:paraId="792BEE6F"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22.00%</w:t>
            </w:r>
          </w:p>
        </w:tc>
      </w:tr>
      <w:tr w:rsidR="00730639" w:rsidRPr="00822EDF" w14:paraId="412FA2B3" w14:textId="77777777" w:rsidTr="00E94C66">
        <w:trPr>
          <w:trHeight w:val="345"/>
        </w:trPr>
        <w:tc>
          <w:tcPr>
            <w:tcW w:w="1280" w:type="dxa"/>
            <w:vMerge/>
            <w:shd w:val="clear" w:color="auto" w:fill="FFFFFF" w:themeFill="background1"/>
            <w:vAlign w:val="center"/>
            <w:hideMark/>
          </w:tcPr>
          <w:p w14:paraId="7C0888AF"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noWrap/>
            <w:vAlign w:val="center"/>
            <w:hideMark/>
          </w:tcPr>
          <w:p w14:paraId="6E70A5E5"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2023թ. Պետական բյուջե</w:t>
            </w:r>
          </w:p>
        </w:tc>
        <w:tc>
          <w:tcPr>
            <w:tcW w:w="1120" w:type="dxa"/>
            <w:shd w:val="clear" w:color="auto" w:fill="FFFFFF" w:themeFill="background1"/>
            <w:vAlign w:val="center"/>
            <w:hideMark/>
          </w:tcPr>
          <w:p w14:paraId="72993A00"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1,857.0</w:t>
            </w:r>
          </w:p>
        </w:tc>
        <w:tc>
          <w:tcPr>
            <w:tcW w:w="1120" w:type="dxa"/>
            <w:shd w:val="clear" w:color="auto" w:fill="FFFFFF" w:themeFill="background1"/>
            <w:vAlign w:val="center"/>
            <w:hideMark/>
          </w:tcPr>
          <w:p w14:paraId="7B52FCEB"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2,043.3</w:t>
            </w:r>
          </w:p>
        </w:tc>
        <w:tc>
          <w:tcPr>
            <w:tcW w:w="1120" w:type="dxa"/>
            <w:shd w:val="clear" w:color="auto" w:fill="FFFFFF" w:themeFill="background1"/>
            <w:vAlign w:val="center"/>
            <w:hideMark/>
          </w:tcPr>
          <w:p w14:paraId="39BDCB5E" w14:textId="3E438B90"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73CE959E" w14:textId="77777777" w:rsidTr="00E94C66">
        <w:trPr>
          <w:trHeight w:val="345"/>
        </w:trPr>
        <w:tc>
          <w:tcPr>
            <w:tcW w:w="1280" w:type="dxa"/>
            <w:vMerge/>
            <w:shd w:val="clear" w:color="auto" w:fill="FFFFFF" w:themeFill="background1"/>
            <w:vAlign w:val="center"/>
            <w:hideMark/>
          </w:tcPr>
          <w:p w14:paraId="5B8186CA"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vAlign w:val="center"/>
            <w:hideMark/>
          </w:tcPr>
          <w:p w14:paraId="131CE474"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5674ED49"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22.39%</w:t>
            </w:r>
          </w:p>
        </w:tc>
        <w:tc>
          <w:tcPr>
            <w:tcW w:w="1120" w:type="dxa"/>
            <w:shd w:val="clear" w:color="auto" w:fill="FFFFFF" w:themeFill="background1"/>
            <w:vAlign w:val="center"/>
            <w:hideMark/>
          </w:tcPr>
          <w:p w14:paraId="5EBFFDBB"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21.92%</w:t>
            </w:r>
          </w:p>
        </w:tc>
        <w:tc>
          <w:tcPr>
            <w:tcW w:w="1120" w:type="dxa"/>
            <w:shd w:val="clear" w:color="auto" w:fill="FFFFFF" w:themeFill="background1"/>
            <w:vAlign w:val="center"/>
            <w:hideMark/>
          </w:tcPr>
          <w:p w14:paraId="0675E493" w14:textId="404DDEFE"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1B4939FE" w14:textId="77777777" w:rsidTr="00E94C66">
        <w:trPr>
          <w:trHeight w:val="345"/>
        </w:trPr>
        <w:tc>
          <w:tcPr>
            <w:tcW w:w="1280" w:type="dxa"/>
            <w:vMerge w:val="restart"/>
            <w:shd w:val="clear" w:color="auto" w:fill="FFFFFF" w:themeFill="background1"/>
            <w:vAlign w:val="center"/>
            <w:hideMark/>
          </w:tcPr>
          <w:p w14:paraId="574ED3C5"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2023</w:t>
            </w:r>
          </w:p>
        </w:tc>
        <w:tc>
          <w:tcPr>
            <w:tcW w:w="3340" w:type="dxa"/>
            <w:shd w:val="clear" w:color="auto" w:fill="FFFFFF" w:themeFill="background1"/>
            <w:noWrap/>
            <w:vAlign w:val="center"/>
            <w:hideMark/>
          </w:tcPr>
          <w:p w14:paraId="061F12B3"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 xml:space="preserve"> ՄԺԾԾ 2024-2026</w:t>
            </w:r>
          </w:p>
        </w:tc>
        <w:tc>
          <w:tcPr>
            <w:tcW w:w="1120" w:type="dxa"/>
            <w:shd w:val="clear" w:color="auto" w:fill="FFFFFF" w:themeFill="background1"/>
            <w:vAlign w:val="center"/>
            <w:hideMark/>
          </w:tcPr>
          <w:p w14:paraId="711D003E" w14:textId="06707B49"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vAlign w:val="center"/>
            <w:hideMark/>
          </w:tcPr>
          <w:p w14:paraId="009F329A"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2,043.3</w:t>
            </w:r>
          </w:p>
        </w:tc>
        <w:tc>
          <w:tcPr>
            <w:tcW w:w="1120" w:type="dxa"/>
            <w:shd w:val="clear" w:color="auto" w:fill="FFFFFF" w:themeFill="background1"/>
            <w:vAlign w:val="center"/>
            <w:hideMark/>
          </w:tcPr>
          <w:p w14:paraId="7664FCF5"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2,301.4</w:t>
            </w:r>
          </w:p>
        </w:tc>
      </w:tr>
      <w:tr w:rsidR="00730639" w:rsidRPr="00822EDF" w14:paraId="6DAA9503" w14:textId="77777777" w:rsidTr="00E94C66">
        <w:trPr>
          <w:trHeight w:val="345"/>
        </w:trPr>
        <w:tc>
          <w:tcPr>
            <w:tcW w:w="1280" w:type="dxa"/>
            <w:vMerge/>
            <w:shd w:val="clear" w:color="auto" w:fill="FFFFFF" w:themeFill="background1"/>
            <w:vAlign w:val="center"/>
            <w:hideMark/>
          </w:tcPr>
          <w:p w14:paraId="6342955F"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vAlign w:val="center"/>
            <w:hideMark/>
          </w:tcPr>
          <w:p w14:paraId="0C693E06"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3C7D1DDC" w14:textId="24365E29"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vAlign w:val="center"/>
            <w:hideMark/>
          </w:tcPr>
          <w:p w14:paraId="26EF44CF"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21.43%</w:t>
            </w:r>
          </w:p>
        </w:tc>
        <w:tc>
          <w:tcPr>
            <w:tcW w:w="1120" w:type="dxa"/>
            <w:shd w:val="clear" w:color="auto" w:fill="FFFFFF" w:themeFill="background1"/>
            <w:vAlign w:val="center"/>
            <w:hideMark/>
          </w:tcPr>
          <w:p w14:paraId="442F8267"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21.69%</w:t>
            </w:r>
          </w:p>
        </w:tc>
      </w:tr>
      <w:tr w:rsidR="00730639" w:rsidRPr="00822EDF" w14:paraId="2E4035AB" w14:textId="77777777" w:rsidTr="00E94C66">
        <w:trPr>
          <w:trHeight w:val="345"/>
        </w:trPr>
        <w:tc>
          <w:tcPr>
            <w:tcW w:w="1280" w:type="dxa"/>
            <w:vMerge/>
            <w:shd w:val="clear" w:color="auto" w:fill="FFFFFF" w:themeFill="background1"/>
            <w:vAlign w:val="center"/>
            <w:hideMark/>
          </w:tcPr>
          <w:p w14:paraId="44238E00"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noWrap/>
            <w:vAlign w:val="center"/>
            <w:hideMark/>
          </w:tcPr>
          <w:p w14:paraId="230B5DDC"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2024թ. Պետական բյուջե</w:t>
            </w:r>
          </w:p>
        </w:tc>
        <w:tc>
          <w:tcPr>
            <w:tcW w:w="1120" w:type="dxa"/>
            <w:shd w:val="clear" w:color="auto" w:fill="FFFFFF" w:themeFill="background1"/>
            <w:vAlign w:val="center"/>
            <w:hideMark/>
          </w:tcPr>
          <w:p w14:paraId="061C7BD2" w14:textId="54C71F0A"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vAlign w:val="center"/>
            <w:hideMark/>
          </w:tcPr>
          <w:p w14:paraId="0DC6D1ED"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2,091.3</w:t>
            </w:r>
          </w:p>
        </w:tc>
        <w:tc>
          <w:tcPr>
            <w:tcW w:w="1120" w:type="dxa"/>
            <w:shd w:val="clear" w:color="auto" w:fill="FFFFFF" w:themeFill="background1"/>
            <w:vAlign w:val="center"/>
            <w:hideMark/>
          </w:tcPr>
          <w:p w14:paraId="1F703223"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2,511.2</w:t>
            </w:r>
          </w:p>
        </w:tc>
      </w:tr>
      <w:tr w:rsidR="00730639" w:rsidRPr="00822EDF" w14:paraId="619487A3" w14:textId="77777777" w:rsidTr="00E94C66">
        <w:trPr>
          <w:trHeight w:val="345"/>
        </w:trPr>
        <w:tc>
          <w:tcPr>
            <w:tcW w:w="1280" w:type="dxa"/>
            <w:vMerge/>
            <w:shd w:val="clear" w:color="auto" w:fill="FFFFFF" w:themeFill="background1"/>
            <w:vAlign w:val="center"/>
            <w:hideMark/>
          </w:tcPr>
          <w:p w14:paraId="7057A980"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vAlign w:val="center"/>
            <w:hideMark/>
          </w:tcPr>
          <w:p w14:paraId="6E0E7F2B"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3D319593" w14:textId="75FE9BCB"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vAlign w:val="center"/>
            <w:hideMark/>
          </w:tcPr>
          <w:p w14:paraId="3243F31B"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22.13%</w:t>
            </w:r>
          </w:p>
        </w:tc>
        <w:tc>
          <w:tcPr>
            <w:tcW w:w="1120" w:type="dxa"/>
            <w:shd w:val="clear" w:color="auto" w:fill="FFFFFF" w:themeFill="background1"/>
            <w:vAlign w:val="center"/>
            <w:hideMark/>
          </w:tcPr>
          <w:p w14:paraId="73D23051"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23.88%</w:t>
            </w:r>
          </w:p>
        </w:tc>
      </w:tr>
    </w:tbl>
    <w:p w14:paraId="1A246DEE" w14:textId="77777777" w:rsidR="00730639" w:rsidRPr="00654AEF" w:rsidRDefault="00730639" w:rsidP="00730639">
      <w:pPr>
        <w:spacing w:before="0" w:line="259" w:lineRule="auto"/>
        <w:rPr>
          <w:rFonts w:eastAsia="Calibri"/>
          <w:bCs/>
          <w:i/>
          <w:iCs/>
          <w:color w:val="000000"/>
          <w:sz w:val="20"/>
          <w:szCs w:val="20"/>
          <w:lang w:val="hy-AM" w:eastAsia="en-US"/>
        </w:rPr>
      </w:pPr>
    </w:p>
    <w:p w14:paraId="029A04A7" w14:textId="77777777" w:rsidR="00730639" w:rsidRPr="00654AEF" w:rsidRDefault="00730639" w:rsidP="00730639">
      <w:pPr>
        <w:spacing w:before="0" w:line="259" w:lineRule="auto"/>
        <w:rPr>
          <w:rFonts w:eastAsia="Calibri" w:cs="Sylfaen"/>
          <w:b w:val="0"/>
          <w:bCs/>
          <w:i/>
          <w:iCs/>
          <w:color w:val="000000"/>
          <w:sz w:val="20"/>
          <w:szCs w:val="20"/>
          <w:lang w:val="hy-AM" w:eastAsia="en-US"/>
        </w:rPr>
      </w:pPr>
      <w:r w:rsidRPr="00654AEF">
        <w:rPr>
          <w:rFonts w:eastAsia="Calibri"/>
          <w:bCs/>
          <w:i/>
          <w:iCs/>
          <w:color w:val="000000"/>
          <w:sz w:val="20"/>
          <w:szCs w:val="20"/>
          <w:lang w:val="hy-AM" w:eastAsia="en-US"/>
        </w:rPr>
        <w:t>Աղյուսակ 2.5.5.</w:t>
      </w:r>
      <w:r w:rsidRPr="00654AEF">
        <w:rPr>
          <w:rFonts w:eastAsia="Calibri"/>
          <w:bCs/>
          <w:i/>
          <w:iCs/>
          <w:sz w:val="20"/>
          <w:szCs w:val="20"/>
          <w:lang w:val="hy-AM" w:eastAsia="en-US"/>
        </w:rPr>
        <w:t xml:space="preserve"> </w:t>
      </w:r>
      <w:r w:rsidRPr="00654AEF">
        <w:rPr>
          <w:rFonts w:eastAsia="Calibri" w:cs="Sylfaen"/>
          <w:b w:val="0"/>
          <w:bCs/>
          <w:i/>
          <w:iCs/>
          <w:color w:val="000000"/>
          <w:sz w:val="20"/>
          <w:szCs w:val="20"/>
          <w:lang w:val="hy-AM" w:eastAsia="en-US"/>
        </w:rPr>
        <w:t>Պետական բյուջեի ոչ ֆինանսական ակտիվների գծով զուտ ծախսերի կանխատեսումների համեմատական աղյուսակը (մլրդ դրամ)</w:t>
      </w:r>
    </w:p>
    <w:tbl>
      <w:tblPr>
        <w:tblW w:w="7980" w:type="dxa"/>
        <w:tblBorders>
          <w:top w:val="single" w:sz="4" w:space="0" w:color="auto"/>
          <w:bottom w:val="single" w:sz="4" w:space="0" w:color="auto"/>
          <w:insideH w:val="single" w:sz="4" w:space="0" w:color="auto"/>
        </w:tblBorders>
        <w:tblLook w:val="04A0" w:firstRow="1" w:lastRow="0" w:firstColumn="1" w:lastColumn="0" w:noHBand="0" w:noVBand="1"/>
      </w:tblPr>
      <w:tblGrid>
        <w:gridCol w:w="1280"/>
        <w:gridCol w:w="3340"/>
        <w:gridCol w:w="1120"/>
        <w:gridCol w:w="1120"/>
        <w:gridCol w:w="1120"/>
      </w:tblGrid>
      <w:tr w:rsidR="00730639" w:rsidRPr="00822EDF" w14:paraId="0088B034" w14:textId="77777777" w:rsidTr="00E94C66">
        <w:trPr>
          <w:trHeight w:val="675"/>
        </w:trPr>
        <w:tc>
          <w:tcPr>
            <w:tcW w:w="1280" w:type="dxa"/>
            <w:shd w:val="clear" w:color="auto" w:fill="FFFFFF" w:themeFill="background1"/>
            <w:vAlign w:val="center"/>
            <w:hideMark/>
          </w:tcPr>
          <w:p w14:paraId="69B12F31"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Ընդունման տարին</w:t>
            </w:r>
          </w:p>
        </w:tc>
        <w:tc>
          <w:tcPr>
            <w:tcW w:w="3340" w:type="dxa"/>
            <w:shd w:val="clear" w:color="auto" w:fill="FFFFFF" w:themeFill="background1"/>
            <w:vAlign w:val="center"/>
            <w:hideMark/>
          </w:tcPr>
          <w:p w14:paraId="4D6C514E"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Ծրագիր</w:t>
            </w:r>
          </w:p>
        </w:tc>
        <w:tc>
          <w:tcPr>
            <w:tcW w:w="1120" w:type="dxa"/>
            <w:shd w:val="clear" w:color="auto" w:fill="FFFFFF" w:themeFill="background1"/>
            <w:vAlign w:val="center"/>
            <w:hideMark/>
          </w:tcPr>
          <w:p w14:paraId="4F77FA65"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2022</w:t>
            </w:r>
          </w:p>
        </w:tc>
        <w:tc>
          <w:tcPr>
            <w:tcW w:w="1120" w:type="dxa"/>
            <w:shd w:val="clear" w:color="auto" w:fill="FFFFFF" w:themeFill="background1"/>
            <w:vAlign w:val="center"/>
            <w:hideMark/>
          </w:tcPr>
          <w:p w14:paraId="48CDE575"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2023</w:t>
            </w:r>
          </w:p>
        </w:tc>
        <w:tc>
          <w:tcPr>
            <w:tcW w:w="1120" w:type="dxa"/>
            <w:shd w:val="clear" w:color="auto" w:fill="FFFFFF" w:themeFill="background1"/>
            <w:vAlign w:val="center"/>
            <w:hideMark/>
          </w:tcPr>
          <w:p w14:paraId="1DE8A182"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2024</w:t>
            </w:r>
          </w:p>
        </w:tc>
      </w:tr>
      <w:tr w:rsidR="00730639" w:rsidRPr="00822EDF" w14:paraId="7C529D26" w14:textId="77777777" w:rsidTr="00E94C66">
        <w:trPr>
          <w:trHeight w:val="345"/>
        </w:trPr>
        <w:tc>
          <w:tcPr>
            <w:tcW w:w="1280" w:type="dxa"/>
            <w:vMerge w:val="restart"/>
            <w:shd w:val="clear" w:color="auto" w:fill="FFFFFF" w:themeFill="background1"/>
            <w:vAlign w:val="center"/>
            <w:hideMark/>
          </w:tcPr>
          <w:p w14:paraId="16DC624E"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w:t>
            </w:r>
          </w:p>
        </w:tc>
        <w:tc>
          <w:tcPr>
            <w:tcW w:w="3340" w:type="dxa"/>
            <w:shd w:val="clear" w:color="auto" w:fill="FFFFFF" w:themeFill="background1"/>
            <w:noWrap/>
            <w:vAlign w:val="center"/>
            <w:hideMark/>
          </w:tcPr>
          <w:p w14:paraId="1FB412A5"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Փաստացի</w:t>
            </w:r>
          </w:p>
        </w:tc>
        <w:tc>
          <w:tcPr>
            <w:tcW w:w="1120" w:type="dxa"/>
            <w:shd w:val="clear" w:color="auto" w:fill="FFFFFF" w:themeFill="background1"/>
            <w:vAlign w:val="center"/>
            <w:hideMark/>
          </w:tcPr>
          <w:p w14:paraId="5A3C0DC8"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380.4</w:t>
            </w:r>
          </w:p>
        </w:tc>
        <w:tc>
          <w:tcPr>
            <w:tcW w:w="1120" w:type="dxa"/>
            <w:shd w:val="clear" w:color="auto" w:fill="FFFFFF" w:themeFill="background1"/>
            <w:noWrap/>
            <w:vAlign w:val="center"/>
            <w:hideMark/>
          </w:tcPr>
          <w:p w14:paraId="4CE99EF0" w14:textId="43ABC0CB"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noWrap/>
            <w:vAlign w:val="center"/>
            <w:hideMark/>
          </w:tcPr>
          <w:p w14:paraId="39834749" w14:textId="2F1003F0"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3C46F0D0" w14:textId="77777777" w:rsidTr="00E94C66">
        <w:trPr>
          <w:trHeight w:val="345"/>
        </w:trPr>
        <w:tc>
          <w:tcPr>
            <w:tcW w:w="1280" w:type="dxa"/>
            <w:vMerge/>
            <w:shd w:val="clear" w:color="auto" w:fill="FFFFFF" w:themeFill="background1"/>
            <w:vAlign w:val="center"/>
            <w:hideMark/>
          </w:tcPr>
          <w:p w14:paraId="0863AEA6"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noWrap/>
            <w:vAlign w:val="center"/>
            <w:hideMark/>
          </w:tcPr>
          <w:p w14:paraId="732FC2E2"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0A545B3B"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4.47%</w:t>
            </w:r>
          </w:p>
        </w:tc>
        <w:tc>
          <w:tcPr>
            <w:tcW w:w="1120" w:type="dxa"/>
            <w:shd w:val="clear" w:color="auto" w:fill="FFFFFF" w:themeFill="background1"/>
            <w:noWrap/>
            <w:vAlign w:val="center"/>
            <w:hideMark/>
          </w:tcPr>
          <w:p w14:paraId="613C951D" w14:textId="1473E003"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noWrap/>
            <w:vAlign w:val="center"/>
            <w:hideMark/>
          </w:tcPr>
          <w:p w14:paraId="6C315997" w14:textId="3C65940E"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2137B78C" w14:textId="77777777" w:rsidTr="00E94C66">
        <w:trPr>
          <w:trHeight w:val="345"/>
        </w:trPr>
        <w:tc>
          <w:tcPr>
            <w:tcW w:w="1280" w:type="dxa"/>
            <w:vMerge w:val="restart"/>
            <w:shd w:val="clear" w:color="auto" w:fill="FFFFFF" w:themeFill="background1"/>
            <w:vAlign w:val="center"/>
            <w:hideMark/>
          </w:tcPr>
          <w:p w14:paraId="08913841"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2021</w:t>
            </w:r>
          </w:p>
        </w:tc>
        <w:tc>
          <w:tcPr>
            <w:tcW w:w="3340" w:type="dxa"/>
            <w:shd w:val="clear" w:color="auto" w:fill="FFFFFF" w:themeFill="background1"/>
            <w:noWrap/>
            <w:vAlign w:val="center"/>
            <w:hideMark/>
          </w:tcPr>
          <w:p w14:paraId="4627BD2D"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 xml:space="preserve"> ՄԺԾԾ 2022-2024</w:t>
            </w:r>
          </w:p>
        </w:tc>
        <w:tc>
          <w:tcPr>
            <w:tcW w:w="1120" w:type="dxa"/>
            <w:shd w:val="clear" w:color="auto" w:fill="FFFFFF" w:themeFill="background1"/>
            <w:vAlign w:val="center"/>
            <w:hideMark/>
          </w:tcPr>
          <w:p w14:paraId="7D913D96"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292.6</w:t>
            </w:r>
          </w:p>
        </w:tc>
        <w:tc>
          <w:tcPr>
            <w:tcW w:w="1120" w:type="dxa"/>
            <w:shd w:val="clear" w:color="auto" w:fill="FFFFFF" w:themeFill="background1"/>
            <w:vAlign w:val="center"/>
            <w:hideMark/>
          </w:tcPr>
          <w:p w14:paraId="47F4A651"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308.1</w:t>
            </w:r>
          </w:p>
        </w:tc>
        <w:tc>
          <w:tcPr>
            <w:tcW w:w="1120" w:type="dxa"/>
            <w:shd w:val="clear" w:color="auto" w:fill="FFFFFF" w:themeFill="background1"/>
            <w:vAlign w:val="center"/>
            <w:hideMark/>
          </w:tcPr>
          <w:p w14:paraId="0F9D50F6"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353.9</w:t>
            </w:r>
          </w:p>
        </w:tc>
      </w:tr>
      <w:tr w:rsidR="00730639" w:rsidRPr="00822EDF" w14:paraId="7AB8AC23" w14:textId="77777777" w:rsidTr="00E94C66">
        <w:trPr>
          <w:trHeight w:val="345"/>
        </w:trPr>
        <w:tc>
          <w:tcPr>
            <w:tcW w:w="1280" w:type="dxa"/>
            <w:vMerge/>
            <w:shd w:val="clear" w:color="auto" w:fill="FFFFFF" w:themeFill="background1"/>
            <w:vAlign w:val="center"/>
            <w:hideMark/>
          </w:tcPr>
          <w:p w14:paraId="718948F4"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vAlign w:val="center"/>
            <w:hideMark/>
          </w:tcPr>
          <w:p w14:paraId="3AC0A357"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0B470D43"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3.90%</w:t>
            </w:r>
          </w:p>
        </w:tc>
        <w:tc>
          <w:tcPr>
            <w:tcW w:w="1120" w:type="dxa"/>
            <w:shd w:val="clear" w:color="auto" w:fill="FFFFFF" w:themeFill="background1"/>
            <w:vAlign w:val="center"/>
            <w:hideMark/>
          </w:tcPr>
          <w:p w14:paraId="3FD46FD9"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3.80%</w:t>
            </w:r>
          </w:p>
        </w:tc>
        <w:tc>
          <w:tcPr>
            <w:tcW w:w="1120" w:type="dxa"/>
            <w:shd w:val="clear" w:color="auto" w:fill="FFFFFF" w:themeFill="background1"/>
            <w:vAlign w:val="center"/>
            <w:hideMark/>
          </w:tcPr>
          <w:p w14:paraId="53D3ADA0"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4.00%</w:t>
            </w:r>
          </w:p>
        </w:tc>
      </w:tr>
      <w:tr w:rsidR="00730639" w:rsidRPr="00822EDF" w14:paraId="21744908" w14:textId="77777777" w:rsidTr="00E94C66">
        <w:trPr>
          <w:trHeight w:val="345"/>
        </w:trPr>
        <w:tc>
          <w:tcPr>
            <w:tcW w:w="1280" w:type="dxa"/>
            <w:vMerge/>
            <w:shd w:val="clear" w:color="auto" w:fill="FFFFFF" w:themeFill="background1"/>
            <w:vAlign w:val="center"/>
            <w:hideMark/>
          </w:tcPr>
          <w:p w14:paraId="19B0B2D4"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noWrap/>
            <w:vAlign w:val="center"/>
            <w:hideMark/>
          </w:tcPr>
          <w:p w14:paraId="2AC92916"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2022թ. Պետական բյուջե</w:t>
            </w:r>
          </w:p>
        </w:tc>
        <w:tc>
          <w:tcPr>
            <w:tcW w:w="1120" w:type="dxa"/>
            <w:shd w:val="clear" w:color="auto" w:fill="FFFFFF" w:themeFill="background1"/>
            <w:vAlign w:val="center"/>
            <w:hideMark/>
          </w:tcPr>
          <w:p w14:paraId="023A0212"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341.9</w:t>
            </w:r>
          </w:p>
        </w:tc>
        <w:tc>
          <w:tcPr>
            <w:tcW w:w="1120" w:type="dxa"/>
            <w:shd w:val="clear" w:color="auto" w:fill="FFFFFF" w:themeFill="background1"/>
            <w:vAlign w:val="center"/>
            <w:hideMark/>
          </w:tcPr>
          <w:p w14:paraId="066E0E30" w14:textId="1FEDA312"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noWrap/>
            <w:vAlign w:val="center"/>
            <w:hideMark/>
          </w:tcPr>
          <w:p w14:paraId="4722E9E8" w14:textId="7A95B60A"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2AB0215E" w14:textId="77777777" w:rsidTr="00E94C66">
        <w:trPr>
          <w:trHeight w:val="345"/>
        </w:trPr>
        <w:tc>
          <w:tcPr>
            <w:tcW w:w="1280" w:type="dxa"/>
            <w:vMerge/>
            <w:shd w:val="clear" w:color="auto" w:fill="FFFFFF" w:themeFill="background1"/>
            <w:vAlign w:val="center"/>
            <w:hideMark/>
          </w:tcPr>
          <w:p w14:paraId="052287B5"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vAlign w:val="center"/>
            <w:hideMark/>
          </w:tcPr>
          <w:p w14:paraId="18BCEF64"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2338917E"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4.30%</w:t>
            </w:r>
          </w:p>
        </w:tc>
        <w:tc>
          <w:tcPr>
            <w:tcW w:w="1120" w:type="dxa"/>
            <w:shd w:val="clear" w:color="auto" w:fill="FFFFFF" w:themeFill="background1"/>
            <w:vAlign w:val="center"/>
            <w:hideMark/>
          </w:tcPr>
          <w:p w14:paraId="4C325129" w14:textId="5C7588EE"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noWrap/>
            <w:vAlign w:val="center"/>
            <w:hideMark/>
          </w:tcPr>
          <w:p w14:paraId="41606930" w14:textId="2412F07F"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7A031070" w14:textId="77777777" w:rsidTr="00E94C66">
        <w:trPr>
          <w:trHeight w:val="345"/>
        </w:trPr>
        <w:tc>
          <w:tcPr>
            <w:tcW w:w="1280" w:type="dxa"/>
            <w:vMerge w:val="restart"/>
            <w:shd w:val="clear" w:color="auto" w:fill="FFFFFF" w:themeFill="background1"/>
            <w:vAlign w:val="center"/>
            <w:hideMark/>
          </w:tcPr>
          <w:p w14:paraId="41FCDF33"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2022</w:t>
            </w:r>
          </w:p>
        </w:tc>
        <w:tc>
          <w:tcPr>
            <w:tcW w:w="3340" w:type="dxa"/>
            <w:shd w:val="clear" w:color="auto" w:fill="FFFFFF" w:themeFill="background1"/>
            <w:noWrap/>
            <w:vAlign w:val="center"/>
            <w:hideMark/>
          </w:tcPr>
          <w:p w14:paraId="1D0B8F61"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 xml:space="preserve"> ՄԺԾԾ 2023-2025</w:t>
            </w:r>
          </w:p>
        </w:tc>
        <w:tc>
          <w:tcPr>
            <w:tcW w:w="1120" w:type="dxa"/>
            <w:shd w:val="clear" w:color="auto" w:fill="FFFFFF" w:themeFill="background1"/>
            <w:vAlign w:val="center"/>
            <w:hideMark/>
          </w:tcPr>
          <w:p w14:paraId="5F884CA2"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350.0</w:t>
            </w:r>
          </w:p>
        </w:tc>
        <w:tc>
          <w:tcPr>
            <w:tcW w:w="1120" w:type="dxa"/>
            <w:shd w:val="clear" w:color="auto" w:fill="FFFFFF" w:themeFill="background1"/>
            <w:vAlign w:val="center"/>
            <w:hideMark/>
          </w:tcPr>
          <w:p w14:paraId="0AF0DF3C"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515.3</w:t>
            </w:r>
          </w:p>
        </w:tc>
        <w:tc>
          <w:tcPr>
            <w:tcW w:w="1120" w:type="dxa"/>
            <w:shd w:val="clear" w:color="auto" w:fill="FFFFFF" w:themeFill="background1"/>
            <w:vAlign w:val="center"/>
            <w:hideMark/>
          </w:tcPr>
          <w:p w14:paraId="55B0C85A"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589.7</w:t>
            </w:r>
          </w:p>
        </w:tc>
      </w:tr>
      <w:tr w:rsidR="00730639" w:rsidRPr="00822EDF" w14:paraId="5D1A700F" w14:textId="77777777" w:rsidTr="00E94C66">
        <w:trPr>
          <w:trHeight w:val="345"/>
        </w:trPr>
        <w:tc>
          <w:tcPr>
            <w:tcW w:w="1280" w:type="dxa"/>
            <w:vMerge/>
            <w:shd w:val="clear" w:color="auto" w:fill="FFFFFF" w:themeFill="background1"/>
            <w:vAlign w:val="center"/>
            <w:hideMark/>
          </w:tcPr>
          <w:p w14:paraId="629AA088"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vAlign w:val="center"/>
            <w:hideMark/>
          </w:tcPr>
          <w:p w14:paraId="610D6762"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5A43FC9B"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4.30%</w:t>
            </w:r>
          </w:p>
        </w:tc>
        <w:tc>
          <w:tcPr>
            <w:tcW w:w="1120" w:type="dxa"/>
            <w:shd w:val="clear" w:color="auto" w:fill="FFFFFF" w:themeFill="background1"/>
            <w:vAlign w:val="center"/>
            <w:hideMark/>
          </w:tcPr>
          <w:p w14:paraId="7D3EB69F"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5.70%</w:t>
            </w:r>
          </w:p>
        </w:tc>
        <w:tc>
          <w:tcPr>
            <w:tcW w:w="1120" w:type="dxa"/>
            <w:shd w:val="clear" w:color="auto" w:fill="FFFFFF" w:themeFill="background1"/>
            <w:vAlign w:val="center"/>
            <w:hideMark/>
          </w:tcPr>
          <w:p w14:paraId="69F0FCAD"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5.80%</w:t>
            </w:r>
          </w:p>
        </w:tc>
      </w:tr>
      <w:tr w:rsidR="00730639" w:rsidRPr="00822EDF" w14:paraId="53CA57FB" w14:textId="77777777" w:rsidTr="00E94C66">
        <w:trPr>
          <w:trHeight w:val="345"/>
        </w:trPr>
        <w:tc>
          <w:tcPr>
            <w:tcW w:w="1280" w:type="dxa"/>
            <w:vMerge/>
            <w:shd w:val="clear" w:color="auto" w:fill="FFFFFF" w:themeFill="background1"/>
            <w:vAlign w:val="center"/>
            <w:hideMark/>
          </w:tcPr>
          <w:p w14:paraId="5A49C8EA"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noWrap/>
            <w:vAlign w:val="center"/>
            <w:hideMark/>
          </w:tcPr>
          <w:p w14:paraId="5BAD8E33"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2023թ. Պետական բյուջե</w:t>
            </w:r>
          </w:p>
        </w:tc>
        <w:tc>
          <w:tcPr>
            <w:tcW w:w="1120" w:type="dxa"/>
            <w:shd w:val="clear" w:color="auto" w:fill="FFFFFF" w:themeFill="background1"/>
            <w:vAlign w:val="center"/>
            <w:hideMark/>
          </w:tcPr>
          <w:p w14:paraId="2C352886"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389.7</w:t>
            </w:r>
          </w:p>
        </w:tc>
        <w:tc>
          <w:tcPr>
            <w:tcW w:w="1120" w:type="dxa"/>
            <w:shd w:val="clear" w:color="auto" w:fill="FFFFFF" w:themeFill="background1"/>
            <w:vAlign w:val="center"/>
            <w:hideMark/>
          </w:tcPr>
          <w:p w14:paraId="0E606909"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547.7</w:t>
            </w:r>
          </w:p>
        </w:tc>
        <w:tc>
          <w:tcPr>
            <w:tcW w:w="1120" w:type="dxa"/>
            <w:shd w:val="clear" w:color="auto" w:fill="FFFFFF" w:themeFill="background1"/>
            <w:vAlign w:val="center"/>
            <w:hideMark/>
          </w:tcPr>
          <w:p w14:paraId="23AA3545" w14:textId="05A11068"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0AA3D269" w14:textId="77777777" w:rsidTr="00E94C66">
        <w:trPr>
          <w:trHeight w:val="345"/>
        </w:trPr>
        <w:tc>
          <w:tcPr>
            <w:tcW w:w="1280" w:type="dxa"/>
            <w:vMerge/>
            <w:shd w:val="clear" w:color="auto" w:fill="FFFFFF" w:themeFill="background1"/>
            <w:vAlign w:val="center"/>
            <w:hideMark/>
          </w:tcPr>
          <w:p w14:paraId="149E0FB4"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vAlign w:val="center"/>
            <w:hideMark/>
          </w:tcPr>
          <w:p w14:paraId="0ECD25DD"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6F324EF9"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4.70%</w:t>
            </w:r>
          </w:p>
        </w:tc>
        <w:tc>
          <w:tcPr>
            <w:tcW w:w="1120" w:type="dxa"/>
            <w:shd w:val="clear" w:color="auto" w:fill="FFFFFF" w:themeFill="background1"/>
            <w:vAlign w:val="center"/>
            <w:hideMark/>
          </w:tcPr>
          <w:p w14:paraId="780C8F6E"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5.88%</w:t>
            </w:r>
          </w:p>
        </w:tc>
        <w:tc>
          <w:tcPr>
            <w:tcW w:w="1120" w:type="dxa"/>
            <w:shd w:val="clear" w:color="auto" w:fill="FFFFFF" w:themeFill="background1"/>
            <w:vAlign w:val="center"/>
            <w:hideMark/>
          </w:tcPr>
          <w:p w14:paraId="14E75B3C" w14:textId="0EFF1836"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48055476" w14:textId="77777777" w:rsidTr="00E94C66">
        <w:trPr>
          <w:trHeight w:val="345"/>
        </w:trPr>
        <w:tc>
          <w:tcPr>
            <w:tcW w:w="1280" w:type="dxa"/>
            <w:vMerge w:val="restart"/>
            <w:shd w:val="clear" w:color="auto" w:fill="FFFFFF" w:themeFill="background1"/>
            <w:vAlign w:val="center"/>
            <w:hideMark/>
          </w:tcPr>
          <w:p w14:paraId="49CBAFCE"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2023</w:t>
            </w:r>
          </w:p>
        </w:tc>
        <w:tc>
          <w:tcPr>
            <w:tcW w:w="3340" w:type="dxa"/>
            <w:shd w:val="clear" w:color="auto" w:fill="FFFFFF" w:themeFill="background1"/>
            <w:noWrap/>
            <w:vAlign w:val="center"/>
            <w:hideMark/>
          </w:tcPr>
          <w:p w14:paraId="26244B61"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 xml:space="preserve"> ՄԺԾԾ 2024-2026</w:t>
            </w:r>
          </w:p>
        </w:tc>
        <w:tc>
          <w:tcPr>
            <w:tcW w:w="1120" w:type="dxa"/>
            <w:shd w:val="clear" w:color="auto" w:fill="FFFFFF" w:themeFill="background1"/>
            <w:vAlign w:val="center"/>
            <w:hideMark/>
          </w:tcPr>
          <w:p w14:paraId="596C7E09" w14:textId="6B508C75"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vAlign w:val="center"/>
            <w:hideMark/>
          </w:tcPr>
          <w:p w14:paraId="322C0925"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564.3</w:t>
            </w:r>
          </w:p>
        </w:tc>
        <w:tc>
          <w:tcPr>
            <w:tcW w:w="1120" w:type="dxa"/>
            <w:shd w:val="clear" w:color="auto" w:fill="FFFFFF" w:themeFill="background1"/>
            <w:vAlign w:val="center"/>
            <w:hideMark/>
          </w:tcPr>
          <w:p w14:paraId="5E679D2B"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665.3</w:t>
            </w:r>
          </w:p>
        </w:tc>
      </w:tr>
      <w:tr w:rsidR="00730639" w:rsidRPr="00822EDF" w14:paraId="724627EB" w14:textId="77777777" w:rsidTr="00E94C66">
        <w:trPr>
          <w:trHeight w:val="345"/>
        </w:trPr>
        <w:tc>
          <w:tcPr>
            <w:tcW w:w="1280" w:type="dxa"/>
            <w:vMerge/>
            <w:shd w:val="clear" w:color="auto" w:fill="FFFFFF" w:themeFill="background1"/>
            <w:vAlign w:val="center"/>
            <w:hideMark/>
          </w:tcPr>
          <w:p w14:paraId="0F86048B"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vAlign w:val="center"/>
            <w:hideMark/>
          </w:tcPr>
          <w:p w14:paraId="2368FB86"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0D8611E9" w14:textId="0C29513A"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vAlign w:val="center"/>
            <w:hideMark/>
          </w:tcPr>
          <w:p w14:paraId="6B69BD08"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5.92%</w:t>
            </w:r>
          </w:p>
        </w:tc>
        <w:tc>
          <w:tcPr>
            <w:tcW w:w="1120" w:type="dxa"/>
            <w:shd w:val="clear" w:color="auto" w:fill="FFFFFF" w:themeFill="background1"/>
            <w:vAlign w:val="center"/>
            <w:hideMark/>
          </w:tcPr>
          <w:p w14:paraId="5285CE3F"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6.27%</w:t>
            </w:r>
          </w:p>
        </w:tc>
      </w:tr>
      <w:tr w:rsidR="00730639" w:rsidRPr="00822EDF" w14:paraId="3CEF17FA" w14:textId="77777777" w:rsidTr="00E94C66">
        <w:trPr>
          <w:trHeight w:val="345"/>
        </w:trPr>
        <w:tc>
          <w:tcPr>
            <w:tcW w:w="1280" w:type="dxa"/>
            <w:vMerge/>
            <w:shd w:val="clear" w:color="auto" w:fill="FFFFFF" w:themeFill="background1"/>
            <w:vAlign w:val="center"/>
            <w:hideMark/>
          </w:tcPr>
          <w:p w14:paraId="087644D5"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noWrap/>
            <w:vAlign w:val="center"/>
            <w:hideMark/>
          </w:tcPr>
          <w:p w14:paraId="3C3B4691"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2024թ. Պետական բյուջե</w:t>
            </w:r>
          </w:p>
        </w:tc>
        <w:tc>
          <w:tcPr>
            <w:tcW w:w="1120" w:type="dxa"/>
            <w:shd w:val="clear" w:color="auto" w:fill="FFFFFF" w:themeFill="background1"/>
            <w:vAlign w:val="center"/>
            <w:hideMark/>
          </w:tcPr>
          <w:p w14:paraId="490F0271" w14:textId="281DE721"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vAlign w:val="center"/>
            <w:hideMark/>
          </w:tcPr>
          <w:p w14:paraId="5FDD73C1"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562.1</w:t>
            </w:r>
          </w:p>
        </w:tc>
        <w:tc>
          <w:tcPr>
            <w:tcW w:w="1120" w:type="dxa"/>
            <w:shd w:val="clear" w:color="auto" w:fill="FFFFFF" w:themeFill="background1"/>
            <w:vAlign w:val="center"/>
            <w:hideMark/>
          </w:tcPr>
          <w:p w14:paraId="4DAE90A0"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695.3</w:t>
            </w:r>
          </w:p>
        </w:tc>
      </w:tr>
      <w:tr w:rsidR="00730639" w:rsidRPr="00822EDF" w14:paraId="02C122A8" w14:textId="77777777" w:rsidTr="00E94C66">
        <w:trPr>
          <w:trHeight w:val="345"/>
        </w:trPr>
        <w:tc>
          <w:tcPr>
            <w:tcW w:w="1280" w:type="dxa"/>
            <w:vMerge/>
            <w:shd w:val="clear" w:color="auto" w:fill="FFFFFF" w:themeFill="background1"/>
            <w:vAlign w:val="center"/>
            <w:hideMark/>
          </w:tcPr>
          <w:p w14:paraId="3B77A118"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vAlign w:val="center"/>
            <w:hideMark/>
          </w:tcPr>
          <w:p w14:paraId="776BF64C"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03D4C6FC" w14:textId="1E38944A"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vAlign w:val="center"/>
            <w:hideMark/>
          </w:tcPr>
          <w:p w14:paraId="14E27150"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5.95%</w:t>
            </w:r>
          </w:p>
        </w:tc>
        <w:tc>
          <w:tcPr>
            <w:tcW w:w="1120" w:type="dxa"/>
            <w:shd w:val="clear" w:color="auto" w:fill="FFFFFF" w:themeFill="background1"/>
            <w:vAlign w:val="center"/>
            <w:hideMark/>
          </w:tcPr>
          <w:p w14:paraId="4E21D3A4"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6.61%</w:t>
            </w:r>
          </w:p>
        </w:tc>
      </w:tr>
    </w:tbl>
    <w:p w14:paraId="465B45F9" w14:textId="77777777" w:rsidR="00730639" w:rsidRPr="00654AEF" w:rsidRDefault="00730639" w:rsidP="00730639">
      <w:pPr>
        <w:spacing w:before="0" w:line="259" w:lineRule="auto"/>
        <w:rPr>
          <w:rFonts w:eastAsia="Calibri" w:cs="Sylfaen"/>
          <w:b w:val="0"/>
          <w:bCs/>
          <w:i/>
          <w:iCs/>
          <w:color w:val="000000"/>
          <w:sz w:val="20"/>
          <w:szCs w:val="20"/>
          <w:lang w:val="hy-AM" w:eastAsia="en-US"/>
        </w:rPr>
      </w:pPr>
    </w:p>
    <w:p w14:paraId="36982B1D" w14:textId="77777777" w:rsidR="00730639" w:rsidRDefault="00730639" w:rsidP="00730639">
      <w:pPr>
        <w:spacing w:before="0" w:line="259" w:lineRule="auto"/>
        <w:rPr>
          <w:rFonts w:eastAsia="Calibri" w:cs="Sylfaen"/>
          <w:b w:val="0"/>
          <w:bCs/>
          <w:i/>
          <w:iCs/>
          <w:color w:val="000000"/>
          <w:sz w:val="20"/>
          <w:szCs w:val="20"/>
          <w:lang w:val="hy-AM" w:eastAsia="en-US"/>
        </w:rPr>
      </w:pPr>
      <w:r w:rsidRPr="00654AEF">
        <w:rPr>
          <w:rFonts w:eastAsia="Calibri"/>
          <w:bCs/>
          <w:i/>
          <w:iCs/>
          <w:color w:val="000000"/>
          <w:sz w:val="20"/>
          <w:szCs w:val="20"/>
          <w:lang w:val="hy-AM" w:eastAsia="en-US"/>
        </w:rPr>
        <w:t>Աղյուսակ 2.5.6.</w:t>
      </w:r>
      <w:r w:rsidRPr="00654AEF">
        <w:rPr>
          <w:rFonts w:eastAsia="Calibri"/>
          <w:bCs/>
          <w:i/>
          <w:iCs/>
          <w:sz w:val="20"/>
          <w:szCs w:val="20"/>
          <w:lang w:val="hy-AM" w:eastAsia="en-US"/>
        </w:rPr>
        <w:t xml:space="preserve"> </w:t>
      </w:r>
      <w:r w:rsidRPr="00654AEF">
        <w:rPr>
          <w:rFonts w:eastAsia="Calibri" w:cs="Sylfaen"/>
          <w:b w:val="0"/>
          <w:bCs/>
          <w:i/>
          <w:iCs/>
          <w:color w:val="000000"/>
          <w:sz w:val="20"/>
          <w:szCs w:val="20"/>
          <w:lang w:val="hy-AM" w:eastAsia="en-US"/>
        </w:rPr>
        <w:t>Պետական բյուջեի պակասուրդի ֆինանսավորման կանխատեսումների համեմատական աղյուսակը (մլրդ դրամ)</w:t>
      </w:r>
    </w:p>
    <w:p w14:paraId="06BAD739" w14:textId="77777777" w:rsidR="00730639" w:rsidRPr="00654AEF" w:rsidRDefault="00730639" w:rsidP="00730639">
      <w:pPr>
        <w:spacing w:before="0" w:line="259" w:lineRule="auto"/>
        <w:rPr>
          <w:rFonts w:eastAsia="Calibri" w:cs="Sylfaen"/>
          <w:b w:val="0"/>
          <w:bCs/>
          <w:i/>
          <w:iCs/>
          <w:color w:val="000000"/>
          <w:sz w:val="20"/>
          <w:szCs w:val="20"/>
          <w:lang w:val="hy-AM" w:eastAsia="en-US"/>
        </w:rPr>
      </w:pPr>
    </w:p>
    <w:p w14:paraId="48DF5776" w14:textId="77777777" w:rsidR="00730639" w:rsidRDefault="00730639" w:rsidP="00730639">
      <w:pPr>
        <w:spacing w:before="0" w:line="240" w:lineRule="auto"/>
        <w:jc w:val="left"/>
        <w:rPr>
          <w:sz w:val="28"/>
          <w:szCs w:val="20"/>
          <w:lang w:val="hy-AM"/>
        </w:rPr>
      </w:pPr>
    </w:p>
    <w:tbl>
      <w:tblPr>
        <w:tblW w:w="7980" w:type="dxa"/>
        <w:tblBorders>
          <w:top w:val="single" w:sz="4" w:space="0" w:color="auto"/>
          <w:bottom w:val="single" w:sz="4" w:space="0" w:color="auto"/>
          <w:insideH w:val="single" w:sz="4" w:space="0" w:color="auto"/>
        </w:tblBorders>
        <w:tblLook w:val="04A0" w:firstRow="1" w:lastRow="0" w:firstColumn="1" w:lastColumn="0" w:noHBand="0" w:noVBand="1"/>
      </w:tblPr>
      <w:tblGrid>
        <w:gridCol w:w="1280"/>
        <w:gridCol w:w="3340"/>
        <w:gridCol w:w="1120"/>
        <w:gridCol w:w="1120"/>
        <w:gridCol w:w="1120"/>
      </w:tblGrid>
      <w:tr w:rsidR="00730639" w:rsidRPr="00822EDF" w14:paraId="6AED142C" w14:textId="77777777" w:rsidTr="00E94C66">
        <w:trPr>
          <w:trHeight w:val="675"/>
        </w:trPr>
        <w:tc>
          <w:tcPr>
            <w:tcW w:w="1280" w:type="dxa"/>
            <w:shd w:val="clear" w:color="auto" w:fill="FFFFFF" w:themeFill="background1"/>
            <w:vAlign w:val="center"/>
            <w:hideMark/>
          </w:tcPr>
          <w:p w14:paraId="3B2B14B9"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Ընդունման տարին</w:t>
            </w:r>
          </w:p>
        </w:tc>
        <w:tc>
          <w:tcPr>
            <w:tcW w:w="3340" w:type="dxa"/>
            <w:shd w:val="clear" w:color="auto" w:fill="FFFFFF" w:themeFill="background1"/>
            <w:vAlign w:val="center"/>
            <w:hideMark/>
          </w:tcPr>
          <w:p w14:paraId="7EC6C24A"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Ծրագիր</w:t>
            </w:r>
          </w:p>
        </w:tc>
        <w:tc>
          <w:tcPr>
            <w:tcW w:w="1120" w:type="dxa"/>
            <w:shd w:val="clear" w:color="auto" w:fill="FFFFFF" w:themeFill="background1"/>
            <w:vAlign w:val="center"/>
            <w:hideMark/>
          </w:tcPr>
          <w:p w14:paraId="2A187CDB"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2022</w:t>
            </w:r>
          </w:p>
        </w:tc>
        <w:tc>
          <w:tcPr>
            <w:tcW w:w="1120" w:type="dxa"/>
            <w:shd w:val="clear" w:color="auto" w:fill="FFFFFF" w:themeFill="background1"/>
            <w:vAlign w:val="center"/>
            <w:hideMark/>
          </w:tcPr>
          <w:p w14:paraId="087AADA9"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2023</w:t>
            </w:r>
          </w:p>
        </w:tc>
        <w:tc>
          <w:tcPr>
            <w:tcW w:w="1120" w:type="dxa"/>
            <w:shd w:val="clear" w:color="auto" w:fill="FFFFFF" w:themeFill="background1"/>
            <w:vAlign w:val="center"/>
            <w:hideMark/>
          </w:tcPr>
          <w:p w14:paraId="6564E689"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2024</w:t>
            </w:r>
          </w:p>
        </w:tc>
      </w:tr>
      <w:tr w:rsidR="00730639" w:rsidRPr="00822EDF" w14:paraId="18812899" w14:textId="77777777" w:rsidTr="00E94C66">
        <w:trPr>
          <w:trHeight w:val="345"/>
        </w:trPr>
        <w:tc>
          <w:tcPr>
            <w:tcW w:w="1280" w:type="dxa"/>
            <w:vMerge w:val="restart"/>
            <w:shd w:val="clear" w:color="auto" w:fill="FFFFFF" w:themeFill="background1"/>
            <w:vAlign w:val="center"/>
            <w:hideMark/>
          </w:tcPr>
          <w:p w14:paraId="242BC63C"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w:t>
            </w:r>
          </w:p>
        </w:tc>
        <w:tc>
          <w:tcPr>
            <w:tcW w:w="3340" w:type="dxa"/>
            <w:shd w:val="clear" w:color="auto" w:fill="FFFFFF" w:themeFill="background1"/>
            <w:noWrap/>
            <w:vAlign w:val="center"/>
            <w:hideMark/>
          </w:tcPr>
          <w:p w14:paraId="3E60B527"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Փաստացի</w:t>
            </w:r>
          </w:p>
        </w:tc>
        <w:tc>
          <w:tcPr>
            <w:tcW w:w="1120" w:type="dxa"/>
            <w:shd w:val="clear" w:color="auto" w:fill="FFFFFF" w:themeFill="background1"/>
            <w:vAlign w:val="center"/>
            <w:hideMark/>
          </w:tcPr>
          <w:p w14:paraId="1F126C57"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179.5</w:t>
            </w:r>
          </w:p>
        </w:tc>
        <w:tc>
          <w:tcPr>
            <w:tcW w:w="1120" w:type="dxa"/>
            <w:shd w:val="clear" w:color="auto" w:fill="FFFFFF" w:themeFill="background1"/>
            <w:noWrap/>
            <w:vAlign w:val="center"/>
            <w:hideMark/>
          </w:tcPr>
          <w:p w14:paraId="20D310E9" w14:textId="7B9D904E"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noWrap/>
            <w:vAlign w:val="center"/>
            <w:hideMark/>
          </w:tcPr>
          <w:p w14:paraId="5C3C832C" w14:textId="66B5EDBB"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7B959656" w14:textId="77777777" w:rsidTr="00E94C66">
        <w:trPr>
          <w:trHeight w:val="345"/>
        </w:trPr>
        <w:tc>
          <w:tcPr>
            <w:tcW w:w="1280" w:type="dxa"/>
            <w:vMerge/>
            <w:shd w:val="clear" w:color="auto" w:fill="FFFFFF" w:themeFill="background1"/>
            <w:vAlign w:val="center"/>
            <w:hideMark/>
          </w:tcPr>
          <w:p w14:paraId="2DFF217E"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noWrap/>
            <w:vAlign w:val="center"/>
            <w:hideMark/>
          </w:tcPr>
          <w:p w14:paraId="2FB4A32F"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3FE515B2"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2.11%</w:t>
            </w:r>
          </w:p>
        </w:tc>
        <w:tc>
          <w:tcPr>
            <w:tcW w:w="1120" w:type="dxa"/>
            <w:shd w:val="clear" w:color="auto" w:fill="FFFFFF" w:themeFill="background1"/>
            <w:noWrap/>
            <w:vAlign w:val="center"/>
            <w:hideMark/>
          </w:tcPr>
          <w:p w14:paraId="527E1C6A" w14:textId="6C6E0043"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noWrap/>
            <w:vAlign w:val="center"/>
            <w:hideMark/>
          </w:tcPr>
          <w:p w14:paraId="4B14E4AD" w14:textId="530D08AB"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05DA9A7A" w14:textId="77777777" w:rsidTr="00E94C66">
        <w:trPr>
          <w:trHeight w:val="345"/>
        </w:trPr>
        <w:tc>
          <w:tcPr>
            <w:tcW w:w="1280" w:type="dxa"/>
            <w:vMerge w:val="restart"/>
            <w:shd w:val="clear" w:color="auto" w:fill="FFFFFF" w:themeFill="background1"/>
            <w:vAlign w:val="center"/>
            <w:hideMark/>
          </w:tcPr>
          <w:p w14:paraId="34B56B1C"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2021</w:t>
            </w:r>
          </w:p>
        </w:tc>
        <w:tc>
          <w:tcPr>
            <w:tcW w:w="3340" w:type="dxa"/>
            <w:shd w:val="clear" w:color="auto" w:fill="FFFFFF" w:themeFill="background1"/>
            <w:noWrap/>
            <w:vAlign w:val="center"/>
            <w:hideMark/>
          </w:tcPr>
          <w:p w14:paraId="2EDAF367"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 xml:space="preserve"> ՄԺԾԾ 2022-2024</w:t>
            </w:r>
          </w:p>
        </w:tc>
        <w:tc>
          <w:tcPr>
            <w:tcW w:w="1120" w:type="dxa"/>
            <w:shd w:val="clear" w:color="auto" w:fill="FFFFFF" w:themeFill="background1"/>
            <w:vAlign w:val="center"/>
            <w:hideMark/>
          </w:tcPr>
          <w:p w14:paraId="20B89548"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181.7</w:t>
            </w:r>
          </w:p>
        </w:tc>
        <w:tc>
          <w:tcPr>
            <w:tcW w:w="1120" w:type="dxa"/>
            <w:shd w:val="clear" w:color="auto" w:fill="FFFFFF" w:themeFill="background1"/>
            <w:vAlign w:val="center"/>
            <w:hideMark/>
          </w:tcPr>
          <w:p w14:paraId="64439CFB"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168.8</w:t>
            </w:r>
          </w:p>
        </w:tc>
        <w:tc>
          <w:tcPr>
            <w:tcW w:w="1120" w:type="dxa"/>
            <w:shd w:val="clear" w:color="auto" w:fill="FFFFFF" w:themeFill="background1"/>
            <w:vAlign w:val="center"/>
            <w:hideMark/>
          </w:tcPr>
          <w:p w14:paraId="10EA415F"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163.7</w:t>
            </w:r>
          </w:p>
        </w:tc>
      </w:tr>
      <w:tr w:rsidR="00730639" w:rsidRPr="00822EDF" w14:paraId="36C078C1" w14:textId="77777777" w:rsidTr="00E94C66">
        <w:trPr>
          <w:trHeight w:val="345"/>
        </w:trPr>
        <w:tc>
          <w:tcPr>
            <w:tcW w:w="1280" w:type="dxa"/>
            <w:vMerge/>
            <w:shd w:val="clear" w:color="auto" w:fill="FFFFFF" w:themeFill="background1"/>
            <w:vAlign w:val="center"/>
            <w:hideMark/>
          </w:tcPr>
          <w:p w14:paraId="2E65004E"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vAlign w:val="center"/>
            <w:hideMark/>
          </w:tcPr>
          <w:p w14:paraId="73C97CD6"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13C7090B"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2.40%</w:t>
            </w:r>
          </w:p>
        </w:tc>
        <w:tc>
          <w:tcPr>
            <w:tcW w:w="1120" w:type="dxa"/>
            <w:shd w:val="clear" w:color="auto" w:fill="FFFFFF" w:themeFill="background1"/>
            <w:vAlign w:val="center"/>
            <w:hideMark/>
          </w:tcPr>
          <w:p w14:paraId="55B2A2AB"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2.10%</w:t>
            </w:r>
          </w:p>
        </w:tc>
        <w:tc>
          <w:tcPr>
            <w:tcW w:w="1120" w:type="dxa"/>
            <w:shd w:val="clear" w:color="auto" w:fill="FFFFFF" w:themeFill="background1"/>
            <w:vAlign w:val="center"/>
            <w:hideMark/>
          </w:tcPr>
          <w:p w14:paraId="41175263"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1.90%</w:t>
            </w:r>
          </w:p>
        </w:tc>
      </w:tr>
      <w:tr w:rsidR="00730639" w:rsidRPr="00822EDF" w14:paraId="1C79CB34" w14:textId="77777777" w:rsidTr="00E94C66">
        <w:trPr>
          <w:trHeight w:val="345"/>
        </w:trPr>
        <w:tc>
          <w:tcPr>
            <w:tcW w:w="1280" w:type="dxa"/>
            <w:vMerge/>
            <w:shd w:val="clear" w:color="auto" w:fill="FFFFFF" w:themeFill="background1"/>
            <w:vAlign w:val="center"/>
            <w:hideMark/>
          </w:tcPr>
          <w:p w14:paraId="10E56752"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noWrap/>
            <w:vAlign w:val="center"/>
            <w:hideMark/>
          </w:tcPr>
          <w:p w14:paraId="4BB97B25"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2022թ. Պետական բյուջե</w:t>
            </w:r>
          </w:p>
        </w:tc>
        <w:tc>
          <w:tcPr>
            <w:tcW w:w="1120" w:type="dxa"/>
            <w:shd w:val="clear" w:color="auto" w:fill="FFFFFF" w:themeFill="background1"/>
            <w:vAlign w:val="center"/>
            <w:hideMark/>
          </w:tcPr>
          <w:p w14:paraId="25B629C9"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236.3</w:t>
            </w:r>
          </w:p>
        </w:tc>
        <w:tc>
          <w:tcPr>
            <w:tcW w:w="1120" w:type="dxa"/>
            <w:shd w:val="clear" w:color="auto" w:fill="FFFFFF" w:themeFill="background1"/>
            <w:vAlign w:val="center"/>
            <w:hideMark/>
          </w:tcPr>
          <w:p w14:paraId="586DDAB6" w14:textId="36126B8D"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noWrap/>
            <w:vAlign w:val="center"/>
            <w:hideMark/>
          </w:tcPr>
          <w:p w14:paraId="096C5807" w14:textId="7BB4DB7B"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0493386E" w14:textId="77777777" w:rsidTr="00E94C66">
        <w:trPr>
          <w:trHeight w:val="345"/>
        </w:trPr>
        <w:tc>
          <w:tcPr>
            <w:tcW w:w="1280" w:type="dxa"/>
            <w:vMerge/>
            <w:shd w:val="clear" w:color="auto" w:fill="FFFFFF" w:themeFill="background1"/>
            <w:vAlign w:val="center"/>
            <w:hideMark/>
          </w:tcPr>
          <w:p w14:paraId="07754862"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vAlign w:val="center"/>
            <w:hideMark/>
          </w:tcPr>
          <w:p w14:paraId="39669DCF"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30C0EF9B"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3.00%</w:t>
            </w:r>
          </w:p>
        </w:tc>
        <w:tc>
          <w:tcPr>
            <w:tcW w:w="1120" w:type="dxa"/>
            <w:shd w:val="clear" w:color="auto" w:fill="FFFFFF" w:themeFill="background1"/>
            <w:vAlign w:val="center"/>
            <w:hideMark/>
          </w:tcPr>
          <w:p w14:paraId="74B4EC3D" w14:textId="64550706"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noWrap/>
            <w:vAlign w:val="center"/>
            <w:hideMark/>
          </w:tcPr>
          <w:p w14:paraId="5BD7E5AE" w14:textId="2CFB6F6F"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5BE4BDE2" w14:textId="77777777" w:rsidTr="00E94C66">
        <w:trPr>
          <w:trHeight w:val="345"/>
        </w:trPr>
        <w:tc>
          <w:tcPr>
            <w:tcW w:w="1280" w:type="dxa"/>
            <w:vMerge w:val="restart"/>
            <w:shd w:val="clear" w:color="auto" w:fill="FFFFFF" w:themeFill="background1"/>
            <w:vAlign w:val="center"/>
            <w:hideMark/>
          </w:tcPr>
          <w:p w14:paraId="1EE87CE0"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2022</w:t>
            </w:r>
          </w:p>
        </w:tc>
        <w:tc>
          <w:tcPr>
            <w:tcW w:w="3340" w:type="dxa"/>
            <w:shd w:val="clear" w:color="auto" w:fill="FFFFFF" w:themeFill="background1"/>
            <w:noWrap/>
            <w:vAlign w:val="center"/>
            <w:hideMark/>
          </w:tcPr>
          <w:p w14:paraId="580B5798"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 xml:space="preserve"> ՄԺԾԾ 2023-2025</w:t>
            </w:r>
          </w:p>
        </w:tc>
        <w:tc>
          <w:tcPr>
            <w:tcW w:w="1120" w:type="dxa"/>
            <w:shd w:val="clear" w:color="auto" w:fill="FFFFFF" w:themeFill="background1"/>
            <w:vAlign w:val="center"/>
            <w:hideMark/>
          </w:tcPr>
          <w:p w14:paraId="462C413A"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171.3</w:t>
            </w:r>
          </w:p>
        </w:tc>
        <w:tc>
          <w:tcPr>
            <w:tcW w:w="1120" w:type="dxa"/>
            <w:shd w:val="clear" w:color="auto" w:fill="FFFFFF" w:themeFill="background1"/>
            <w:vAlign w:val="center"/>
            <w:hideMark/>
          </w:tcPr>
          <w:p w14:paraId="2ACF3433"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292.2</w:t>
            </w:r>
          </w:p>
        </w:tc>
        <w:tc>
          <w:tcPr>
            <w:tcW w:w="1120" w:type="dxa"/>
            <w:shd w:val="clear" w:color="auto" w:fill="FFFFFF" w:themeFill="background1"/>
            <w:vAlign w:val="center"/>
            <w:hideMark/>
          </w:tcPr>
          <w:p w14:paraId="6A12521B"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273.3</w:t>
            </w:r>
          </w:p>
        </w:tc>
      </w:tr>
      <w:tr w:rsidR="00730639" w:rsidRPr="00822EDF" w14:paraId="4816670C" w14:textId="77777777" w:rsidTr="00E94C66">
        <w:trPr>
          <w:trHeight w:val="345"/>
        </w:trPr>
        <w:tc>
          <w:tcPr>
            <w:tcW w:w="1280" w:type="dxa"/>
            <w:vMerge/>
            <w:shd w:val="clear" w:color="auto" w:fill="FFFFFF" w:themeFill="background1"/>
            <w:vAlign w:val="center"/>
            <w:hideMark/>
          </w:tcPr>
          <w:p w14:paraId="71556C67"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vAlign w:val="center"/>
            <w:hideMark/>
          </w:tcPr>
          <w:p w14:paraId="752C9B6F"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4B53E071"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2.10%</w:t>
            </w:r>
          </w:p>
        </w:tc>
        <w:tc>
          <w:tcPr>
            <w:tcW w:w="1120" w:type="dxa"/>
            <w:shd w:val="clear" w:color="auto" w:fill="FFFFFF" w:themeFill="background1"/>
            <w:vAlign w:val="center"/>
            <w:hideMark/>
          </w:tcPr>
          <w:p w14:paraId="6BD63746"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3.20%</w:t>
            </w:r>
          </w:p>
        </w:tc>
        <w:tc>
          <w:tcPr>
            <w:tcW w:w="1120" w:type="dxa"/>
            <w:shd w:val="clear" w:color="auto" w:fill="FFFFFF" w:themeFill="background1"/>
            <w:vAlign w:val="center"/>
            <w:hideMark/>
          </w:tcPr>
          <w:p w14:paraId="14136BAC"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2.70%</w:t>
            </w:r>
          </w:p>
        </w:tc>
      </w:tr>
      <w:tr w:rsidR="00730639" w:rsidRPr="00822EDF" w14:paraId="0157952F" w14:textId="77777777" w:rsidTr="00E94C66">
        <w:trPr>
          <w:trHeight w:val="345"/>
        </w:trPr>
        <w:tc>
          <w:tcPr>
            <w:tcW w:w="1280" w:type="dxa"/>
            <w:vMerge/>
            <w:shd w:val="clear" w:color="auto" w:fill="FFFFFF" w:themeFill="background1"/>
            <w:vAlign w:val="center"/>
            <w:hideMark/>
          </w:tcPr>
          <w:p w14:paraId="1E7C0EBA"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noWrap/>
            <w:vAlign w:val="center"/>
            <w:hideMark/>
          </w:tcPr>
          <w:p w14:paraId="184DC778"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2023թ. Պետական բյուջե</w:t>
            </w:r>
          </w:p>
        </w:tc>
        <w:tc>
          <w:tcPr>
            <w:tcW w:w="1120" w:type="dxa"/>
            <w:shd w:val="clear" w:color="auto" w:fill="FFFFFF" w:themeFill="background1"/>
            <w:vAlign w:val="center"/>
            <w:hideMark/>
          </w:tcPr>
          <w:p w14:paraId="7AEA0E86"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204.2</w:t>
            </w:r>
          </w:p>
        </w:tc>
        <w:tc>
          <w:tcPr>
            <w:tcW w:w="1120" w:type="dxa"/>
            <w:shd w:val="clear" w:color="auto" w:fill="FFFFFF" w:themeFill="background1"/>
            <w:vAlign w:val="center"/>
            <w:hideMark/>
          </w:tcPr>
          <w:p w14:paraId="003C12E9"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288.9</w:t>
            </w:r>
          </w:p>
        </w:tc>
        <w:tc>
          <w:tcPr>
            <w:tcW w:w="1120" w:type="dxa"/>
            <w:shd w:val="clear" w:color="auto" w:fill="FFFFFF" w:themeFill="background1"/>
            <w:vAlign w:val="center"/>
            <w:hideMark/>
          </w:tcPr>
          <w:p w14:paraId="1BAE1B3C" w14:textId="44EED1A3"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33AA5448" w14:textId="77777777" w:rsidTr="00E94C66">
        <w:trPr>
          <w:trHeight w:val="345"/>
        </w:trPr>
        <w:tc>
          <w:tcPr>
            <w:tcW w:w="1280" w:type="dxa"/>
            <w:vMerge/>
            <w:shd w:val="clear" w:color="auto" w:fill="FFFFFF" w:themeFill="background1"/>
            <w:vAlign w:val="center"/>
            <w:hideMark/>
          </w:tcPr>
          <w:p w14:paraId="1802D969"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vAlign w:val="center"/>
            <w:hideMark/>
          </w:tcPr>
          <w:p w14:paraId="405B4080"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07C64C0D"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2.46%</w:t>
            </w:r>
          </w:p>
        </w:tc>
        <w:tc>
          <w:tcPr>
            <w:tcW w:w="1120" w:type="dxa"/>
            <w:shd w:val="clear" w:color="auto" w:fill="FFFFFF" w:themeFill="background1"/>
            <w:vAlign w:val="center"/>
            <w:hideMark/>
          </w:tcPr>
          <w:p w14:paraId="5D604CE9"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3.10%</w:t>
            </w:r>
          </w:p>
        </w:tc>
        <w:tc>
          <w:tcPr>
            <w:tcW w:w="1120" w:type="dxa"/>
            <w:shd w:val="clear" w:color="auto" w:fill="FFFFFF" w:themeFill="background1"/>
            <w:vAlign w:val="center"/>
            <w:hideMark/>
          </w:tcPr>
          <w:p w14:paraId="52737DB4" w14:textId="18ED2BAA" w:rsidR="00730639" w:rsidRPr="00CE47BF" w:rsidRDefault="00730639" w:rsidP="00367064">
            <w:pPr>
              <w:spacing w:before="0" w:line="240" w:lineRule="auto"/>
              <w:jc w:val="center"/>
              <w:rPr>
                <w:rFonts w:cs="Calibri"/>
                <w:b w:val="0"/>
                <w:i/>
                <w:iCs/>
                <w:sz w:val="20"/>
                <w:szCs w:val="20"/>
                <w:lang w:val="en-US" w:eastAsia="en-US"/>
              </w:rPr>
            </w:pPr>
          </w:p>
        </w:tc>
      </w:tr>
      <w:tr w:rsidR="00730639" w:rsidRPr="00822EDF" w14:paraId="1A55357B" w14:textId="77777777" w:rsidTr="00E94C66">
        <w:trPr>
          <w:trHeight w:val="345"/>
        </w:trPr>
        <w:tc>
          <w:tcPr>
            <w:tcW w:w="1280" w:type="dxa"/>
            <w:vMerge w:val="restart"/>
            <w:shd w:val="clear" w:color="auto" w:fill="FFFFFF" w:themeFill="background1"/>
            <w:vAlign w:val="center"/>
            <w:hideMark/>
          </w:tcPr>
          <w:p w14:paraId="28702B98"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2023</w:t>
            </w:r>
          </w:p>
        </w:tc>
        <w:tc>
          <w:tcPr>
            <w:tcW w:w="3340" w:type="dxa"/>
            <w:shd w:val="clear" w:color="auto" w:fill="FFFFFF" w:themeFill="background1"/>
            <w:noWrap/>
            <w:vAlign w:val="center"/>
            <w:hideMark/>
          </w:tcPr>
          <w:p w14:paraId="72452D19"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 xml:space="preserve"> ՄԺԾԾ 2024-2026</w:t>
            </w:r>
          </w:p>
        </w:tc>
        <w:tc>
          <w:tcPr>
            <w:tcW w:w="1120" w:type="dxa"/>
            <w:shd w:val="clear" w:color="auto" w:fill="FFFFFF" w:themeFill="background1"/>
            <w:vAlign w:val="center"/>
            <w:hideMark/>
          </w:tcPr>
          <w:p w14:paraId="62E011D7" w14:textId="5DB0DD3E"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vAlign w:val="center"/>
            <w:hideMark/>
          </w:tcPr>
          <w:p w14:paraId="49194563"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273.9</w:t>
            </w:r>
          </w:p>
        </w:tc>
        <w:tc>
          <w:tcPr>
            <w:tcW w:w="1120" w:type="dxa"/>
            <w:shd w:val="clear" w:color="auto" w:fill="FFFFFF" w:themeFill="background1"/>
            <w:vAlign w:val="center"/>
            <w:hideMark/>
          </w:tcPr>
          <w:p w14:paraId="6987D076"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302.5</w:t>
            </w:r>
          </w:p>
        </w:tc>
      </w:tr>
      <w:tr w:rsidR="00730639" w:rsidRPr="00822EDF" w14:paraId="135EBD3C" w14:textId="77777777" w:rsidTr="00E94C66">
        <w:trPr>
          <w:trHeight w:val="345"/>
        </w:trPr>
        <w:tc>
          <w:tcPr>
            <w:tcW w:w="1280" w:type="dxa"/>
            <w:vMerge/>
            <w:shd w:val="clear" w:color="auto" w:fill="FFFFFF" w:themeFill="background1"/>
            <w:vAlign w:val="center"/>
            <w:hideMark/>
          </w:tcPr>
          <w:p w14:paraId="51F177C4"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vAlign w:val="center"/>
            <w:hideMark/>
          </w:tcPr>
          <w:p w14:paraId="378C6A01"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20CB6D00" w14:textId="65246E1C"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vAlign w:val="center"/>
            <w:hideMark/>
          </w:tcPr>
          <w:p w14:paraId="37215B2A"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2.87%</w:t>
            </w:r>
          </w:p>
        </w:tc>
        <w:tc>
          <w:tcPr>
            <w:tcW w:w="1120" w:type="dxa"/>
            <w:shd w:val="clear" w:color="auto" w:fill="FFFFFF" w:themeFill="background1"/>
            <w:vAlign w:val="center"/>
            <w:hideMark/>
          </w:tcPr>
          <w:p w14:paraId="15B31CA6"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2.85%</w:t>
            </w:r>
          </w:p>
        </w:tc>
      </w:tr>
      <w:tr w:rsidR="00730639" w:rsidRPr="00822EDF" w14:paraId="360CBD87" w14:textId="77777777" w:rsidTr="00E94C66">
        <w:trPr>
          <w:trHeight w:val="345"/>
        </w:trPr>
        <w:tc>
          <w:tcPr>
            <w:tcW w:w="1280" w:type="dxa"/>
            <w:vMerge/>
            <w:shd w:val="clear" w:color="auto" w:fill="FFFFFF" w:themeFill="background1"/>
            <w:vAlign w:val="center"/>
            <w:hideMark/>
          </w:tcPr>
          <w:p w14:paraId="348E71BA"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noWrap/>
            <w:vAlign w:val="center"/>
            <w:hideMark/>
          </w:tcPr>
          <w:p w14:paraId="57ADB89F"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2024թ. Պետական բյուջե</w:t>
            </w:r>
          </w:p>
        </w:tc>
        <w:tc>
          <w:tcPr>
            <w:tcW w:w="1120" w:type="dxa"/>
            <w:shd w:val="clear" w:color="auto" w:fill="FFFFFF" w:themeFill="background1"/>
            <w:vAlign w:val="center"/>
            <w:hideMark/>
          </w:tcPr>
          <w:p w14:paraId="3E90939D" w14:textId="41A1192A"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vAlign w:val="center"/>
            <w:hideMark/>
          </w:tcPr>
          <w:p w14:paraId="4B7BBE6F"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245.3</w:t>
            </w:r>
          </w:p>
        </w:tc>
        <w:tc>
          <w:tcPr>
            <w:tcW w:w="1120" w:type="dxa"/>
            <w:shd w:val="clear" w:color="auto" w:fill="FFFFFF" w:themeFill="background1"/>
            <w:vAlign w:val="center"/>
            <w:hideMark/>
          </w:tcPr>
          <w:p w14:paraId="65457E57"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482.9</w:t>
            </w:r>
          </w:p>
        </w:tc>
      </w:tr>
      <w:tr w:rsidR="00730639" w:rsidRPr="00822EDF" w14:paraId="76AF5DC5" w14:textId="77777777" w:rsidTr="00E94C66">
        <w:trPr>
          <w:trHeight w:val="345"/>
        </w:trPr>
        <w:tc>
          <w:tcPr>
            <w:tcW w:w="1280" w:type="dxa"/>
            <w:vMerge/>
            <w:shd w:val="clear" w:color="auto" w:fill="FFFFFF" w:themeFill="background1"/>
            <w:vAlign w:val="center"/>
            <w:hideMark/>
          </w:tcPr>
          <w:p w14:paraId="21CFA96E" w14:textId="77777777" w:rsidR="00730639" w:rsidRPr="00CE47BF" w:rsidRDefault="00730639" w:rsidP="00E94C66">
            <w:pPr>
              <w:spacing w:before="0" w:line="240" w:lineRule="auto"/>
              <w:jc w:val="left"/>
              <w:rPr>
                <w:rFonts w:cs="Calibri"/>
                <w:b w:val="0"/>
                <w:i/>
                <w:iCs/>
                <w:sz w:val="20"/>
                <w:szCs w:val="20"/>
                <w:lang w:val="en-US" w:eastAsia="en-US"/>
              </w:rPr>
            </w:pPr>
          </w:p>
        </w:tc>
        <w:tc>
          <w:tcPr>
            <w:tcW w:w="3340" w:type="dxa"/>
            <w:shd w:val="clear" w:color="auto" w:fill="FFFFFF" w:themeFill="background1"/>
            <w:vAlign w:val="center"/>
            <w:hideMark/>
          </w:tcPr>
          <w:p w14:paraId="36A39C15" w14:textId="77777777" w:rsidR="00730639" w:rsidRPr="00CE47BF" w:rsidRDefault="00730639" w:rsidP="00E94C66">
            <w:pPr>
              <w:spacing w:before="0" w:line="240" w:lineRule="auto"/>
              <w:jc w:val="left"/>
              <w:rPr>
                <w:rFonts w:cs="Calibri"/>
                <w:b w:val="0"/>
                <w:i/>
                <w:iCs/>
                <w:sz w:val="20"/>
                <w:szCs w:val="20"/>
                <w:lang w:val="en-US" w:eastAsia="en-US"/>
              </w:rPr>
            </w:pPr>
            <w:r w:rsidRPr="00CE47BF">
              <w:rPr>
                <w:rFonts w:cs="Calibri"/>
                <w:b w:val="0"/>
                <w:i/>
                <w:iCs/>
                <w:sz w:val="20"/>
                <w:szCs w:val="20"/>
                <w:lang w:val="en-US" w:eastAsia="en-US"/>
              </w:rPr>
              <w:t>%-ով՝ ՀՆԱ-ի նկատմամբ</w:t>
            </w:r>
          </w:p>
        </w:tc>
        <w:tc>
          <w:tcPr>
            <w:tcW w:w="1120" w:type="dxa"/>
            <w:shd w:val="clear" w:color="auto" w:fill="FFFFFF" w:themeFill="background1"/>
            <w:vAlign w:val="center"/>
            <w:hideMark/>
          </w:tcPr>
          <w:p w14:paraId="3DA7912B" w14:textId="5C4F36CC" w:rsidR="00730639" w:rsidRPr="00CE47BF" w:rsidRDefault="00730639" w:rsidP="00367064">
            <w:pPr>
              <w:spacing w:before="0" w:line="240" w:lineRule="auto"/>
              <w:jc w:val="center"/>
              <w:rPr>
                <w:rFonts w:cs="Calibri"/>
                <w:b w:val="0"/>
                <w:i/>
                <w:iCs/>
                <w:sz w:val="20"/>
                <w:szCs w:val="20"/>
                <w:lang w:val="en-US" w:eastAsia="en-US"/>
              </w:rPr>
            </w:pPr>
          </w:p>
        </w:tc>
        <w:tc>
          <w:tcPr>
            <w:tcW w:w="1120" w:type="dxa"/>
            <w:shd w:val="clear" w:color="auto" w:fill="FFFFFF" w:themeFill="background1"/>
            <w:vAlign w:val="center"/>
            <w:hideMark/>
          </w:tcPr>
          <w:p w14:paraId="6078F9A8"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2.60%</w:t>
            </w:r>
          </w:p>
        </w:tc>
        <w:tc>
          <w:tcPr>
            <w:tcW w:w="1120" w:type="dxa"/>
            <w:shd w:val="clear" w:color="auto" w:fill="FFFFFF" w:themeFill="background1"/>
            <w:vAlign w:val="center"/>
            <w:hideMark/>
          </w:tcPr>
          <w:p w14:paraId="1C0E9679" w14:textId="77777777" w:rsidR="00730639" w:rsidRPr="00CE47BF" w:rsidRDefault="00730639" w:rsidP="00367064">
            <w:pPr>
              <w:spacing w:before="0" w:line="240" w:lineRule="auto"/>
              <w:jc w:val="center"/>
              <w:rPr>
                <w:rFonts w:cs="Calibri"/>
                <w:b w:val="0"/>
                <w:i/>
                <w:iCs/>
                <w:sz w:val="20"/>
                <w:szCs w:val="20"/>
                <w:lang w:val="en-US" w:eastAsia="en-US"/>
              </w:rPr>
            </w:pPr>
            <w:r w:rsidRPr="00CE47BF">
              <w:rPr>
                <w:rFonts w:cs="Calibri"/>
                <w:b w:val="0"/>
                <w:i/>
                <w:iCs/>
                <w:sz w:val="20"/>
                <w:szCs w:val="20"/>
                <w:lang w:val="en-US" w:eastAsia="en-US"/>
              </w:rPr>
              <w:t>4.59%</w:t>
            </w:r>
          </w:p>
        </w:tc>
      </w:tr>
    </w:tbl>
    <w:p w14:paraId="102E68C1" w14:textId="28ABC63D" w:rsidR="00730639" w:rsidRDefault="00730639" w:rsidP="00DE5FA5">
      <w:pPr>
        <w:spacing w:before="0" w:line="240" w:lineRule="auto"/>
        <w:ind w:left="284"/>
        <w:jc w:val="left"/>
        <w:rPr>
          <w:rFonts w:eastAsia="Calibri"/>
          <w:b w:val="0"/>
          <w:i/>
          <w:sz w:val="20"/>
          <w:szCs w:val="20"/>
          <w:lang w:val="hy-AM" w:eastAsia="en-US"/>
        </w:rPr>
      </w:pPr>
    </w:p>
    <w:p w14:paraId="60E0CB07" w14:textId="6937DD05" w:rsidR="00730639" w:rsidRDefault="00730639" w:rsidP="00DE5FA5">
      <w:pPr>
        <w:spacing w:before="0" w:line="240" w:lineRule="auto"/>
        <w:ind w:left="284"/>
        <w:jc w:val="left"/>
        <w:rPr>
          <w:rFonts w:eastAsia="Calibri"/>
          <w:b w:val="0"/>
          <w:i/>
          <w:sz w:val="20"/>
          <w:szCs w:val="20"/>
          <w:lang w:val="hy-AM" w:eastAsia="en-US"/>
        </w:rPr>
      </w:pPr>
    </w:p>
    <w:p w14:paraId="1F26FBD5" w14:textId="00354A6F" w:rsidR="00730639" w:rsidRDefault="00730639" w:rsidP="00DE5FA5">
      <w:pPr>
        <w:spacing w:before="0" w:line="240" w:lineRule="auto"/>
        <w:ind w:left="284"/>
        <w:jc w:val="left"/>
        <w:rPr>
          <w:rFonts w:eastAsia="Calibri"/>
          <w:b w:val="0"/>
          <w:i/>
          <w:sz w:val="20"/>
          <w:szCs w:val="20"/>
          <w:lang w:val="hy-AM" w:eastAsia="en-US"/>
        </w:rPr>
      </w:pPr>
    </w:p>
    <w:p w14:paraId="297F0331" w14:textId="2499BD06" w:rsidR="00E94C66" w:rsidRDefault="00E94C66">
      <w:pPr>
        <w:rPr>
          <w:rFonts w:eastAsia="Calibri"/>
          <w:b w:val="0"/>
          <w:szCs w:val="22"/>
          <w:lang w:val="hy-AM" w:eastAsia="en-US"/>
        </w:rPr>
      </w:pPr>
      <w:bookmarkStart w:id="122" w:name="_Toc83972892"/>
      <w:bookmarkEnd w:id="19"/>
      <w:r>
        <w:rPr>
          <w:rFonts w:eastAsia="Calibri"/>
          <w:b w:val="0"/>
          <w:szCs w:val="22"/>
          <w:lang w:val="hy-AM" w:eastAsia="en-US"/>
        </w:rPr>
        <w:br w:type="page"/>
      </w:r>
    </w:p>
    <w:p w14:paraId="08AA3C5B" w14:textId="0C8B2653" w:rsidR="0087134D" w:rsidRPr="00290696" w:rsidRDefault="0087134D" w:rsidP="0009272D">
      <w:pPr>
        <w:pStyle w:val="Heading1"/>
      </w:pPr>
      <w:bookmarkStart w:id="123" w:name="_Toc153184518"/>
      <w:bookmarkStart w:id="124" w:name="_Toc165901465"/>
      <w:r w:rsidRPr="00290696">
        <w:lastRenderedPageBreak/>
        <w:t>2. ՊԵՏԱԿԱՆ ԲՅՈՒՋԵԻ ՎՐԱ ՄԱԿՐՈՏՆՏԵՍԱԿԱՆ ԿԱՆԽԱՏԵՍՎԱԾ ՑՈՒՑԱՆԻՇՆԵՐԻՑ ՇԵՂՄԱՆ ՌԻՍԿԵՐԻ ԱԶԴԵՑՈՒԹՅԱՆ ՔԱՆԱԿԱԿԱՆ ԳՆԱՀԱՏՈՒՄ</w:t>
      </w:r>
      <w:bookmarkEnd w:id="122"/>
      <w:bookmarkEnd w:id="123"/>
      <w:bookmarkEnd w:id="124"/>
    </w:p>
    <w:p w14:paraId="05DA2277" w14:textId="77777777" w:rsidR="0087134D" w:rsidRPr="007955BB" w:rsidRDefault="0087134D" w:rsidP="00155BCD">
      <w:pPr>
        <w:rPr>
          <w:sz w:val="24"/>
          <w:lang w:val="es-ES"/>
        </w:rPr>
      </w:pPr>
      <w:bookmarkStart w:id="125" w:name="_Toc14687616"/>
      <w:bookmarkStart w:id="126" w:name="_Toc13837280"/>
    </w:p>
    <w:p w14:paraId="2B0ACBD9" w14:textId="77777777" w:rsidR="00EB28B4" w:rsidRPr="007955BB" w:rsidRDefault="00EB28B4" w:rsidP="00EB28B4">
      <w:pPr>
        <w:rPr>
          <w:szCs w:val="22"/>
          <w:lang w:val="hy-AM"/>
        </w:rPr>
      </w:pPr>
      <w:bookmarkStart w:id="127" w:name="_Toc83663900"/>
      <w:bookmarkStart w:id="128" w:name="_Toc83972893"/>
      <w:bookmarkStart w:id="129" w:name="_Toc83650399"/>
      <w:bookmarkStart w:id="130" w:name="_Toc83972894"/>
      <w:bookmarkEnd w:id="125"/>
      <w:bookmarkEnd w:id="126"/>
      <w:r w:rsidRPr="007955BB">
        <w:rPr>
          <w:szCs w:val="22"/>
          <w:lang w:val="hy-AM"/>
        </w:rPr>
        <w:t>202</w:t>
      </w:r>
      <w:r>
        <w:rPr>
          <w:szCs w:val="22"/>
          <w:lang w:val="hy-AM"/>
        </w:rPr>
        <w:t>4</w:t>
      </w:r>
      <w:r w:rsidRPr="007955BB">
        <w:rPr>
          <w:szCs w:val="22"/>
          <w:lang w:val="hy-AM"/>
        </w:rPr>
        <w:t xml:space="preserve"> թվականին պետական բյուջեի հարկային եկամուտների վրա մակրոտնտեսական ցուցանիշների կանխատեսվածից շեղման ռիսկերի ազդեցության քանակական գնահատումը</w:t>
      </w:r>
    </w:p>
    <w:p w14:paraId="583B1B59" w14:textId="77777777" w:rsidR="00EB28B4" w:rsidRPr="007955BB" w:rsidRDefault="00EB28B4" w:rsidP="00EB28B4">
      <w:pPr>
        <w:rPr>
          <w:rFonts w:cs="Sylfaen"/>
          <w:b w:val="0"/>
          <w:lang w:val="hy-AM"/>
        </w:rPr>
      </w:pPr>
      <w:r w:rsidRPr="007955BB">
        <w:rPr>
          <w:rFonts w:cs="Sylfaen"/>
          <w:b w:val="0"/>
          <w:lang w:val="hy-AM"/>
        </w:rPr>
        <w:t>Կարճաժամկետ հատվածում հարկային եկամուտների կանխատեսվող հոսքերի վրա մակրոտնտեսական բնույթի ռիսկերի ազդեցության քանակական գնահատումը հիմնվել է ստորև նկարագրված կանխատեսումների ռիսկի և ենթադրություններից շեղումների ռիսկի վրա:</w:t>
      </w:r>
    </w:p>
    <w:p w14:paraId="6E95052A" w14:textId="77777777" w:rsidR="00EB28B4" w:rsidRPr="007955BB" w:rsidRDefault="00EB28B4" w:rsidP="00EB28B4">
      <w:pPr>
        <w:rPr>
          <w:rFonts w:cs="Sylfaen"/>
          <w:lang w:val="hy-AM"/>
        </w:rPr>
      </w:pPr>
      <w:r w:rsidRPr="007955BB">
        <w:rPr>
          <w:rFonts w:cs="Sylfaen"/>
          <w:lang w:val="hy-AM"/>
        </w:rPr>
        <w:t>1. Կանխատեսումների ռիսկ</w:t>
      </w:r>
    </w:p>
    <w:p w14:paraId="65F4024F" w14:textId="77777777" w:rsidR="00EB28B4" w:rsidRPr="006E29F6" w:rsidRDefault="00EB28B4" w:rsidP="00EB28B4">
      <w:pPr>
        <w:rPr>
          <w:rFonts w:cs="Sylfaen"/>
          <w:b w:val="0"/>
          <w:bCs/>
          <w:lang w:val="hy-AM"/>
        </w:rPr>
      </w:pPr>
      <w:r w:rsidRPr="006E29F6">
        <w:rPr>
          <w:rFonts w:cs="Sylfaen"/>
          <w:b w:val="0"/>
          <w:bCs/>
          <w:lang w:val="hy-AM"/>
        </w:rPr>
        <w:t>Սովորաբար կանխատեսումներ իրականացնելիս ի հայտ են գալիս հանգամանքներ, որոնք կապված են լինում օգտագործվող կանխատեսման մոդելների տեղայնացումից և մասնավորեցումից, տնտեսության կառուցվածքային տեղաշարժերից</w:t>
      </w:r>
      <w:r w:rsidRPr="006E29F6">
        <w:rPr>
          <w:rFonts w:cs="Sylfaen"/>
          <w:b w:val="0"/>
          <w:bCs/>
          <w:vertAlign w:val="superscript"/>
          <w:lang w:val="hy-AM"/>
        </w:rPr>
        <w:footnoteReference w:id="27"/>
      </w:r>
      <w:r w:rsidRPr="006E29F6">
        <w:rPr>
          <w:rFonts w:cs="Sylfaen"/>
          <w:b w:val="0"/>
          <w:bCs/>
          <w:lang w:val="hy-AM"/>
        </w:rPr>
        <w:t>, նոր երևույթներից (որի վերաբերյալ նախկինում տեղեկատվությունը բացակայել է) և այլն: Այս ռիսկերն ընդունված է անվանել կանխա</w:t>
      </w:r>
      <w:r w:rsidRPr="006E29F6">
        <w:rPr>
          <w:rFonts w:cs="Sylfaen"/>
          <w:b w:val="0"/>
          <w:bCs/>
          <w:lang w:val="hy-AM"/>
        </w:rPr>
        <w:softHyphen/>
        <w:t>տես</w:t>
      </w:r>
      <w:r w:rsidRPr="006E29F6">
        <w:rPr>
          <w:rFonts w:cs="Sylfaen"/>
          <w:b w:val="0"/>
          <w:bCs/>
          <w:lang w:val="hy-AM"/>
        </w:rPr>
        <w:softHyphen/>
        <w:t>ման ռիսկեր: ՄԺԾԾ տեսանկյունից կարևորվում է ՀՆԱ-ի կանխատեսման ռիսկի գնահատումը, քանի որ ՄԺԾԾ սցենարի սահուն իրականացումը կախված է տնտեսությունում ստեղծված անվանական ՀՆԱ-ի մեծությունից: ՀՆԱ-ի գծով կանխատեսումների ռիսկը գնահատվել է վերջին տասնամյակում միջնաժամկետ ծախսերի ծրագրերի հիմքում դրվող ՀՆԱ-ի կանխատեսված ցուցա</w:t>
      </w:r>
      <w:r w:rsidRPr="006E29F6">
        <w:rPr>
          <w:rFonts w:cs="Sylfaen"/>
          <w:b w:val="0"/>
          <w:bCs/>
          <w:lang w:val="hy-AM"/>
        </w:rPr>
        <w:softHyphen/>
        <w:t xml:space="preserve">նիշների և ՀՆԱ-ի փաստացի ցուցանիշների միջև շեղման հիման վրա, ինչպես նաև՝ ապագայի համար ենթադրված, որոշակի հավանականություն ունեցող և բացասական ռիսկեր արտացոլող սցենարների վրա՝ համահունչ սույն փաստաթղթի՝ </w:t>
      </w:r>
      <w:r w:rsidRPr="006E29F6">
        <w:rPr>
          <w:rFonts w:eastAsia="Calibri" w:cs="Sylfaen"/>
          <w:b w:val="0"/>
          <w:bCs/>
          <w:iCs/>
          <w:lang w:val="hy-AM"/>
        </w:rPr>
        <w:t>Գլուխ 1. Մակրոտնտեսական զարգացումներ և կանխատեսումներ» հատվածի Ներդիր 1-ին, ինչպես նաև «4. ՀՀ կառավարության պարտքի կայունության վերլուծությունը» բաժնին:</w:t>
      </w:r>
      <w:r w:rsidRPr="006E29F6">
        <w:rPr>
          <w:rFonts w:cs="Sylfaen"/>
          <w:b w:val="0"/>
          <w:bCs/>
          <w:lang w:val="hy-AM"/>
        </w:rPr>
        <w:t xml:space="preserve"> </w:t>
      </w:r>
    </w:p>
    <w:p w14:paraId="5D0979D2" w14:textId="77777777" w:rsidR="00EB28B4" w:rsidRPr="006E29F6" w:rsidRDefault="00EB28B4" w:rsidP="00EB28B4">
      <w:pPr>
        <w:rPr>
          <w:rFonts w:cs="Sylfaen"/>
          <w:b w:val="0"/>
          <w:bCs/>
          <w:lang w:val="hy-AM"/>
        </w:rPr>
      </w:pPr>
      <w:r w:rsidRPr="006E29F6">
        <w:rPr>
          <w:rFonts w:cs="Sylfaen"/>
          <w:b w:val="0"/>
          <w:bCs/>
          <w:lang w:val="hy-AM"/>
        </w:rPr>
        <w:t>ՀՆԱ-ի կանխատեսումներից փաստացիի շեղումները վերջին տասնամյակի համար եղել են 3.4 տոկոսային կետ</w:t>
      </w:r>
      <w:r w:rsidRPr="006E29F6">
        <w:rPr>
          <w:rStyle w:val="FootnoteReference"/>
          <w:rFonts w:cs="Sylfaen"/>
          <w:b w:val="0"/>
          <w:bCs/>
          <w:lang w:val="hy-AM"/>
        </w:rPr>
        <w:footnoteReference w:id="28"/>
      </w:r>
      <w:r w:rsidRPr="006E29F6">
        <w:rPr>
          <w:rFonts w:cs="Sylfaen"/>
          <w:b w:val="0"/>
          <w:bCs/>
          <w:lang w:val="hy-AM"/>
        </w:rPr>
        <w:t>: Այս պարագայում, հաշվի առնելով կանխատեսվածից ցածր ՀՆԱ-ի ձևավորման վերոնկարագրյալ ռիսկերի գերակշռությունը, որպես ռիսկ է դիտարկվել ՀՆԱ-ի իրական աճի կանխատեսվածից 3.4 տոկոսային կետով ավելի ցածր ցուցանիշի ձևավորումը 2024 թվականին:</w:t>
      </w:r>
    </w:p>
    <w:p w14:paraId="4F93676C" w14:textId="77777777" w:rsidR="00EB28B4" w:rsidRPr="006E29F6" w:rsidRDefault="00EB28B4" w:rsidP="00EB28B4">
      <w:pPr>
        <w:rPr>
          <w:rFonts w:cs="Sylfaen"/>
          <w:b w:val="0"/>
          <w:bCs/>
          <w:lang w:val="hy-AM"/>
        </w:rPr>
      </w:pPr>
      <w:r w:rsidRPr="006E29F6">
        <w:rPr>
          <w:rFonts w:cs="Sylfaen"/>
          <w:b w:val="0"/>
          <w:bCs/>
          <w:lang w:val="hy-AM"/>
        </w:rPr>
        <w:t>Արդյունքում, ՀՆԱ նվազման ռիսկի ազդեցությունը հարկային եկամուտների վրա 2024 թվականի համար գնահատվում է 28.</w:t>
      </w:r>
      <w:r>
        <w:rPr>
          <w:rFonts w:cs="Sylfaen"/>
          <w:b w:val="0"/>
          <w:bCs/>
          <w:lang w:val="hy-AM"/>
        </w:rPr>
        <w:t>7</w:t>
      </w:r>
      <w:r w:rsidRPr="006E29F6">
        <w:rPr>
          <w:rFonts w:cs="Sylfaen"/>
          <w:b w:val="0"/>
          <w:bCs/>
          <w:lang w:val="hy-AM"/>
        </w:rPr>
        <w:t xml:space="preserve"> մլրդ ՀՀ դրամ ֆինանսական պահանջի ավելացման ուղղությամբ:</w:t>
      </w:r>
    </w:p>
    <w:p w14:paraId="64F376EB" w14:textId="77777777" w:rsidR="00EB28B4" w:rsidRDefault="00EB28B4" w:rsidP="00EB28B4">
      <w:pPr>
        <w:rPr>
          <w:rFonts w:cs="Sylfaen"/>
          <w:lang w:val="hy-AM"/>
        </w:rPr>
      </w:pPr>
      <w:r w:rsidRPr="007955BB">
        <w:rPr>
          <w:rFonts w:cs="Sylfaen"/>
          <w:lang w:val="hy-AM"/>
        </w:rPr>
        <w:t>2. Ենթադրություններից շեղումների ռիսկ</w:t>
      </w:r>
    </w:p>
    <w:p w14:paraId="6B2609A8" w14:textId="77777777" w:rsidR="00EB28B4" w:rsidRPr="00603C0E" w:rsidRDefault="00EB28B4" w:rsidP="00EB28B4">
      <w:pPr>
        <w:rPr>
          <w:rFonts w:cs="Sylfaen"/>
          <w:b w:val="0"/>
          <w:bCs/>
          <w:lang w:val="hy-AM"/>
        </w:rPr>
      </w:pPr>
      <w:r>
        <w:rPr>
          <w:rFonts w:cs="Sylfaen"/>
          <w:b w:val="0"/>
          <w:lang w:val="hy-AM"/>
        </w:rPr>
        <w:lastRenderedPageBreak/>
        <w:t>Բյուջեի</w:t>
      </w:r>
      <w:r w:rsidRPr="007955BB">
        <w:rPr>
          <w:rFonts w:cs="Sylfaen"/>
          <w:b w:val="0"/>
          <w:lang w:val="hy-AM"/>
        </w:rPr>
        <w:t xml:space="preserve"> հիմքում </w:t>
      </w:r>
      <w:r w:rsidRPr="00603C0E">
        <w:rPr>
          <w:rFonts w:cs="Sylfaen"/>
          <w:b w:val="0"/>
          <w:bCs/>
          <w:lang w:val="hy-AM"/>
        </w:rPr>
        <w:t xml:space="preserve">դրվող կանխատեսումները կառուցվում են որոշակի ենթադրությունների հիման վրա, որոնք էլ իրենց հերթին կախված են արտաքին կամ  ներքին գործոններից։ Սակայն միշտ չէ, որ այդ ենթադրությունները կանխատեսվող հորիզոնում իրականություն են դառնում՝ կապված ՀՀ կառավարության և ՀՀ ԿԲ-ի կառավարման դաշտից դուրս ի հայտ եկող երևույթների հետ: </w:t>
      </w:r>
    </w:p>
    <w:p w14:paraId="2D4D6EA3" w14:textId="77777777" w:rsidR="00EB28B4" w:rsidRPr="00603C0E" w:rsidRDefault="00EB28B4" w:rsidP="00EB28B4">
      <w:pPr>
        <w:rPr>
          <w:rFonts w:cs="Sylfaen"/>
          <w:b w:val="0"/>
          <w:bCs/>
          <w:lang w:val="hy-AM"/>
        </w:rPr>
      </w:pPr>
      <w:r w:rsidRPr="00603C0E">
        <w:rPr>
          <w:rFonts w:cs="Sylfaen"/>
          <w:b w:val="0"/>
          <w:bCs/>
          <w:lang w:val="hy-AM"/>
        </w:rPr>
        <w:t xml:space="preserve">Բացի արտաքին գործոններից, ենթադրությունների ռիսկ է հարկեր/ՀՆԱ թիրախավորված բարելավման չապահովումը՝ հարկային օրենսդրական բարեփոխումների կամ վարչարարության կատարելագործման ոչ բավարար տեմպ ապահովելու դեպքում։ </w:t>
      </w:r>
    </w:p>
    <w:p w14:paraId="0E9A3FC1" w14:textId="77777777" w:rsidR="00EB28B4" w:rsidRPr="00603C0E" w:rsidRDefault="00EB28B4" w:rsidP="00EB28B4">
      <w:pPr>
        <w:rPr>
          <w:rFonts w:cs="Sylfaen"/>
          <w:b w:val="0"/>
          <w:bCs/>
          <w:lang w:val="hy-AM"/>
        </w:rPr>
      </w:pPr>
      <w:r w:rsidRPr="00603C0E">
        <w:rPr>
          <w:rFonts w:cs="Sylfaen"/>
          <w:b w:val="0"/>
          <w:bCs/>
          <w:lang w:val="hy-AM"/>
        </w:rPr>
        <w:t>Ենթադրություններից շեղումների ռիսկ է նաև ԵԱՏՄ անդամ պետությունների տնտեսական զարգացումները: Միաժամանակ, ՀՀ պետական բյուջեի հարկային եկամուտներում մաքսա</w:t>
      </w:r>
      <w:r w:rsidRPr="00603C0E">
        <w:rPr>
          <w:rFonts w:cs="Sylfaen"/>
          <w:b w:val="0"/>
          <w:bCs/>
          <w:lang w:val="hy-AM"/>
        </w:rPr>
        <w:softHyphen/>
        <w:t>տուր</w:t>
      </w:r>
      <w:r w:rsidRPr="00603C0E">
        <w:rPr>
          <w:rFonts w:cs="Sylfaen"/>
          <w:b w:val="0"/>
          <w:bCs/>
          <w:lang w:val="hy-AM"/>
        </w:rPr>
        <w:softHyphen/>
        <w:t>քերի մասնաբաժինը կարող է փոփոխվել նոր պետությունների ԵԱՏՄ-ին անդամակ</w:t>
      </w:r>
      <w:r w:rsidRPr="00603C0E">
        <w:rPr>
          <w:rFonts w:cs="Sylfaen"/>
          <w:b w:val="0"/>
          <w:bCs/>
          <w:lang w:val="hy-AM"/>
        </w:rPr>
        <w:softHyphen/>
        <w:t xml:space="preserve">ցությունից: </w:t>
      </w:r>
    </w:p>
    <w:p w14:paraId="4E8C8F1A" w14:textId="77777777" w:rsidR="00EB28B4" w:rsidRPr="007955BB" w:rsidRDefault="00EB28B4" w:rsidP="00EB28B4">
      <w:pPr>
        <w:rPr>
          <w:rFonts w:cs="Sylfaen"/>
          <w:lang w:val="hy-AM"/>
        </w:rPr>
      </w:pPr>
      <w:r w:rsidRPr="007955BB">
        <w:rPr>
          <w:rFonts w:cs="Sylfaen"/>
          <w:lang w:val="hy-AM"/>
        </w:rPr>
        <w:t>2.1. Գնաճի շեղման հնարավոր չափը</w:t>
      </w:r>
    </w:p>
    <w:p w14:paraId="015AB6EF" w14:textId="77777777" w:rsidR="00EB28B4" w:rsidRPr="00603C0E" w:rsidRDefault="00EB28B4" w:rsidP="00EB28B4">
      <w:pPr>
        <w:rPr>
          <w:rFonts w:eastAsiaTheme="minorEastAsia" w:cs="Sylfaen"/>
          <w:b w:val="0"/>
          <w:szCs w:val="22"/>
          <w:lang w:val="hy-AM" w:eastAsia="en-US"/>
        </w:rPr>
      </w:pPr>
      <w:r w:rsidRPr="00603C0E">
        <w:rPr>
          <w:rFonts w:eastAsiaTheme="minorEastAsia" w:cs="Sylfaen"/>
          <w:b w:val="0"/>
          <w:szCs w:val="22"/>
          <w:lang w:val="hy-AM" w:eastAsia="en-US"/>
        </w:rPr>
        <w:t xml:space="preserve">Գնաճի ցուցանիշի շեղման հնարավոր չափ է դիտարկվում ՀՀ ԿԲ-ի կողմից դրամավարկային քաղաքականության ծրագրում (գնաճի հաշվետվություններում) ներկայացվող գնաճի նպատակային ցուցանիշի կենտրոնական արժեքից շեղման առավելագույն չափը: </w:t>
      </w:r>
    </w:p>
    <w:p w14:paraId="1028A42D" w14:textId="77777777" w:rsidR="00EB28B4" w:rsidRPr="00603C0E" w:rsidRDefault="00EB28B4" w:rsidP="00EB28B4">
      <w:pPr>
        <w:rPr>
          <w:rFonts w:eastAsiaTheme="minorEastAsia" w:cs="Sylfaen"/>
          <w:b w:val="0"/>
          <w:szCs w:val="22"/>
          <w:lang w:val="hy-AM" w:eastAsia="en-US"/>
        </w:rPr>
      </w:pPr>
      <w:r w:rsidRPr="00603C0E">
        <w:rPr>
          <w:rFonts w:eastAsiaTheme="minorEastAsia" w:cs="Sylfaen"/>
          <w:b w:val="0"/>
          <w:szCs w:val="22"/>
          <w:lang w:val="hy-AM" w:eastAsia="en-US"/>
        </w:rPr>
        <w:t xml:space="preserve">ՀՀ ԿԲ-ի կողմից միջնաժամկետ հորիզոնում կանխատեսվում է գնաճի կայունացում նպատակային ցուցանիշի շուրջ: Կանխատեսված ցուցանիշից գնաճի շեղման ռիսկերը միջնաժամկետ հորիզոնում գնահատվում են հավասարակշռված` գնաճի կենտրոնական արժեքից </w:t>
      </w:r>
      <w:r w:rsidRPr="00603C0E">
        <w:rPr>
          <w:rFonts w:eastAsiaTheme="minorEastAsia" w:cs="Sylfaen"/>
          <w:szCs w:val="22"/>
          <w:lang w:val="hy-AM" w:eastAsia="en-US"/>
        </w:rPr>
        <w:t>դեպի</w:t>
      </w:r>
      <w:r w:rsidRPr="00603C0E">
        <w:rPr>
          <w:rFonts w:eastAsiaTheme="minorEastAsia" w:cs="Sylfaen"/>
          <w:b w:val="0"/>
          <w:szCs w:val="22"/>
          <w:lang w:val="hy-AM" w:eastAsia="en-US"/>
        </w:rPr>
        <w:t xml:space="preserve"> </w:t>
      </w:r>
      <w:r w:rsidRPr="00603C0E">
        <w:rPr>
          <w:rFonts w:eastAsiaTheme="minorEastAsia" w:cs="Sylfaen"/>
          <w:szCs w:val="22"/>
          <w:lang w:val="hy-AM" w:eastAsia="en-US"/>
        </w:rPr>
        <w:t>ներքև`</w:t>
      </w:r>
      <w:r w:rsidRPr="00603C0E">
        <w:rPr>
          <w:rFonts w:eastAsiaTheme="minorEastAsia" w:cs="Sylfaen"/>
          <w:b w:val="0"/>
          <w:szCs w:val="22"/>
          <w:lang w:val="hy-AM" w:eastAsia="en-US"/>
        </w:rPr>
        <w:t xml:space="preserve"> </w:t>
      </w:r>
      <w:r w:rsidRPr="00603C0E">
        <w:rPr>
          <w:rFonts w:eastAsiaTheme="minorEastAsia" w:cs="Sylfaen"/>
          <w:szCs w:val="22"/>
          <w:lang w:val="hy-AM" w:eastAsia="en-US"/>
        </w:rPr>
        <w:t xml:space="preserve">1.5 տոկոսային կետի չափով </w:t>
      </w:r>
      <w:r w:rsidRPr="00603C0E">
        <w:rPr>
          <w:rFonts w:eastAsiaTheme="minorEastAsia" w:cs="Sylfaen"/>
          <w:b w:val="0"/>
          <w:szCs w:val="22"/>
          <w:lang w:val="hy-AM" w:eastAsia="en-US"/>
        </w:rPr>
        <w:t xml:space="preserve">(այսինքն` գնաճի ներքին սահմանը 2.5% է) և </w:t>
      </w:r>
      <w:r w:rsidRPr="00603C0E">
        <w:rPr>
          <w:rFonts w:eastAsiaTheme="minorEastAsia" w:cs="Sylfaen"/>
          <w:szCs w:val="22"/>
          <w:lang w:val="hy-AM" w:eastAsia="en-US"/>
        </w:rPr>
        <w:t xml:space="preserve">դեպի վերև շեղումը` 1.5 տոկոսային կետի չափով </w:t>
      </w:r>
      <w:r w:rsidRPr="00603C0E">
        <w:rPr>
          <w:rFonts w:eastAsiaTheme="minorEastAsia" w:cs="Sylfaen"/>
          <w:b w:val="0"/>
          <w:szCs w:val="22"/>
          <w:lang w:val="hy-AM" w:eastAsia="en-US"/>
        </w:rPr>
        <w:t xml:space="preserve">(վերին սահմանը 5.5% է): </w:t>
      </w:r>
    </w:p>
    <w:p w14:paraId="022F126B" w14:textId="77777777" w:rsidR="00EB28B4" w:rsidRPr="00603C0E" w:rsidRDefault="00EB28B4" w:rsidP="00EB28B4">
      <w:pPr>
        <w:rPr>
          <w:rFonts w:eastAsiaTheme="minorEastAsia" w:cs="Sylfaen"/>
          <w:b w:val="0"/>
          <w:szCs w:val="22"/>
          <w:lang w:val="hy-AM" w:eastAsia="en-US"/>
        </w:rPr>
      </w:pPr>
      <w:r w:rsidRPr="00603C0E">
        <w:rPr>
          <w:rFonts w:eastAsiaTheme="minorEastAsia" w:cs="Sylfaen"/>
          <w:b w:val="0"/>
          <w:szCs w:val="22"/>
          <w:lang w:val="hy-AM" w:eastAsia="en-US"/>
        </w:rPr>
        <w:t xml:space="preserve">Գնաճի շեղման ռիսկը կարող է ազդեցություն ունենալ ՀՀ պետական բյուջեի և՛ եկամտային, և՛ ծախսային կատարողականների վրա` անուղղակի հարկերի, ինչպես նաև ապրանքների և ծառայությունների գծով ծախսերի ուղղությամբ: Գնանկումային պայմաններում հարկերից մուտքերը կկրճատվեն և ընդհակառակը: </w:t>
      </w:r>
    </w:p>
    <w:p w14:paraId="62E23719" w14:textId="77777777" w:rsidR="00EB28B4" w:rsidRPr="007955BB" w:rsidRDefault="00EB28B4" w:rsidP="00EB28B4">
      <w:pPr>
        <w:rPr>
          <w:rFonts w:cs="Sylfaen"/>
          <w:b w:val="0"/>
          <w:lang w:val="hy-AM"/>
        </w:rPr>
      </w:pPr>
      <w:r w:rsidRPr="007955BB">
        <w:rPr>
          <w:rFonts w:cs="Sylfaen"/>
          <w:b w:val="0"/>
          <w:lang w:val="hy-AM"/>
        </w:rPr>
        <w:t>Արդյունքում, 202</w:t>
      </w:r>
      <w:r>
        <w:rPr>
          <w:rFonts w:cs="Sylfaen"/>
          <w:b w:val="0"/>
          <w:lang w:val="hy-AM"/>
        </w:rPr>
        <w:t>4</w:t>
      </w:r>
      <w:r w:rsidRPr="007955BB">
        <w:rPr>
          <w:rFonts w:cs="Sylfaen"/>
          <w:b w:val="0"/>
          <w:lang w:val="hy-AM"/>
        </w:rPr>
        <w:t xml:space="preserve"> թվականի համար դիտարկվել է գնաճային ռիսկի ազդեցությունը հարկային եկամուտների վրա և 202</w:t>
      </w:r>
      <w:r>
        <w:rPr>
          <w:rFonts w:cs="Sylfaen"/>
          <w:b w:val="0"/>
          <w:lang w:val="hy-AM"/>
        </w:rPr>
        <w:t>4</w:t>
      </w:r>
      <w:r w:rsidRPr="007955BB">
        <w:rPr>
          <w:rFonts w:cs="Sylfaen"/>
          <w:b w:val="0"/>
          <w:lang w:val="hy-AM"/>
        </w:rPr>
        <w:t xml:space="preserve"> թվականի համար գնահատվում է </w:t>
      </w:r>
      <w:r>
        <w:rPr>
          <w:rFonts w:cs="Sylfaen"/>
          <w:b w:val="0"/>
          <w:lang w:val="hy-AM"/>
        </w:rPr>
        <w:t>4.8</w:t>
      </w:r>
      <w:r w:rsidRPr="007955BB">
        <w:rPr>
          <w:rFonts w:cs="Sylfaen"/>
          <w:b w:val="0"/>
          <w:lang w:val="hy-AM"/>
        </w:rPr>
        <w:t xml:space="preserve"> մլրդ ՀՀ դրամի լրացուցիչ հարկային եկամուտների մուտքեր:</w:t>
      </w:r>
    </w:p>
    <w:p w14:paraId="1B68A054" w14:textId="77777777" w:rsidR="00EB28B4" w:rsidRPr="007955BB" w:rsidRDefault="00EB28B4" w:rsidP="00EB28B4">
      <w:pPr>
        <w:rPr>
          <w:rFonts w:cs="Sylfaen"/>
          <w:lang w:val="hy-AM"/>
        </w:rPr>
      </w:pPr>
      <w:r w:rsidRPr="007955BB">
        <w:rPr>
          <w:rFonts w:cs="Sylfaen"/>
          <w:lang w:val="hy-AM"/>
        </w:rPr>
        <w:t>2.2. Փոխարժեքի շեղման հնարավոր չափը</w:t>
      </w:r>
    </w:p>
    <w:p w14:paraId="17DB67F9" w14:textId="77777777" w:rsidR="00EB28B4" w:rsidRPr="00D04FBC" w:rsidRDefault="00EB28B4" w:rsidP="00001B7F">
      <w:pPr>
        <w:rPr>
          <w:rFonts w:eastAsiaTheme="minorEastAsia" w:cs="Sylfaen"/>
          <w:b w:val="0"/>
          <w:szCs w:val="22"/>
          <w:lang w:val="hy-AM" w:eastAsia="en-US"/>
        </w:rPr>
      </w:pPr>
      <w:r w:rsidRPr="00D04FBC">
        <w:rPr>
          <w:rFonts w:eastAsiaTheme="minorEastAsia" w:cs="Sylfaen"/>
          <w:b w:val="0"/>
          <w:szCs w:val="22"/>
          <w:lang w:val="hy-AM" w:eastAsia="en-US"/>
        </w:rPr>
        <w:t>ՀՀ ԿԲ-ն և ՀՀ ՖՆ-ն փոխարժեքի կանխա</w:t>
      </w:r>
      <w:r w:rsidRPr="00D04FBC">
        <w:rPr>
          <w:rFonts w:eastAsiaTheme="minorEastAsia" w:cs="Sylfaen"/>
          <w:b w:val="0"/>
          <w:szCs w:val="22"/>
          <w:lang w:val="hy-AM" w:eastAsia="en-US"/>
        </w:rPr>
        <w:softHyphen/>
        <w:t>տեսումներ չեն իրականացնում և մակրոտնտեսական քաղաքականությունն իրականացվում է լողացող փոխարժեքի սկզբունքի հիման վրա, ընդ որում, յուրաքանչյուր տարվա պետական բյուջեի ցուցանիշների կանխատեսումների հիմքում դրվում է փոխարժեքի անփոփոխ (որոշակի պահի դրությամբ) մակարդակ: Սակայն փոխարժեքի տատա</w:t>
      </w:r>
      <w:r w:rsidRPr="00D04FBC">
        <w:rPr>
          <w:rFonts w:eastAsiaTheme="minorEastAsia" w:cs="Sylfaen"/>
          <w:b w:val="0"/>
          <w:szCs w:val="22"/>
          <w:lang w:val="hy-AM" w:eastAsia="en-US"/>
        </w:rPr>
        <w:softHyphen/>
        <w:t>նում</w:t>
      </w:r>
      <w:r w:rsidRPr="00D04FBC">
        <w:rPr>
          <w:rFonts w:eastAsiaTheme="minorEastAsia" w:cs="Sylfaen"/>
          <w:b w:val="0"/>
          <w:szCs w:val="22"/>
          <w:lang w:val="hy-AM" w:eastAsia="en-US"/>
        </w:rPr>
        <w:softHyphen/>
        <w:t>ները կազդեն ներմուծումից ՀՀ պետական բյուջե մուտքագրվող հարկային եկամուտների վրա:</w:t>
      </w:r>
    </w:p>
    <w:p w14:paraId="57306A70" w14:textId="77777777" w:rsidR="00EB28B4" w:rsidRPr="00D04FBC" w:rsidRDefault="00EB28B4" w:rsidP="00001B7F">
      <w:pPr>
        <w:rPr>
          <w:rFonts w:eastAsiaTheme="minorEastAsia" w:cs="Sylfaen"/>
          <w:b w:val="0"/>
          <w:szCs w:val="22"/>
          <w:lang w:val="hy-AM" w:eastAsia="en-US"/>
        </w:rPr>
      </w:pPr>
      <w:r w:rsidRPr="00D04FBC">
        <w:rPr>
          <w:rFonts w:eastAsiaTheme="minorEastAsia" w:cs="Sylfaen"/>
          <w:b w:val="0"/>
          <w:szCs w:val="22"/>
          <w:lang w:val="hy-AM" w:eastAsia="en-US"/>
        </w:rPr>
        <w:t>Հաշվի առնելով այն հանգամանքը, որ վերջին տասնամյակի համար և՛ արժևորման, և՛ արժեզրկման ուղղությամբ փոխար</w:t>
      </w:r>
      <w:r w:rsidRPr="00D04FBC">
        <w:rPr>
          <w:rFonts w:eastAsiaTheme="minorEastAsia" w:cs="Sylfaen"/>
          <w:b w:val="0"/>
          <w:szCs w:val="22"/>
          <w:lang w:val="hy-AM" w:eastAsia="en-US"/>
        </w:rPr>
        <w:softHyphen/>
        <w:t xml:space="preserve">ժեքի տատանումների բացարձակ շեղման միջին չափը չի գերազանցել 4.6 տոկոսը` որպես ռիսկ է դիտարկվել ԱՄՆ դոլարի նկատմամբ ՀՀ դրամի առավելագույնը 4.6% արժեզրկումը: </w:t>
      </w:r>
    </w:p>
    <w:p w14:paraId="77702041" w14:textId="77777777" w:rsidR="00EB28B4" w:rsidRPr="007955BB" w:rsidRDefault="00EB28B4" w:rsidP="00001B7F">
      <w:pPr>
        <w:rPr>
          <w:rFonts w:cs="Sylfaen"/>
          <w:b w:val="0"/>
          <w:lang w:val="hy-AM"/>
        </w:rPr>
      </w:pPr>
      <w:r w:rsidRPr="007955BB">
        <w:rPr>
          <w:rFonts w:cs="Sylfaen"/>
          <w:b w:val="0"/>
          <w:lang w:val="hy-AM"/>
        </w:rPr>
        <w:lastRenderedPageBreak/>
        <w:t xml:space="preserve">Արդյունքում, փոխարժեքի </w:t>
      </w:r>
      <w:r>
        <w:rPr>
          <w:rFonts w:cs="Sylfaen"/>
          <w:b w:val="0"/>
          <w:lang w:val="hy-AM"/>
        </w:rPr>
        <w:t>4.6</w:t>
      </w:r>
      <w:r w:rsidRPr="007955BB">
        <w:rPr>
          <w:rFonts w:cs="Sylfaen"/>
          <w:b w:val="0"/>
          <w:lang w:val="hy-AM"/>
        </w:rPr>
        <w:t xml:space="preserve"> տոկոսով արժեզրկման ռիսկի դրսևորման դեպքում, այլ հավասար պայմաններում, 202</w:t>
      </w:r>
      <w:r>
        <w:rPr>
          <w:rFonts w:cs="Sylfaen"/>
          <w:b w:val="0"/>
          <w:lang w:val="hy-AM"/>
        </w:rPr>
        <w:t>4</w:t>
      </w:r>
      <w:r w:rsidRPr="007955BB">
        <w:rPr>
          <w:rFonts w:cs="Sylfaen"/>
          <w:b w:val="0"/>
          <w:lang w:val="hy-AM"/>
        </w:rPr>
        <w:t xml:space="preserve"> թվականին կարելի է ապահովել հարկային եկամուտների </w:t>
      </w:r>
      <w:r>
        <w:rPr>
          <w:rFonts w:cs="Sylfaen"/>
          <w:b w:val="0"/>
          <w:lang w:val="hy-AM"/>
        </w:rPr>
        <w:t>17.6</w:t>
      </w:r>
      <w:r w:rsidRPr="007955BB">
        <w:rPr>
          <w:rFonts w:cs="Sylfaen"/>
          <w:b w:val="0"/>
          <w:lang w:val="hy-AM"/>
        </w:rPr>
        <w:t xml:space="preserve"> մլրդ ՀՀ դրամ լրացուցիչ մուտք:</w:t>
      </w:r>
    </w:p>
    <w:p w14:paraId="23924817" w14:textId="77777777" w:rsidR="00EB28B4" w:rsidRPr="00C1353E" w:rsidRDefault="00EB28B4" w:rsidP="00001B7F">
      <w:pPr>
        <w:rPr>
          <w:rFonts w:cs="Sylfaen"/>
          <w:lang w:val="hy-AM"/>
        </w:rPr>
      </w:pPr>
      <w:r w:rsidRPr="00C1353E">
        <w:rPr>
          <w:rFonts w:cs="Sylfaen"/>
          <w:lang w:val="hy-AM"/>
        </w:rPr>
        <w:t>2.3. Ներմուծման գծով ռիսկի հնարավոր չափը</w:t>
      </w:r>
    </w:p>
    <w:p w14:paraId="3DE4522D" w14:textId="77777777" w:rsidR="00EB28B4" w:rsidRDefault="00EB28B4" w:rsidP="00001B7F">
      <w:pPr>
        <w:rPr>
          <w:rFonts w:cs="Sylfaen"/>
          <w:b w:val="0"/>
          <w:lang w:val="hy-AM"/>
        </w:rPr>
      </w:pPr>
      <w:r w:rsidRPr="00C1353E">
        <w:rPr>
          <w:rFonts w:cs="Sylfaen"/>
          <w:b w:val="0"/>
          <w:lang w:val="hy-AM"/>
        </w:rPr>
        <w:t>Քանի որ մաքսային սահմանին ներմուծումից գանձվող անուղղակի հարկերը էական կշիռ ունեն</w:t>
      </w:r>
      <w:r w:rsidRPr="007955BB">
        <w:rPr>
          <w:rFonts w:cs="Sylfaen"/>
          <w:b w:val="0"/>
          <w:lang w:val="hy-AM"/>
        </w:rPr>
        <w:t xml:space="preserve"> պետական բյուջեի ընդհանուր հարկային եկամուտներում, անհրաժեշտ է գնահատել նաև ներմուծման հնարավոր նվազման պարագայում հարկային եկամուտների նվազման ռիսկի չափը: </w:t>
      </w:r>
      <w:r w:rsidRPr="00820858">
        <w:rPr>
          <w:rFonts w:cs="Sylfaen"/>
          <w:b w:val="0"/>
          <w:bCs/>
          <w:lang w:val="hy-AM"/>
        </w:rPr>
        <w:t xml:space="preserve">2010-2022 թվականների ընթացքում ՄԺԾԾ-ում ներմուծման գծով կանխատեսումների շեղման միջին բացարձակ չափը </w:t>
      </w:r>
      <w:r>
        <w:rPr>
          <w:rFonts w:cs="Sylfaen"/>
          <w:b w:val="0"/>
          <w:bCs/>
          <w:lang w:val="hy-AM"/>
        </w:rPr>
        <w:t>կազմ</w:t>
      </w:r>
      <w:r w:rsidRPr="00820858">
        <w:rPr>
          <w:rFonts w:cs="Sylfaen"/>
          <w:b w:val="0"/>
          <w:bCs/>
          <w:lang w:val="hy-AM"/>
        </w:rPr>
        <w:t xml:space="preserve">ում է 9.6%, ինչն էլ հաշվի է առնվել այս գործոնի ազդեցությունը գնահատելու համար: </w:t>
      </w:r>
      <w:r>
        <w:rPr>
          <w:rFonts w:cs="Sylfaen"/>
          <w:b w:val="0"/>
          <w:bCs/>
          <w:lang w:val="hy-AM"/>
        </w:rPr>
        <w:t>2024թ.</w:t>
      </w:r>
      <w:r w:rsidRPr="00820858">
        <w:rPr>
          <w:rFonts w:cs="Sylfaen"/>
          <w:b w:val="0"/>
          <w:bCs/>
          <w:lang w:val="hy-AM"/>
        </w:rPr>
        <w:t xml:space="preserve"> գնահատականներում ներմուծման ցուցանիշները դիտ</w:t>
      </w:r>
      <w:r>
        <w:rPr>
          <w:rFonts w:cs="Sylfaen"/>
          <w:b w:val="0"/>
          <w:bCs/>
          <w:lang w:val="hy-AM"/>
        </w:rPr>
        <w:t xml:space="preserve">արկվել են առանց վերաարտահանման </w:t>
      </w:r>
      <w:r w:rsidRPr="00820858">
        <w:rPr>
          <w:rFonts w:cs="Sylfaen"/>
          <w:b w:val="0"/>
          <w:bCs/>
          <w:lang w:val="hy-AM"/>
        </w:rPr>
        <w:t>ծավալների</w:t>
      </w:r>
      <w:r>
        <w:rPr>
          <w:rFonts w:cs="Sylfaen"/>
          <w:b w:val="0"/>
          <w:bCs/>
          <w:lang w:val="hy-AM"/>
        </w:rPr>
        <w:t xml:space="preserve">: </w:t>
      </w:r>
      <w:r w:rsidRPr="007955BB">
        <w:rPr>
          <w:rFonts w:cs="Sylfaen"/>
          <w:b w:val="0"/>
          <w:lang w:val="hy-AM"/>
        </w:rPr>
        <w:t>202</w:t>
      </w:r>
      <w:r>
        <w:rPr>
          <w:rFonts w:cs="Sylfaen"/>
          <w:b w:val="0"/>
          <w:lang w:val="hy-AM"/>
        </w:rPr>
        <w:t>4</w:t>
      </w:r>
      <w:r w:rsidRPr="007955BB">
        <w:rPr>
          <w:rFonts w:cs="Sylfaen"/>
          <w:b w:val="0"/>
          <w:lang w:val="hy-AM"/>
        </w:rPr>
        <w:t xml:space="preserve"> թվականի համար ծրագրվածից </w:t>
      </w:r>
      <w:r>
        <w:rPr>
          <w:rFonts w:cs="Sylfaen"/>
          <w:b w:val="0"/>
          <w:lang w:val="hy-AM"/>
        </w:rPr>
        <w:t>9.6</w:t>
      </w:r>
      <w:r w:rsidRPr="007955BB">
        <w:rPr>
          <w:rFonts w:cs="Sylfaen"/>
          <w:b w:val="0"/>
          <w:lang w:val="hy-AM"/>
        </w:rPr>
        <w:t xml:space="preserve">% պակաս ներմուծման ռիսկի դրսևորման պայմաններում հարկային եկամուտների վրա ազդեցությունը գնահատվում է </w:t>
      </w:r>
      <w:r>
        <w:rPr>
          <w:rFonts w:cs="Sylfaen"/>
          <w:b w:val="0"/>
          <w:lang w:val="hy-AM"/>
        </w:rPr>
        <w:t>24.5</w:t>
      </w:r>
      <w:r w:rsidRPr="007955BB">
        <w:rPr>
          <w:rFonts w:cs="Sylfaen"/>
          <w:b w:val="0"/>
          <w:lang w:val="hy-AM"/>
        </w:rPr>
        <w:t xml:space="preserve"> մլրդ ՀՀ դրամ` ֆինանսական պահանջի ավելացման ուղղությամբ:</w:t>
      </w:r>
    </w:p>
    <w:p w14:paraId="7B316E8C" w14:textId="77777777" w:rsidR="00EB28B4" w:rsidRPr="00820858" w:rsidRDefault="00EB28B4" w:rsidP="00001B7F">
      <w:pPr>
        <w:rPr>
          <w:rFonts w:cs="Sylfaen"/>
          <w:szCs w:val="22"/>
          <w:lang w:val="hy-AM" w:eastAsia="en-US"/>
        </w:rPr>
      </w:pPr>
      <w:r w:rsidRPr="00820858">
        <w:rPr>
          <w:rFonts w:cs="Sylfaen"/>
          <w:lang w:val="hy-AM"/>
        </w:rPr>
        <w:t>2</w:t>
      </w:r>
      <w:r w:rsidRPr="00820858">
        <w:rPr>
          <w:rFonts w:ascii="Cambria Math" w:hAnsi="Cambria Math" w:cs="Cambria Math"/>
          <w:lang w:val="hy-AM"/>
        </w:rPr>
        <w:t>․</w:t>
      </w:r>
      <w:r w:rsidRPr="00820858">
        <w:rPr>
          <w:rFonts w:cs="Sylfaen"/>
          <w:lang w:val="hy-AM"/>
        </w:rPr>
        <w:t>4. Հարկեր/ՀՆԱ թիրախավորված բարելավումը չապահովելու ռիսկի չափը</w:t>
      </w:r>
    </w:p>
    <w:p w14:paraId="326AE7C6" w14:textId="77777777" w:rsidR="00EB28B4" w:rsidRPr="00820858" w:rsidRDefault="00EB28B4" w:rsidP="00001B7F">
      <w:pPr>
        <w:rPr>
          <w:rFonts w:cs="Sylfaen"/>
          <w:b w:val="0"/>
          <w:bCs/>
          <w:lang w:val="hy-AM"/>
        </w:rPr>
      </w:pPr>
      <w:r>
        <w:rPr>
          <w:rFonts w:cs="Sylfaen"/>
          <w:lang w:val="hy-AM"/>
        </w:rPr>
        <w:tab/>
      </w:r>
      <w:r w:rsidRPr="00820858">
        <w:rPr>
          <w:rFonts w:cs="Sylfaen"/>
          <w:b w:val="0"/>
          <w:bCs/>
          <w:lang w:val="hy-AM"/>
        </w:rPr>
        <w:t xml:space="preserve">Հայաստանի հարկեր/ՀՆԱ ցուցանիշը վերջին տասնամյակում միջինում բարելավվել է շուրջ 0.2 տոկոսային կետով, որին նպաստել են ինչպես տնտեսության կառուցվածքային փոփոխությունները (հարկունակ ճյուղերի մասնաբաժնի ավելացում), այնպես էլ հարկային օրենսդրական բարեփոխումները և վարչարարության արդյունավետության բարձրացումը՝ ստվերի դեմ պայքարի և հարկային վարչարարության ճեղքի աստիճանական կրճատման ճանապարհով։ Միաժամանակ, </w:t>
      </w:r>
      <w:r>
        <w:rPr>
          <w:rFonts w:cs="Sylfaen"/>
          <w:b w:val="0"/>
          <w:bCs/>
          <w:lang w:val="hy-AM"/>
        </w:rPr>
        <w:t xml:space="preserve">նշենք որ </w:t>
      </w:r>
      <w:r w:rsidRPr="00820858">
        <w:rPr>
          <w:rFonts w:cs="Sylfaen"/>
          <w:b w:val="0"/>
          <w:bCs/>
          <w:lang w:val="hy-AM"/>
        </w:rPr>
        <w:t>ՀՀ կառավարությունը թիրախավորել է մինչև 2026 թվականը ապահովել առնվազն 25%</w:t>
      </w:r>
      <w:r w:rsidRPr="00B14DDF">
        <w:rPr>
          <w:rFonts w:cs="Sylfaen"/>
          <w:b w:val="0"/>
          <w:bCs/>
          <w:lang w:val="hy-AM"/>
        </w:rPr>
        <w:t xml:space="preserve"> </w:t>
      </w:r>
      <w:r w:rsidRPr="00820858">
        <w:rPr>
          <w:rFonts w:cs="Sylfaen"/>
          <w:b w:val="0"/>
          <w:bCs/>
          <w:lang w:val="hy-AM"/>
        </w:rPr>
        <w:t>հարկեր/ՀՆԱ ցուցանիշ</w:t>
      </w:r>
      <w:r>
        <w:rPr>
          <w:rFonts w:cs="Sylfaen"/>
          <w:b w:val="0"/>
          <w:bCs/>
          <w:lang w:val="hy-AM"/>
        </w:rPr>
        <w:t>:</w:t>
      </w:r>
      <w:r w:rsidRPr="00820858">
        <w:rPr>
          <w:rFonts w:cs="Sylfaen"/>
          <w:b w:val="0"/>
          <w:bCs/>
          <w:lang w:val="hy-AM"/>
        </w:rPr>
        <w:t xml:space="preserve"> Հաշվի առնելով թիրախավորված և պատմականորեն արձանագրված հարկեր/ՀՆԱ բարելավման ցուցանիշները, որպես ռիսկ է դիտարկվել հարկային վարչարարության լրացուցիչ ջանքի տեղի չունենալը։</w:t>
      </w:r>
    </w:p>
    <w:p w14:paraId="4A4A5498" w14:textId="77777777" w:rsidR="00EB28B4" w:rsidRPr="00820858" w:rsidRDefault="00EB28B4" w:rsidP="00001B7F">
      <w:pPr>
        <w:rPr>
          <w:rFonts w:ascii="Cambria Math" w:hAnsi="Cambria Math" w:cs="Sylfaen"/>
          <w:b w:val="0"/>
          <w:bCs/>
          <w:lang w:val="hy-AM"/>
        </w:rPr>
      </w:pPr>
      <w:r w:rsidRPr="00820858">
        <w:rPr>
          <w:rFonts w:cs="Sylfaen"/>
          <w:b w:val="0"/>
          <w:bCs/>
          <w:lang w:val="hy-AM"/>
        </w:rPr>
        <w:t>Վերջինիս արդյունքում 2024</w:t>
      </w:r>
      <w:r w:rsidRPr="00B14DDF">
        <w:rPr>
          <w:rFonts w:cs="Sylfaen"/>
          <w:b w:val="0"/>
          <w:bCs/>
          <w:lang w:val="hy-AM"/>
        </w:rPr>
        <w:t xml:space="preserve"> </w:t>
      </w:r>
      <w:r w:rsidRPr="00820858">
        <w:rPr>
          <w:rFonts w:cs="Sylfaen"/>
          <w:b w:val="0"/>
          <w:bCs/>
          <w:lang w:val="hy-AM"/>
        </w:rPr>
        <w:t xml:space="preserve">թվականին </w:t>
      </w:r>
      <w:r>
        <w:rPr>
          <w:rFonts w:cs="Sylfaen"/>
          <w:b w:val="0"/>
          <w:bCs/>
          <w:lang w:val="hy-AM"/>
        </w:rPr>
        <w:t xml:space="preserve">գնահատվում է </w:t>
      </w:r>
      <w:r w:rsidRPr="00820858">
        <w:rPr>
          <w:rFonts w:cs="Sylfaen"/>
          <w:b w:val="0"/>
          <w:bCs/>
          <w:lang w:val="hy-AM"/>
        </w:rPr>
        <w:t>հարկային եկամուտներ</w:t>
      </w:r>
      <w:r>
        <w:rPr>
          <w:rFonts w:cs="Sylfaen"/>
          <w:b w:val="0"/>
          <w:bCs/>
          <w:lang w:val="hy-AM"/>
        </w:rPr>
        <w:t>ի</w:t>
      </w:r>
      <w:r w:rsidRPr="00820858">
        <w:rPr>
          <w:rFonts w:cs="Sylfaen"/>
          <w:b w:val="0"/>
          <w:bCs/>
          <w:lang w:val="hy-AM"/>
        </w:rPr>
        <w:t xml:space="preserve"> առավել ցածր կձևավոր</w:t>
      </w:r>
      <w:r>
        <w:rPr>
          <w:rFonts w:cs="Sylfaen"/>
          <w:b w:val="0"/>
          <w:bCs/>
          <w:lang w:val="hy-AM"/>
        </w:rPr>
        <w:t>ման ռիսկ</w:t>
      </w:r>
      <w:r w:rsidRPr="00820858">
        <w:rPr>
          <w:rFonts w:cs="Sylfaen"/>
          <w:b w:val="0"/>
          <w:bCs/>
          <w:lang w:val="hy-AM"/>
        </w:rPr>
        <w:t xml:space="preserve"> համապատասխանաբար </w:t>
      </w:r>
      <w:r>
        <w:rPr>
          <w:rFonts w:cs="Sylfaen"/>
          <w:b w:val="0"/>
          <w:bCs/>
          <w:lang w:val="hy-AM"/>
        </w:rPr>
        <w:t xml:space="preserve">52.5 </w:t>
      </w:r>
      <w:r w:rsidRPr="00820858">
        <w:rPr>
          <w:rFonts w:cs="Sylfaen"/>
          <w:b w:val="0"/>
          <w:bCs/>
          <w:lang w:val="hy-AM"/>
        </w:rPr>
        <w:t>մլրդ դրամ</w:t>
      </w:r>
      <w:r>
        <w:rPr>
          <w:rFonts w:cs="Sylfaen"/>
          <w:b w:val="0"/>
          <w:bCs/>
          <w:lang w:val="hy-AM"/>
        </w:rPr>
        <w:t>ի չափով:</w:t>
      </w:r>
      <w:r w:rsidRPr="00820858">
        <w:rPr>
          <w:rFonts w:cs="Sylfaen"/>
          <w:b w:val="0"/>
          <w:bCs/>
          <w:lang w:val="hy-AM"/>
        </w:rPr>
        <w:t xml:space="preserve">  </w:t>
      </w:r>
    </w:p>
    <w:p w14:paraId="241801AA" w14:textId="77777777" w:rsidR="00EB28B4" w:rsidRDefault="00EB28B4" w:rsidP="00001B7F">
      <w:pPr>
        <w:rPr>
          <w:rFonts w:cs="Sylfaen"/>
          <w:b w:val="0"/>
          <w:bCs/>
          <w:lang w:val="hy-AM"/>
        </w:rPr>
      </w:pPr>
      <w:bookmarkStart w:id="131" w:name="_Toc83928954"/>
      <w:bookmarkStart w:id="132" w:name="_Toc115686969"/>
      <w:r w:rsidRPr="00833B92">
        <w:rPr>
          <w:rFonts w:cs="Sylfaen"/>
          <w:b w:val="0"/>
          <w:bCs/>
          <w:lang w:val="hy-AM"/>
        </w:rPr>
        <w:t xml:space="preserve">Ամփոփելով վերը նկարագրված </w:t>
      </w:r>
      <w:r w:rsidRPr="00833B92">
        <w:rPr>
          <w:rFonts w:cs="Sylfaen"/>
          <w:lang w:val="hy-AM"/>
        </w:rPr>
        <w:t>կանխատեսումների ռիսկի, ենթադրություններից շեղումների և հարկեր/ՀՆԱ թիրախավորված բարելավումը չապահովելու ռիսկի</w:t>
      </w:r>
      <w:r w:rsidRPr="00833B92">
        <w:rPr>
          <w:rFonts w:cs="Sylfaen"/>
          <w:b w:val="0"/>
          <w:bCs/>
          <w:lang w:val="hy-AM"/>
        </w:rPr>
        <w:t xml:space="preserve"> գնահատականները, միջնաժամկետ հորիզոնում ՀՀ պետական բյուջեի հարկային եկամուտների վրա մակրոտնտեսական ցուցանիշների` իրական ՀՆԱ-ի աճի, գնաճի, փոխարժեքի տատանողականության և ներմուծման, ինչպես նաև հարկային վարչաչարության լրացուցիչ ջանքի չապահովման ռիսկերի ազդեցության քանակական ամփոփ գնահատականները ներկայացվում են ստորև.</w:t>
      </w:r>
    </w:p>
    <w:p w14:paraId="48048B35" w14:textId="77777777" w:rsidR="00EB28B4" w:rsidRPr="002F4D21" w:rsidRDefault="00EB28B4" w:rsidP="00EB28B4">
      <w:pPr>
        <w:rPr>
          <w:rFonts w:eastAsia="Calibri" w:cs="Sylfaen"/>
          <w:b w:val="0"/>
          <w:bCs/>
          <w:szCs w:val="22"/>
          <w:lang w:val="hy-AM" w:eastAsia="en-US"/>
        </w:rPr>
      </w:pPr>
      <w:r w:rsidRPr="00C1353E">
        <w:rPr>
          <w:szCs w:val="22"/>
          <w:lang w:val="hy-AM"/>
        </w:rPr>
        <w:t>Աղյուսակ</w:t>
      </w:r>
      <w:r>
        <w:rPr>
          <w:szCs w:val="22"/>
          <w:lang w:val="hy-AM"/>
        </w:rPr>
        <w:t xml:space="preserve"> 2.1.</w:t>
      </w:r>
      <w:r w:rsidRPr="00C1353E">
        <w:rPr>
          <w:szCs w:val="22"/>
          <w:lang w:val="hy-AM"/>
        </w:rPr>
        <w:t xml:space="preserve"> </w:t>
      </w:r>
      <w:bookmarkEnd w:id="131"/>
      <w:bookmarkEnd w:id="132"/>
      <w:r w:rsidRPr="002F4D21">
        <w:rPr>
          <w:rFonts w:eastAsia="Calibri" w:cs="Sylfaen"/>
          <w:b w:val="0"/>
          <w:bCs/>
          <w:szCs w:val="22"/>
          <w:lang w:val="hy-AM" w:eastAsia="en-US"/>
        </w:rPr>
        <w:t>Հարկային եկամուտների վրա մակրոտնտեսական կանխատեսումների և ենթադրությունների ռիսկերի ազդեցություն</w:t>
      </w:r>
      <w:r w:rsidRPr="002F4D21">
        <w:rPr>
          <w:rFonts w:eastAsia="Calibri" w:cs="Sylfaen"/>
          <w:b w:val="0"/>
          <w:bCs/>
          <w:szCs w:val="22"/>
          <w:vertAlign w:val="superscript"/>
          <w:lang w:val="hy-AM" w:eastAsia="en-US"/>
        </w:rPr>
        <w:footnoteReference w:id="29"/>
      </w:r>
    </w:p>
    <w:tbl>
      <w:tblPr>
        <w:tblW w:w="9380" w:type="dxa"/>
        <w:tblBorders>
          <w:bottom w:val="single" w:sz="4" w:space="0" w:color="auto"/>
        </w:tblBorders>
        <w:tblLook w:val="04A0" w:firstRow="1" w:lastRow="0" w:firstColumn="1" w:lastColumn="0" w:noHBand="0" w:noVBand="1"/>
      </w:tblPr>
      <w:tblGrid>
        <w:gridCol w:w="5473"/>
        <w:gridCol w:w="3685"/>
        <w:gridCol w:w="222"/>
      </w:tblGrid>
      <w:tr w:rsidR="00EB28B4" w:rsidRPr="00522278" w14:paraId="3496E18F" w14:textId="77777777" w:rsidTr="00E94C66">
        <w:trPr>
          <w:gridAfter w:val="1"/>
          <w:wAfter w:w="222" w:type="dxa"/>
          <w:trHeight w:val="675"/>
        </w:trPr>
        <w:tc>
          <w:tcPr>
            <w:tcW w:w="5473" w:type="dxa"/>
            <w:vMerge w:val="restart"/>
            <w:tcBorders>
              <w:bottom w:val="nil"/>
            </w:tcBorders>
            <w:shd w:val="clear" w:color="auto" w:fill="auto"/>
            <w:vAlign w:val="center"/>
            <w:hideMark/>
          </w:tcPr>
          <w:p w14:paraId="715D4FC9" w14:textId="77777777" w:rsidR="00EB28B4" w:rsidRPr="00324B27" w:rsidRDefault="00EB28B4" w:rsidP="00E94C66">
            <w:pPr>
              <w:rPr>
                <w:rFonts w:cs="Calibri"/>
                <w:bCs/>
                <w:sz w:val="18"/>
                <w:szCs w:val="18"/>
                <w:lang w:val="en-US" w:eastAsia="en-US"/>
              </w:rPr>
            </w:pPr>
            <w:r w:rsidRPr="00324B27">
              <w:rPr>
                <w:rFonts w:cs="Calibri"/>
                <w:bCs/>
                <w:sz w:val="18"/>
                <w:szCs w:val="18"/>
                <w:lang w:val="en-US" w:eastAsia="en-US"/>
              </w:rPr>
              <w:t>Ռիսկի տեսակը</w:t>
            </w:r>
          </w:p>
        </w:tc>
        <w:tc>
          <w:tcPr>
            <w:tcW w:w="3685" w:type="dxa"/>
            <w:vMerge w:val="restart"/>
            <w:tcBorders>
              <w:bottom w:val="nil"/>
            </w:tcBorders>
            <w:shd w:val="clear" w:color="auto" w:fill="auto"/>
            <w:vAlign w:val="center"/>
            <w:hideMark/>
          </w:tcPr>
          <w:p w14:paraId="23CAC290" w14:textId="77777777" w:rsidR="00EB28B4" w:rsidRPr="00324B27" w:rsidRDefault="00EB28B4" w:rsidP="00E94C66">
            <w:pPr>
              <w:rPr>
                <w:rFonts w:cs="Calibri"/>
                <w:bCs/>
                <w:sz w:val="18"/>
                <w:szCs w:val="18"/>
                <w:lang w:val="en-US" w:eastAsia="en-US"/>
              </w:rPr>
            </w:pPr>
            <w:r w:rsidRPr="00324B27">
              <w:rPr>
                <w:rFonts w:cs="Calibri"/>
                <w:bCs/>
                <w:sz w:val="18"/>
                <w:szCs w:val="18"/>
                <w:lang w:val="en-US" w:eastAsia="en-US"/>
              </w:rPr>
              <w:t>Ազդեցության գնահատականը, մլրդ ՀՀ դրամ</w:t>
            </w:r>
          </w:p>
        </w:tc>
      </w:tr>
      <w:tr w:rsidR="00EB28B4" w:rsidRPr="00522278" w14:paraId="40057F11" w14:textId="77777777" w:rsidTr="00001B7F">
        <w:trPr>
          <w:trHeight w:val="180"/>
        </w:trPr>
        <w:tc>
          <w:tcPr>
            <w:tcW w:w="5473" w:type="dxa"/>
            <w:vMerge/>
            <w:tcBorders>
              <w:bottom w:val="single" w:sz="4" w:space="0" w:color="auto"/>
            </w:tcBorders>
            <w:shd w:val="clear" w:color="auto" w:fill="auto"/>
            <w:vAlign w:val="center"/>
            <w:hideMark/>
          </w:tcPr>
          <w:p w14:paraId="1B57FD39" w14:textId="77777777" w:rsidR="00EB28B4" w:rsidRPr="00324B27" w:rsidRDefault="00EB28B4" w:rsidP="00E94C66">
            <w:pPr>
              <w:rPr>
                <w:rFonts w:cs="Calibri"/>
                <w:bCs/>
                <w:sz w:val="18"/>
                <w:szCs w:val="18"/>
                <w:lang w:val="en-US" w:eastAsia="en-US"/>
              </w:rPr>
            </w:pPr>
          </w:p>
        </w:tc>
        <w:tc>
          <w:tcPr>
            <w:tcW w:w="3685" w:type="dxa"/>
            <w:vMerge/>
            <w:tcBorders>
              <w:bottom w:val="single" w:sz="4" w:space="0" w:color="auto"/>
            </w:tcBorders>
            <w:shd w:val="clear" w:color="auto" w:fill="auto"/>
            <w:vAlign w:val="center"/>
            <w:hideMark/>
          </w:tcPr>
          <w:p w14:paraId="199A381F" w14:textId="77777777" w:rsidR="00EB28B4" w:rsidRPr="00324B27" w:rsidRDefault="00EB28B4" w:rsidP="00E94C66">
            <w:pPr>
              <w:rPr>
                <w:rFonts w:cs="Calibri"/>
                <w:bCs/>
                <w:sz w:val="18"/>
                <w:szCs w:val="18"/>
                <w:lang w:val="en-US" w:eastAsia="en-US"/>
              </w:rPr>
            </w:pPr>
          </w:p>
        </w:tc>
        <w:tc>
          <w:tcPr>
            <w:tcW w:w="222" w:type="dxa"/>
            <w:tcBorders>
              <w:bottom w:val="single" w:sz="4" w:space="0" w:color="auto"/>
            </w:tcBorders>
            <w:shd w:val="clear" w:color="auto" w:fill="auto"/>
            <w:noWrap/>
            <w:vAlign w:val="bottom"/>
            <w:hideMark/>
          </w:tcPr>
          <w:p w14:paraId="4C67AA85" w14:textId="77777777" w:rsidR="00EB28B4" w:rsidRPr="009B62D7" w:rsidRDefault="00EB28B4" w:rsidP="00E94C66">
            <w:pPr>
              <w:rPr>
                <w:rFonts w:cs="Calibri"/>
                <w:bCs/>
                <w:szCs w:val="22"/>
                <w:lang w:val="en-US" w:eastAsia="en-US"/>
              </w:rPr>
            </w:pPr>
          </w:p>
        </w:tc>
      </w:tr>
      <w:tr w:rsidR="00EB28B4" w:rsidRPr="009B62D7" w14:paraId="6373AEBE" w14:textId="77777777" w:rsidTr="00001B7F">
        <w:trPr>
          <w:trHeight w:val="260"/>
        </w:trPr>
        <w:tc>
          <w:tcPr>
            <w:tcW w:w="5473" w:type="dxa"/>
            <w:tcBorders>
              <w:top w:val="single" w:sz="4" w:space="0" w:color="auto"/>
            </w:tcBorders>
            <w:shd w:val="clear" w:color="auto" w:fill="auto"/>
            <w:vAlign w:val="center"/>
            <w:hideMark/>
          </w:tcPr>
          <w:p w14:paraId="2DE88558" w14:textId="77777777" w:rsidR="00EB28B4" w:rsidRPr="00324B27" w:rsidRDefault="00EB28B4" w:rsidP="00E94C66">
            <w:pPr>
              <w:rPr>
                <w:rFonts w:ascii="Calibri" w:hAnsi="Calibri" w:cs="Calibri"/>
                <w:bCs/>
                <w:sz w:val="18"/>
                <w:szCs w:val="18"/>
                <w:lang w:val="en-US" w:eastAsia="en-US"/>
              </w:rPr>
            </w:pPr>
            <w:r w:rsidRPr="00324B27">
              <w:rPr>
                <w:rFonts w:ascii="Calibri" w:hAnsi="Calibri" w:cs="Calibri"/>
                <w:bCs/>
                <w:sz w:val="18"/>
                <w:szCs w:val="18"/>
                <w:lang w:val="en-US" w:eastAsia="en-US"/>
              </w:rPr>
              <w:lastRenderedPageBreak/>
              <w:t> </w:t>
            </w:r>
          </w:p>
        </w:tc>
        <w:tc>
          <w:tcPr>
            <w:tcW w:w="3685" w:type="dxa"/>
            <w:tcBorders>
              <w:top w:val="single" w:sz="4" w:space="0" w:color="auto"/>
            </w:tcBorders>
            <w:shd w:val="clear" w:color="auto" w:fill="auto"/>
            <w:vAlign w:val="center"/>
            <w:hideMark/>
          </w:tcPr>
          <w:p w14:paraId="4C505676" w14:textId="77777777" w:rsidR="00EB28B4" w:rsidRPr="00324B27" w:rsidRDefault="00EB28B4" w:rsidP="00E94C66">
            <w:pPr>
              <w:rPr>
                <w:rFonts w:cs="Calibri"/>
                <w:bCs/>
                <w:sz w:val="18"/>
                <w:szCs w:val="18"/>
                <w:lang w:val="en-US" w:eastAsia="en-US"/>
              </w:rPr>
            </w:pPr>
            <w:r w:rsidRPr="00324B27">
              <w:rPr>
                <w:rFonts w:cs="Calibri"/>
                <w:bCs/>
                <w:sz w:val="18"/>
                <w:szCs w:val="18"/>
                <w:lang w:val="en-US" w:eastAsia="en-US"/>
              </w:rPr>
              <w:t>2024</w:t>
            </w:r>
          </w:p>
        </w:tc>
        <w:tc>
          <w:tcPr>
            <w:tcW w:w="222" w:type="dxa"/>
            <w:tcBorders>
              <w:top w:val="single" w:sz="4" w:space="0" w:color="auto"/>
            </w:tcBorders>
            <w:shd w:val="clear" w:color="auto" w:fill="auto"/>
            <w:vAlign w:val="center"/>
            <w:hideMark/>
          </w:tcPr>
          <w:p w14:paraId="4111D05F" w14:textId="77777777" w:rsidR="00EB28B4" w:rsidRPr="009B62D7" w:rsidRDefault="00EB28B4" w:rsidP="00E94C66">
            <w:pPr>
              <w:rPr>
                <w:rFonts w:ascii="Times New Roman" w:hAnsi="Times New Roman"/>
                <w:b w:val="0"/>
                <w:sz w:val="20"/>
                <w:szCs w:val="20"/>
                <w:lang w:val="en-US" w:eastAsia="en-US"/>
              </w:rPr>
            </w:pPr>
          </w:p>
        </w:tc>
      </w:tr>
      <w:tr w:rsidR="00EB28B4" w:rsidRPr="009B62D7" w14:paraId="66F6E211" w14:textId="77777777" w:rsidTr="00E94C66">
        <w:trPr>
          <w:trHeight w:val="330"/>
        </w:trPr>
        <w:tc>
          <w:tcPr>
            <w:tcW w:w="9158" w:type="dxa"/>
            <w:gridSpan w:val="2"/>
            <w:tcBorders>
              <w:bottom w:val="nil"/>
            </w:tcBorders>
            <w:shd w:val="clear" w:color="auto" w:fill="auto"/>
            <w:vAlign w:val="center"/>
            <w:hideMark/>
          </w:tcPr>
          <w:p w14:paraId="68038DE1" w14:textId="77777777" w:rsidR="00EB28B4" w:rsidRPr="00324B27" w:rsidRDefault="00EB28B4" w:rsidP="00001B7F">
            <w:pPr>
              <w:spacing w:line="240" w:lineRule="auto"/>
              <w:rPr>
                <w:rFonts w:cs="Calibri"/>
                <w:bCs/>
                <w:sz w:val="18"/>
                <w:szCs w:val="18"/>
                <w:lang w:eastAsia="en-US"/>
              </w:rPr>
            </w:pPr>
            <w:r w:rsidRPr="00324B27">
              <w:rPr>
                <w:rFonts w:cs="Calibri"/>
                <w:bCs/>
                <w:sz w:val="18"/>
                <w:szCs w:val="18"/>
                <w:lang w:val="en-US" w:eastAsia="en-US"/>
              </w:rPr>
              <w:t>Ռիսկերի</w:t>
            </w:r>
            <w:r w:rsidRPr="00324B27">
              <w:rPr>
                <w:rFonts w:cs="Calibri"/>
                <w:bCs/>
                <w:sz w:val="18"/>
                <w:szCs w:val="18"/>
                <w:lang w:eastAsia="en-US"/>
              </w:rPr>
              <w:t xml:space="preserve"> </w:t>
            </w:r>
            <w:r w:rsidRPr="00324B27">
              <w:rPr>
                <w:rFonts w:cs="Calibri"/>
                <w:bCs/>
                <w:sz w:val="18"/>
                <w:szCs w:val="18"/>
                <w:lang w:val="en-US" w:eastAsia="en-US"/>
              </w:rPr>
              <w:t>առանձին</w:t>
            </w:r>
            <w:r w:rsidRPr="00324B27">
              <w:rPr>
                <w:rFonts w:cs="Calibri"/>
                <w:bCs/>
                <w:sz w:val="18"/>
                <w:szCs w:val="18"/>
                <w:lang w:eastAsia="en-US"/>
              </w:rPr>
              <w:t xml:space="preserve"> </w:t>
            </w:r>
            <w:r w:rsidRPr="00324B27">
              <w:rPr>
                <w:rFonts w:cs="Calibri"/>
                <w:bCs/>
                <w:sz w:val="18"/>
                <w:szCs w:val="18"/>
                <w:lang w:val="en-US" w:eastAsia="en-US"/>
              </w:rPr>
              <w:t>հանդես</w:t>
            </w:r>
            <w:r w:rsidRPr="00324B27">
              <w:rPr>
                <w:rFonts w:cs="Calibri"/>
                <w:bCs/>
                <w:sz w:val="18"/>
                <w:szCs w:val="18"/>
                <w:lang w:eastAsia="en-US"/>
              </w:rPr>
              <w:t xml:space="preserve"> </w:t>
            </w:r>
            <w:r w:rsidRPr="00324B27">
              <w:rPr>
                <w:rFonts w:cs="Calibri"/>
                <w:bCs/>
                <w:sz w:val="18"/>
                <w:szCs w:val="18"/>
                <w:lang w:val="en-US" w:eastAsia="en-US"/>
              </w:rPr>
              <w:t>գալու</w:t>
            </w:r>
            <w:r w:rsidRPr="00324B27">
              <w:rPr>
                <w:rFonts w:cs="Calibri"/>
                <w:bCs/>
                <w:sz w:val="18"/>
                <w:szCs w:val="18"/>
                <w:lang w:eastAsia="en-US"/>
              </w:rPr>
              <w:t xml:space="preserve"> </w:t>
            </w:r>
            <w:r w:rsidRPr="00324B27">
              <w:rPr>
                <w:rFonts w:cs="Calibri"/>
                <w:bCs/>
                <w:sz w:val="18"/>
                <w:szCs w:val="18"/>
                <w:lang w:val="en-US" w:eastAsia="en-US"/>
              </w:rPr>
              <w:t>պայմաններում</w:t>
            </w:r>
          </w:p>
        </w:tc>
        <w:tc>
          <w:tcPr>
            <w:tcW w:w="222" w:type="dxa"/>
            <w:shd w:val="clear" w:color="auto" w:fill="auto"/>
            <w:vAlign w:val="center"/>
            <w:hideMark/>
          </w:tcPr>
          <w:p w14:paraId="6B66EF4A" w14:textId="77777777" w:rsidR="00EB28B4" w:rsidRPr="009B62D7" w:rsidRDefault="00EB28B4" w:rsidP="00E94C66">
            <w:pPr>
              <w:rPr>
                <w:rFonts w:ascii="Times New Roman" w:hAnsi="Times New Roman"/>
                <w:b w:val="0"/>
                <w:sz w:val="20"/>
                <w:szCs w:val="20"/>
                <w:lang w:eastAsia="en-US"/>
              </w:rPr>
            </w:pPr>
          </w:p>
        </w:tc>
      </w:tr>
      <w:tr w:rsidR="00EB28B4" w:rsidRPr="009B62D7" w14:paraId="209E4041" w14:textId="77777777" w:rsidTr="00E94C66">
        <w:trPr>
          <w:trHeight w:val="660"/>
        </w:trPr>
        <w:tc>
          <w:tcPr>
            <w:tcW w:w="5473" w:type="dxa"/>
            <w:tcBorders>
              <w:bottom w:val="nil"/>
            </w:tcBorders>
            <w:shd w:val="clear" w:color="auto" w:fill="auto"/>
            <w:vAlign w:val="center"/>
            <w:hideMark/>
          </w:tcPr>
          <w:p w14:paraId="284B8D81" w14:textId="77777777" w:rsidR="00EB28B4" w:rsidRPr="00324B27" w:rsidRDefault="00EB28B4" w:rsidP="00001B7F">
            <w:pPr>
              <w:spacing w:line="240" w:lineRule="auto"/>
              <w:rPr>
                <w:rFonts w:cs="Calibri"/>
                <w:b w:val="0"/>
                <w:sz w:val="18"/>
                <w:szCs w:val="18"/>
                <w:lang w:eastAsia="en-US"/>
              </w:rPr>
            </w:pPr>
            <w:r w:rsidRPr="00324B27">
              <w:rPr>
                <w:rFonts w:cs="Calibri"/>
                <w:b w:val="0"/>
                <w:sz w:val="18"/>
                <w:szCs w:val="18"/>
                <w:lang w:eastAsia="en-US"/>
              </w:rPr>
              <w:t xml:space="preserve">1. </w:t>
            </w:r>
            <w:r w:rsidRPr="00324B27">
              <w:rPr>
                <w:rFonts w:cs="Calibri"/>
                <w:b w:val="0"/>
                <w:sz w:val="18"/>
                <w:szCs w:val="18"/>
                <w:lang w:val="en-US" w:eastAsia="en-US"/>
              </w:rPr>
              <w:t>Կանխատեսվածից</w:t>
            </w:r>
            <w:r w:rsidRPr="00324B27">
              <w:rPr>
                <w:rFonts w:cs="Calibri"/>
                <w:b w:val="0"/>
                <w:sz w:val="18"/>
                <w:szCs w:val="18"/>
                <w:lang w:eastAsia="en-US"/>
              </w:rPr>
              <w:t xml:space="preserve"> </w:t>
            </w:r>
            <w:r w:rsidRPr="00324B27">
              <w:rPr>
                <w:rFonts w:cs="Calibri"/>
                <w:b w:val="0"/>
                <w:sz w:val="18"/>
                <w:szCs w:val="18"/>
                <w:lang w:val="en-US" w:eastAsia="en-US"/>
              </w:rPr>
              <w:t>ավելի</w:t>
            </w:r>
            <w:r w:rsidRPr="00324B27">
              <w:rPr>
                <w:rFonts w:cs="Calibri"/>
                <w:b w:val="0"/>
                <w:sz w:val="18"/>
                <w:szCs w:val="18"/>
                <w:lang w:eastAsia="en-US"/>
              </w:rPr>
              <w:t xml:space="preserve"> </w:t>
            </w:r>
            <w:r w:rsidRPr="00324B27">
              <w:rPr>
                <w:rFonts w:cs="Calibri"/>
                <w:b w:val="0"/>
                <w:sz w:val="18"/>
                <w:szCs w:val="18"/>
                <w:lang w:val="en-US" w:eastAsia="en-US"/>
              </w:rPr>
              <w:t>ցածր</w:t>
            </w:r>
            <w:r w:rsidRPr="00324B27">
              <w:rPr>
                <w:rFonts w:cs="Calibri"/>
                <w:b w:val="0"/>
                <w:sz w:val="18"/>
                <w:szCs w:val="18"/>
                <w:lang w:eastAsia="en-US"/>
              </w:rPr>
              <w:t xml:space="preserve"> </w:t>
            </w:r>
            <w:r w:rsidRPr="00324B27">
              <w:rPr>
                <w:rFonts w:cs="Calibri"/>
                <w:b w:val="0"/>
                <w:sz w:val="18"/>
                <w:szCs w:val="18"/>
                <w:lang w:val="en-US" w:eastAsia="en-US"/>
              </w:rPr>
              <w:t>իրական</w:t>
            </w:r>
            <w:r w:rsidRPr="00324B27">
              <w:rPr>
                <w:rFonts w:cs="Calibri"/>
                <w:b w:val="0"/>
                <w:sz w:val="18"/>
                <w:szCs w:val="18"/>
                <w:lang w:eastAsia="en-US"/>
              </w:rPr>
              <w:t xml:space="preserve"> </w:t>
            </w:r>
            <w:r w:rsidRPr="00324B27">
              <w:rPr>
                <w:rFonts w:cs="Calibri"/>
                <w:b w:val="0"/>
                <w:sz w:val="18"/>
                <w:szCs w:val="18"/>
                <w:lang w:val="en-US" w:eastAsia="en-US"/>
              </w:rPr>
              <w:t>ՀՆԱ</w:t>
            </w:r>
            <w:r w:rsidRPr="00324B27">
              <w:rPr>
                <w:rFonts w:cs="Calibri"/>
                <w:b w:val="0"/>
                <w:sz w:val="18"/>
                <w:szCs w:val="18"/>
                <w:lang w:eastAsia="en-US"/>
              </w:rPr>
              <w:t>-</w:t>
            </w:r>
            <w:r w:rsidRPr="00324B27">
              <w:rPr>
                <w:rFonts w:cs="Calibri"/>
                <w:b w:val="0"/>
                <w:sz w:val="18"/>
                <w:szCs w:val="18"/>
                <w:lang w:val="en-US" w:eastAsia="en-US"/>
              </w:rPr>
              <w:t>ի</w:t>
            </w:r>
            <w:r w:rsidRPr="00324B27">
              <w:rPr>
                <w:rFonts w:cs="Calibri"/>
                <w:b w:val="0"/>
                <w:sz w:val="18"/>
                <w:szCs w:val="18"/>
                <w:lang w:eastAsia="en-US"/>
              </w:rPr>
              <w:t xml:space="preserve"> </w:t>
            </w:r>
            <w:r w:rsidRPr="00324B27">
              <w:rPr>
                <w:rFonts w:cs="Calibri"/>
                <w:b w:val="0"/>
                <w:sz w:val="18"/>
                <w:szCs w:val="18"/>
                <w:lang w:val="en-US" w:eastAsia="en-US"/>
              </w:rPr>
              <w:t>աճ</w:t>
            </w:r>
            <w:r w:rsidRPr="00324B27">
              <w:rPr>
                <w:rFonts w:cs="Calibri"/>
                <w:b w:val="0"/>
                <w:sz w:val="18"/>
                <w:szCs w:val="18"/>
                <w:lang w:eastAsia="en-US"/>
              </w:rPr>
              <w:t xml:space="preserve">, 3.4 </w:t>
            </w:r>
            <w:r w:rsidRPr="00324B27">
              <w:rPr>
                <w:rFonts w:cs="Calibri"/>
                <w:b w:val="0"/>
                <w:sz w:val="18"/>
                <w:szCs w:val="18"/>
                <w:lang w:val="en-US" w:eastAsia="en-US"/>
              </w:rPr>
              <w:t>տոկոսային</w:t>
            </w:r>
            <w:r w:rsidRPr="00324B27">
              <w:rPr>
                <w:rFonts w:cs="Calibri"/>
                <w:b w:val="0"/>
                <w:sz w:val="18"/>
                <w:szCs w:val="18"/>
                <w:lang w:eastAsia="en-US"/>
              </w:rPr>
              <w:t xml:space="preserve"> </w:t>
            </w:r>
            <w:r w:rsidRPr="00324B27">
              <w:rPr>
                <w:rFonts w:cs="Calibri"/>
                <w:b w:val="0"/>
                <w:sz w:val="18"/>
                <w:szCs w:val="18"/>
                <w:lang w:val="en-US" w:eastAsia="en-US"/>
              </w:rPr>
              <w:t>կետ</w:t>
            </w:r>
          </w:p>
        </w:tc>
        <w:tc>
          <w:tcPr>
            <w:tcW w:w="3685" w:type="dxa"/>
            <w:tcBorders>
              <w:bottom w:val="nil"/>
            </w:tcBorders>
            <w:shd w:val="clear" w:color="auto" w:fill="auto"/>
            <w:vAlign w:val="center"/>
            <w:hideMark/>
          </w:tcPr>
          <w:p w14:paraId="758053D8" w14:textId="77777777" w:rsidR="00EB28B4" w:rsidRPr="00324B27" w:rsidRDefault="00EB28B4" w:rsidP="00001B7F">
            <w:pPr>
              <w:spacing w:line="240" w:lineRule="auto"/>
              <w:rPr>
                <w:rFonts w:cs="Calibri"/>
                <w:b w:val="0"/>
                <w:sz w:val="18"/>
                <w:szCs w:val="18"/>
                <w:lang w:val="en-US" w:eastAsia="en-US"/>
              </w:rPr>
            </w:pPr>
            <w:r w:rsidRPr="00324B27">
              <w:rPr>
                <w:rFonts w:cs="Calibri"/>
                <w:b w:val="0"/>
                <w:sz w:val="18"/>
                <w:szCs w:val="18"/>
                <w:lang w:val="en-US" w:eastAsia="en-US"/>
              </w:rPr>
              <w:t>-28.7</w:t>
            </w:r>
          </w:p>
        </w:tc>
        <w:tc>
          <w:tcPr>
            <w:tcW w:w="222" w:type="dxa"/>
            <w:shd w:val="clear" w:color="auto" w:fill="auto"/>
            <w:vAlign w:val="center"/>
            <w:hideMark/>
          </w:tcPr>
          <w:p w14:paraId="571D7855" w14:textId="77777777" w:rsidR="00EB28B4" w:rsidRPr="009B62D7" w:rsidRDefault="00EB28B4" w:rsidP="00E94C66">
            <w:pPr>
              <w:rPr>
                <w:rFonts w:ascii="Times New Roman" w:hAnsi="Times New Roman"/>
                <w:b w:val="0"/>
                <w:sz w:val="20"/>
                <w:szCs w:val="20"/>
                <w:lang w:val="en-US" w:eastAsia="en-US"/>
              </w:rPr>
            </w:pPr>
          </w:p>
        </w:tc>
      </w:tr>
      <w:tr w:rsidR="00EB28B4" w:rsidRPr="009B62D7" w14:paraId="684C3734" w14:textId="77777777" w:rsidTr="00E94C66">
        <w:trPr>
          <w:trHeight w:val="330"/>
        </w:trPr>
        <w:tc>
          <w:tcPr>
            <w:tcW w:w="5473" w:type="dxa"/>
            <w:tcBorders>
              <w:top w:val="nil"/>
            </w:tcBorders>
            <w:shd w:val="clear" w:color="auto" w:fill="auto"/>
            <w:vAlign w:val="center"/>
            <w:hideMark/>
          </w:tcPr>
          <w:p w14:paraId="7213BC40" w14:textId="77777777" w:rsidR="00EB28B4" w:rsidRPr="00324B27" w:rsidRDefault="00EB28B4" w:rsidP="00001B7F">
            <w:pPr>
              <w:spacing w:line="240" w:lineRule="auto"/>
              <w:rPr>
                <w:rFonts w:cs="Calibri"/>
                <w:b w:val="0"/>
                <w:sz w:val="18"/>
                <w:szCs w:val="18"/>
                <w:lang w:eastAsia="en-US"/>
              </w:rPr>
            </w:pPr>
            <w:r w:rsidRPr="00324B27">
              <w:rPr>
                <w:rFonts w:cs="Calibri"/>
                <w:b w:val="0"/>
                <w:sz w:val="18"/>
                <w:szCs w:val="18"/>
                <w:lang w:eastAsia="en-US"/>
              </w:rPr>
              <w:t xml:space="preserve">2. </w:t>
            </w:r>
            <w:r w:rsidRPr="00324B27">
              <w:rPr>
                <w:rFonts w:cs="Calibri"/>
                <w:b w:val="0"/>
                <w:sz w:val="18"/>
                <w:szCs w:val="18"/>
                <w:lang w:val="en-US" w:eastAsia="en-US"/>
              </w:rPr>
              <w:t>Ավելի</w:t>
            </w:r>
            <w:r w:rsidRPr="00324B27">
              <w:rPr>
                <w:rFonts w:cs="Calibri"/>
                <w:b w:val="0"/>
                <w:sz w:val="18"/>
                <w:szCs w:val="18"/>
                <w:lang w:eastAsia="en-US"/>
              </w:rPr>
              <w:t xml:space="preserve"> </w:t>
            </w:r>
            <w:r w:rsidRPr="00324B27">
              <w:rPr>
                <w:rFonts w:cs="Calibri"/>
                <w:b w:val="0"/>
                <w:sz w:val="18"/>
                <w:szCs w:val="18"/>
                <w:lang w:val="en-US" w:eastAsia="en-US"/>
              </w:rPr>
              <w:t>ցածր</w:t>
            </w:r>
            <w:r w:rsidRPr="00324B27">
              <w:rPr>
                <w:rFonts w:cs="Calibri"/>
                <w:b w:val="0"/>
                <w:sz w:val="18"/>
                <w:szCs w:val="18"/>
                <w:lang w:eastAsia="en-US"/>
              </w:rPr>
              <w:t xml:space="preserve"> </w:t>
            </w:r>
            <w:r w:rsidRPr="00324B27">
              <w:rPr>
                <w:rFonts w:cs="Calibri"/>
                <w:b w:val="0"/>
                <w:sz w:val="18"/>
                <w:szCs w:val="18"/>
                <w:lang w:val="en-US" w:eastAsia="en-US"/>
              </w:rPr>
              <w:t>գնաճի</w:t>
            </w:r>
            <w:r w:rsidRPr="00324B27">
              <w:rPr>
                <w:rFonts w:cs="Calibri"/>
                <w:b w:val="0"/>
                <w:sz w:val="18"/>
                <w:szCs w:val="18"/>
                <w:lang w:eastAsia="en-US"/>
              </w:rPr>
              <w:t xml:space="preserve"> </w:t>
            </w:r>
            <w:r w:rsidRPr="00324B27">
              <w:rPr>
                <w:rFonts w:cs="Calibri"/>
                <w:b w:val="0"/>
                <w:sz w:val="18"/>
                <w:szCs w:val="18"/>
                <w:lang w:val="en-US" w:eastAsia="en-US"/>
              </w:rPr>
              <w:t>ռիսկ</w:t>
            </w:r>
            <w:r w:rsidRPr="00324B27">
              <w:rPr>
                <w:rFonts w:cs="Calibri"/>
                <w:b w:val="0"/>
                <w:sz w:val="18"/>
                <w:szCs w:val="18"/>
                <w:lang w:eastAsia="en-US"/>
              </w:rPr>
              <w:t xml:space="preserve">, 1.5 </w:t>
            </w:r>
            <w:r w:rsidRPr="00324B27">
              <w:rPr>
                <w:rFonts w:cs="Calibri"/>
                <w:b w:val="0"/>
                <w:sz w:val="18"/>
                <w:szCs w:val="18"/>
                <w:lang w:val="en-US" w:eastAsia="en-US"/>
              </w:rPr>
              <w:t>տոկոսային</w:t>
            </w:r>
            <w:r w:rsidRPr="00324B27">
              <w:rPr>
                <w:rFonts w:cs="Calibri"/>
                <w:b w:val="0"/>
                <w:sz w:val="18"/>
                <w:szCs w:val="18"/>
                <w:lang w:eastAsia="en-US"/>
              </w:rPr>
              <w:t xml:space="preserve"> </w:t>
            </w:r>
            <w:r w:rsidRPr="00324B27">
              <w:rPr>
                <w:rFonts w:cs="Calibri"/>
                <w:b w:val="0"/>
                <w:sz w:val="18"/>
                <w:szCs w:val="18"/>
                <w:lang w:val="en-US" w:eastAsia="en-US"/>
              </w:rPr>
              <w:t>կետ</w:t>
            </w:r>
            <w:r w:rsidRPr="00324B27">
              <w:rPr>
                <w:rFonts w:cs="Calibri"/>
                <w:b w:val="0"/>
                <w:sz w:val="18"/>
                <w:szCs w:val="18"/>
                <w:lang w:eastAsia="en-US"/>
              </w:rPr>
              <w:t xml:space="preserve"> </w:t>
            </w:r>
          </w:p>
        </w:tc>
        <w:tc>
          <w:tcPr>
            <w:tcW w:w="3685" w:type="dxa"/>
            <w:tcBorders>
              <w:top w:val="nil"/>
            </w:tcBorders>
            <w:shd w:val="clear" w:color="auto" w:fill="auto"/>
            <w:vAlign w:val="center"/>
            <w:hideMark/>
          </w:tcPr>
          <w:p w14:paraId="7A29DDC1" w14:textId="77777777" w:rsidR="00EB28B4" w:rsidRPr="00324B27" w:rsidRDefault="00EB28B4" w:rsidP="00001B7F">
            <w:pPr>
              <w:spacing w:line="240" w:lineRule="auto"/>
              <w:rPr>
                <w:rFonts w:cs="Calibri"/>
                <w:b w:val="0"/>
                <w:sz w:val="18"/>
                <w:szCs w:val="18"/>
                <w:lang w:val="en-US" w:eastAsia="en-US"/>
              </w:rPr>
            </w:pPr>
            <w:r w:rsidRPr="00324B27">
              <w:rPr>
                <w:rFonts w:cs="Calibri"/>
                <w:b w:val="0"/>
                <w:sz w:val="18"/>
                <w:szCs w:val="18"/>
                <w:lang w:val="en-US" w:eastAsia="en-US"/>
              </w:rPr>
              <w:t>-4.8</w:t>
            </w:r>
          </w:p>
        </w:tc>
        <w:tc>
          <w:tcPr>
            <w:tcW w:w="222" w:type="dxa"/>
            <w:shd w:val="clear" w:color="auto" w:fill="auto"/>
            <w:vAlign w:val="center"/>
            <w:hideMark/>
          </w:tcPr>
          <w:p w14:paraId="332D34B8" w14:textId="77777777" w:rsidR="00EB28B4" w:rsidRPr="009B62D7" w:rsidRDefault="00EB28B4" w:rsidP="00E94C66">
            <w:pPr>
              <w:rPr>
                <w:rFonts w:ascii="Times New Roman" w:hAnsi="Times New Roman"/>
                <w:b w:val="0"/>
                <w:sz w:val="20"/>
                <w:szCs w:val="20"/>
                <w:lang w:val="en-US" w:eastAsia="en-US"/>
              </w:rPr>
            </w:pPr>
          </w:p>
        </w:tc>
      </w:tr>
      <w:tr w:rsidR="00EB28B4" w:rsidRPr="009B62D7" w14:paraId="02DA8D1D" w14:textId="77777777" w:rsidTr="00E94C66">
        <w:trPr>
          <w:trHeight w:val="330"/>
        </w:trPr>
        <w:tc>
          <w:tcPr>
            <w:tcW w:w="5473" w:type="dxa"/>
            <w:tcBorders>
              <w:bottom w:val="nil"/>
            </w:tcBorders>
            <w:shd w:val="clear" w:color="auto" w:fill="auto"/>
            <w:vAlign w:val="center"/>
            <w:hideMark/>
          </w:tcPr>
          <w:p w14:paraId="4EEEC737" w14:textId="77777777" w:rsidR="00EB28B4" w:rsidRPr="00324B27" w:rsidRDefault="00EB28B4" w:rsidP="00001B7F">
            <w:pPr>
              <w:spacing w:line="240" w:lineRule="auto"/>
              <w:rPr>
                <w:rFonts w:cs="Calibri"/>
                <w:b w:val="0"/>
                <w:sz w:val="18"/>
                <w:szCs w:val="18"/>
                <w:lang w:val="en-US" w:eastAsia="en-US"/>
              </w:rPr>
            </w:pPr>
            <w:r w:rsidRPr="00324B27">
              <w:rPr>
                <w:rFonts w:cs="Calibri"/>
                <w:b w:val="0"/>
                <w:sz w:val="18"/>
                <w:szCs w:val="18"/>
                <w:lang w:val="en-US" w:eastAsia="en-US"/>
              </w:rPr>
              <w:t>3. Փոխարժեքի 4.6 տոկոս արժեզրկման ռիսկ</w:t>
            </w:r>
          </w:p>
        </w:tc>
        <w:tc>
          <w:tcPr>
            <w:tcW w:w="3685" w:type="dxa"/>
            <w:tcBorders>
              <w:bottom w:val="nil"/>
            </w:tcBorders>
            <w:shd w:val="clear" w:color="auto" w:fill="auto"/>
            <w:vAlign w:val="center"/>
            <w:hideMark/>
          </w:tcPr>
          <w:p w14:paraId="395D7674" w14:textId="77777777" w:rsidR="00EB28B4" w:rsidRPr="00324B27" w:rsidRDefault="00EB28B4" w:rsidP="00001B7F">
            <w:pPr>
              <w:spacing w:line="240" w:lineRule="auto"/>
              <w:rPr>
                <w:rFonts w:cs="Calibri"/>
                <w:b w:val="0"/>
                <w:sz w:val="18"/>
                <w:szCs w:val="18"/>
                <w:lang w:val="en-US" w:eastAsia="en-US"/>
              </w:rPr>
            </w:pPr>
            <w:r w:rsidRPr="00324B27">
              <w:rPr>
                <w:rFonts w:cs="Calibri"/>
                <w:b w:val="0"/>
                <w:sz w:val="18"/>
                <w:szCs w:val="18"/>
                <w:lang w:val="en-US" w:eastAsia="en-US"/>
              </w:rPr>
              <w:t>17.6</w:t>
            </w:r>
          </w:p>
        </w:tc>
        <w:tc>
          <w:tcPr>
            <w:tcW w:w="222" w:type="dxa"/>
            <w:shd w:val="clear" w:color="auto" w:fill="auto"/>
            <w:vAlign w:val="center"/>
            <w:hideMark/>
          </w:tcPr>
          <w:p w14:paraId="51960214" w14:textId="77777777" w:rsidR="00EB28B4" w:rsidRPr="009B62D7" w:rsidRDefault="00EB28B4" w:rsidP="00E94C66">
            <w:pPr>
              <w:rPr>
                <w:rFonts w:ascii="Times New Roman" w:hAnsi="Times New Roman"/>
                <w:b w:val="0"/>
                <w:sz w:val="20"/>
                <w:szCs w:val="20"/>
                <w:lang w:val="en-US" w:eastAsia="en-US"/>
              </w:rPr>
            </w:pPr>
          </w:p>
        </w:tc>
      </w:tr>
      <w:tr w:rsidR="00EB28B4" w:rsidRPr="009B62D7" w14:paraId="50056F84" w14:textId="77777777" w:rsidTr="00E94C66">
        <w:trPr>
          <w:trHeight w:val="420"/>
        </w:trPr>
        <w:tc>
          <w:tcPr>
            <w:tcW w:w="5473" w:type="dxa"/>
            <w:tcBorders>
              <w:bottom w:val="single" w:sz="4" w:space="0" w:color="auto"/>
            </w:tcBorders>
            <w:shd w:val="clear" w:color="auto" w:fill="auto"/>
            <w:vAlign w:val="center"/>
            <w:hideMark/>
          </w:tcPr>
          <w:p w14:paraId="15644ED4" w14:textId="77777777" w:rsidR="00EB28B4" w:rsidRPr="00324B27" w:rsidRDefault="00EB28B4" w:rsidP="00001B7F">
            <w:pPr>
              <w:spacing w:line="240" w:lineRule="auto"/>
              <w:rPr>
                <w:rFonts w:cs="Calibri"/>
                <w:b w:val="0"/>
                <w:sz w:val="18"/>
                <w:szCs w:val="18"/>
                <w:lang w:eastAsia="en-US"/>
              </w:rPr>
            </w:pPr>
            <w:r w:rsidRPr="00324B27">
              <w:rPr>
                <w:rFonts w:cs="Calibri"/>
                <w:b w:val="0"/>
                <w:sz w:val="18"/>
                <w:szCs w:val="18"/>
                <w:lang w:eastAsia="en-US"/>
              </w:rPr>
              <w:t xml:space="preserve">4. </w:t>
            </w:r>
            <w:r w:rsidRPr="00324B27">
              <w:rPr>
                <w:rFonts w:cs="Calibri"/>
                <w:b w:val="0"/>
                <w:sz w:val="18"/>
                <w:szCs w:val="18"/>
                <w:lang w:val="en-US" w:eastAsia="en-US"/>
              </w:rPr>
              <w:t>Ներմուծման</w:t>
            </w:r>
            <w:r w:rsidRPr="00324B27">
              <w:rPr>
                <w:rFonts w:cs="Calibri"/>
                <w:b w:val="0"/>
                <w:sz w:val="18"/>
                <w:szCs w:val="18"/>
                <w:lang w:eastAsia="en-US"/>
              </w:rPr>
              <w:t xml:space="preserve">  </w:t>
            </w:r>
            <w:r w:rsidRPr="00324B27">
              <w:rPr>
                <w:rFonts w:cs="Calibri"/>
                <w:b w:val="0"/>
                <w:sz w:val="18"/>
                <w:szCs w:val="18"/>
                <w:lang w:val="en-US" w:eastAsia="en-US"/>
              </w:rPr>
              <w:t>նվազման</w:t>
            </w:r>
            <w:r w:rsidRPr="00324B27">
              <w:rPr>
                <w:rFonts w:cs="Calibri"/>
                <w:b w:val="0"/>
                <w:sz w:val="18"/>
                <w:szCs w:val="18"/>
                <w:lang w:eastAsia="en-US"/>
              </w:rPr>
              <w:t xml:space="preserve"> </w:t>
            </w:r>
            <w:r w:rsidRPr="00324B27">
              <w:rPr>
                <w:rFonts w:cs="Calibri"/>
                <w:b w:val="0"/>
                <w:sz w:val="18"/>
                <w:szCs w:val="18"/>
                <w:lang w:val="en-US" w:eastAsia="en-US"/>
              </w:rPr>
              <w:t>ռիսկ</w:t>
            </w:r>
            <w:r w:rsidRPr="00324B27">
              <w:rPr>
                <w:rFonts w:cs="Calibri"/>
                <w:b w:val="0"/>
                <w:sz w:val="18"/>
                <w:szCs w:val="18"/>
                <w:lang w:eastAsia="en-US"/>
              </w:rPr>
              <w:t xml:space="preserve">, 9.6 </w:t>
            </w:r>
            <w:r w:rsidRPr="00324B27">
              <w:rPr>
                <w:rFonts w:cs="Calibri"/>
                <w:b w:val="0"/>
                <w:sz w:val="18"/>
                <w:szCs w:val="18"/>
                <w:lang w:val="en-US" w:eastAsia="en-US"/>
              </w:rPr>
              <w:t>տոկոսային</w:t>
            </w:r>
            <w:r w:rsidRPr="00324B27">
              <w:rPr>
                <w:rFonts w:cs="Calibri"/>
                <w:b w:val="0"/>
                <w:sz w:val="18"/>
                <w:szCs w:val="18"/>
                <w:lang w:eastAsia="en-US"/>
              </w:rPr>
              <w:t xml:space="preserve"> </w:t>
            </w:r>
            <w:r w:rsidRPr="00324B27">
              <w:rPr>
                <w:rFonts w:cs="Calibri"/>
                <w:b w:val="0"/>
                <w:sz w:val="18"/>
                <w:szCs w:val="18"/>
                <w:lang w:val="en-US" w:eastAsia="en-US"/>
              </w:rPr>
              <w:t>կետ</w:t>
            </w:r>
          </w:p>
        </w:tc>
        <w:tc>
          <w:tcPr>
            <w:tcW w:w="3685" w:type="dxa"/>
            <w:tcBorders>
              <w:bottom w:val="single" w:sz="4" w:space="0" w:color="auto"/>
            </w:tcBorders>
            <w:shd w:val="clear" w:color="auto" w:fill="auto"/>
            <w:vAlign w:val="center"/>
            <w:hideMark/>
          </w:tcPr>
          <w:p w14:paraId="4430E4D3" w14:textId="77777777" w:rsidR="00EB28B4" w:rsidRPr="00324B27" w:rsidRDefault="00EB28B4" w:rsidP="00001B7F">
            <w:pPr>
              <w:spacing w:line="240" w:lineRule="auto"/>
              <w:rPr>
                <w:rFonts w:cs="Calibri"/>
                <w:b w:val="0"/>
                <w:sz w:val="18"/>
                <w:szCs w:val="18"/>
                <w:lang w:val="en-US" w:eastAsia="en-US"/>
              </w:rPr>
            </w:pPr>
            <w:r w:rsidRPr="00324B27">
              <w:rPr>
                <w:rFonts w:cs="Calibri"/>
                <w:b w:val="0"/>
                <w:sz w:val="18"/>
                <w:szCs w:val="18"/>
                <w:lang w:val="en-US" w:eastAsia="en-US"/>
              </w:rPr>
              <w:t>-24.5</w:t>
            </w:r>
          </w:p>
        </w:tc>
        <w:tc>
          <w:tcPr>
            <w:tcW w:w="222" w:type="dxa"/>
            <w:shd w:val="clear" w:color="auto" w:fill="auto"/>
            <w:vAlign w:val="center"/>
            <w:hideMark/>
          </w:tcPr>
          <w:p w14:paraId="22C739E9" w14:textId="77777777" w:rsidR="00EB28B4" w:rsidRPr="009B62D7" w:rsidRDefault="00EB28B4" w:rsidP="00E94C66">
            <w:pPr>
              <w:rPr>
                <w:rFonts w:ascii="Times New Roman" w:hAnsi="Times New Roman"/>
                <w:b w:val="0"/>
                <w:sz w:val="20"/>
                <w:szCs w:val="20"/>
                <w:lang w:val="en-US" w:eastAsia="en-US"/>
              </w:rPr>
            </w:pPr>
          </w:p>
        </w:tc>
      </w:tr>
      <w:tr w:rsidR="00EB28B4" w:rsidRPr="009B62D7" w14:paraId="449D7CEE" w14:textId="77777777" w:rsidTr="00E94C66">
        <w:trPr>
          <w:trHeight w:val="660"/>
        </w:trPr>
        <w:tc>
          <w:tcPr>
            <w:tcW w:w="5473" w:type="dxa"/>
            <w:tcBorders>
              <w:top w:val="single" w:sz="4" w:space="0" w:color="auto"/>
              <w:bottom w:val="single" w:sz="4" w:space="0" w:color="auto"/>
            </w:tcBorders>
            <w:shd w:val="clear" w:color="auto" w:fill="auto"/>
            <w:vAlign w:val="center"/>
            <w:hideMark/>
          </w:tcPr>
          <w:p w14:paraId="7B940CEA" w14:textId="77777777" w:rsidR="00EB28B4" w:rsidRPr="00324B27" w:rsidRDefault="00EB28B4" w:rsidP="00001B7F">
            <w:pPr>
              <w:spacing w:line="240" w:lineRule="auto"/>
              <w:rPr>
                <w:rFonts w:cs="Calibri"/>
                <w:bCs/>
                <w:sz w:val="18"/>
                <w:szCs w:val="18"/>
                <w:lang w:eastAsia="en-US"/>
              </w:rPr>
            </w:pPr>
            <w:r w:rsidRPr="00324B27">
              <w:rPr>
                <w:rFonts w:cs="Calibri"/>
                <w:bCs/>
                <w:sz w:val="18"/>
                <w:szCs w:val="18"/>
                <w:lang w:val="en-US" w:eastAsia="en-US"/>
              </w:rPr>
              <w:t>Վերոնշյալ</w:t>
            </w:r>
            <w:r w:rsidRPr="00324B27">
              <w:rPr>
                <w:rFonts w:cs="Calibri"/>
                <w:bCs/>
                <w:sz w:val="18"/>
                <w:szCs w:val="18"/>
                <w:lang w:eastAsia="en-US"/>
              </w:rPr>
              <w:t xml:space="preserve"> </w:t>
            </w:r>
            <w:r w:rsidRPr="00324B27">
              <w:rPr>
                <w:rFonts w:cs="Calibri"/>
                <w:bCs/>
                <w:sz w:val="18"/>
                <w:szCs w:val="18"/>
                <w:lang w:val="en-US" w:eastAsia="en-US"/>
              </w:rPr>
              <w:t>ռիսկերի</w:t>
            </w:r>
            <w:r w:rsidRPr="00324B27">
              <w:rPr>
                <w:rFonts w:cs="Calibri"/>
                <w:bCs/>
                <w:sz w:val="18"/>
                <w:szCs w:val="18"/>
                <w:lang w:eastAsia="en-US"/>
              </w:rPr>
              <w:t xml:space="preserve"> </w:t>
            </w:r>
            <w:r w:rsidRPr="00324B27">
              <w:rPr>
                <w:rFonts w:cs="Calibri"/>
                <w:bCs/>
                <w:sz w:val="18"/>
                <w:szCs w:val="18"/>
                <w:lang w:val="en-US" w:eastAsia="en-US"/>
              </w:rPr>
              <w:t>միաժամանակյա</w:t>
            </w:r>
            <w:r w:rsidRPr="00324B27">
              <w:rPr>
                <w:rFonts w:cs="Calibri"/>
                <w:bCs/>
                <w:sz w:val="18"/>
                <w:szCs w:val="18"/>
                <w:lang w:eastAsia="en-US"/>
              </w:rPr>
              <w:t xml:space="preserve"> </w:t>
            </w:r>
            <w:r w:rsidRPr="00324B27">
              <w:rPr>
                <w:rFonts w:cs="Calibri"/>
                <w:bCs/>
                <w:sz w:val="18"/>
                <w:szCs w:val="18"/>
                <w:lang w:val="en-US" w:eastAsia="en-US"/>
              </w:rPr>
              <w:t>հանդես</w:t>
            </w:r>
            <w:r w:rsidRPr="00324B27">
              <w:rPr>
                <w:rFonts w:cs="Calibri"/>
                <w:bCs/>
                <w:sz w:val="18"/>
                <w:szCs w:val="18"/>
                <w:lang w:eastAsia="en-US"/>
              </w:rPr>
              <w:t xml:space="preserve"> </w:t>
            </w:r>
            <w:r w:rsidRPr="00324B27">
              <w:rPr>
                <w:rFonts w:cs="Calibri"/>
                <w:bCs/>
                <w:sz w:val="18"/>
                <w:szCs w:val="18"/>
                <w:lang w:val="en-US" w:eastAsia="en-US"/>
              </w:rPr>
              <w:t>գալու</w:t>
            </w:r>
            <w:r w:rsidRPr="00324B27">
              <w:rPr>
                <w:rFonts w:cs="Calibri"/>
                <w:bCs/>
                <w:sz w:val="18"/>
                <w:szCs w:val="18"/>
                <w:lang w:eastAsia="en-US"/>
              </w:rPr>
              <w:t xml:space="preserve"> </w:t>
            </w:r>
            <w:r w:rsidRPr="00324B27">
              <w:rPr>
                <w:rFonts w:cs="Calibri"/>
                <w:bCs/>
                <w:sz w:val="18"/>
                <w:szCs w:val="18"/>
                <w:lang w:val="en-US" w:eastAsia="en-US"/>
              </w:rPr>
              <w:t>պայմաններում</w:t>
            </w:r>
          </w:p>
        </w:tc>
        <w:tc>
          <w:tcPr>
            <w:tcW w:w="3685" w:type="dxa"/>
            <w:tcBorders>
              <w:top w:val="single" w:sz="4" w:space="0" w:color="auto"/>
              <w:bottom w:val="single" w:sz="4" w:space="0" w:color="auto"/>
            </w:tcBorders>
            <w:shd w:val="clear" w:color="auto" w:fill="auto"/>
            <w:vAlign w:val="center"/>
            <w:hideMark/>
          </w:tcPr>
          <w:p w14:paraId="79C077C6" w14:textId="77777777" w:rsidR="00EB28B4" w:rsidRPr="00324B27" w:rsidRDefault="00EB28B4" w:rsidP="00001B7F">
            <w:pPr>
              <w:spacing w:line="240" w:lineRule="auto"/>
              <w:rPr>
                <w:rFonts w:cs="Calibri"/>
                <w:bCs/>
                <w:sz w:val="18"/>
                <w:szCs w:val="18"/>
                <w:lang w:val="en-US" w:eastAsia="en-US"/>
              </w:rPr>
            </w:pPr>
            <w:r w:rsidRPr="00324B27">
              <w:rPr>
                <w:rFonts w:cs="Calibri"/>
                <w:bCs/>
                <w:sz w:val="18"/>
                <w:szCs w:val="18"/>
                <w:lang w:val="en-US" w:eastAsia="en-US"/>
              </w:rPr>
              <w:t>-42.9</w:t>
            </w:r>
          </w:p>
        </w:tc>
        <w:tc>
          <w:tcPr>
            <w:tcW w:w="222" w:type="dxa"/>
            <w:shd w:val="clear" w:color="auto" w:fill="auto"/>
            <w:vAlign w:val="center"/>
            <w:hideMark/>
          </w:tcPr>
          <w:p w14:paraId="67BFD00D" w14:textId="77777777" w:rsidR="00EB28B4" w:rsidRPr="009B62D7" w:rsidRDefault="00EB28B4" w:rsidP="00E94C66">
            <w:pPr>
              <w:rPr>
                <w:rFonts w:ascii="Times New Roman" w:hAnsi="Times New Roman"/>
                <w:b w:val="0"/>
                <w:sz w:val="20"/>
                <w:szCs w:val="20"/>
                <w:lang w:val="en-US" w:eastAsia="en-US"/>
              </w:rPr>
            </w:pPr>
          </w:p>
        </w:tc>
      </w:tr>
      <w:tr w:rsidR="00EB28B4" w:rsidRPr="009B62D7" w14:paraId="7E763FAA" w14:textId="77777777" w:rsidTr="00E94C66">
        <w:trPr>
          <w:trHeight w:val="660"/>
        </w:trPr>
        <w:tc>
          <w:tcPr>
            <w:tcW w:w="5473" w:type="dxa"/>
            <w:tcBorders>
              <w:top w:val="single" w:sz="4" w:space="0" w:color="auto"/>
              <w:bottom w:val="single" w:sz="4" w:space="0" w:color="auto"/>
            </w:tcBorders>
            <w:shd w:val="clear" w:color="auto" w:fill="auto"/>
            <w:vAlign w:val="center"/>
            <w:hideMark/>
          </w:tcPr>
          <w:p w14:paraId="68CE9A1D" w14:textId="77777777" w:rsidR="00EB28B4" w:rsidRPr="00324B27" w:rsidRDefault="00EB28B4" w:rsidP="00001B7F">
            <w:pPr>
              <w:spacing w:line="240" w:lineRule="auto"/>
              <w:rPr>
                <w:rFonts w:cs="Calibri"/>
                <w:b w:val="0"/>
                <w:sz w:val="18"/>
                <w:szCs w:val="18"/>
                <w:lang w:eastAsia="en-US"/>
              </w:rPr>
            </w:pPr>
            <w:r w:rsidRPr="00324B27">
              <w:rPr>
                <w:rFonts w:cs="Calibri"/>
                <w:b w:val="0"/>
                <w:sz w:val="18"/>
                <w:szCs w:val="18"/>
                <w:lang w:val="en-US" w:eastAsia="en-US"/>
              </w:rPr>
              <w:t>Հարկային</w:t>
            </w:r>
            <w:r w:rsidRPr="00324B27">
              <w:rPr>
                <w:rFonts w:cs="Calibri"/>
                <w:b w:val="0"/>
                <w:sz w:val="18"/>
                <w:szCs w:val="18"/>
                <w:lang w:eastAsia="en-US"/>
              </w:rPr>
              <w:t xml:space="preserve"> </w:t>
            </w:r>
            <w:r w:rsidRPr="00324B27">
              <w:rPr>
                <w:rFonts w:cs="Calibri"/>
                <w:b w:val="0"/>
                <w:sz w:val="18"/>
                <w:szCs w:val="18"/>
                <w:lang w:val="en-US" w:eastAsia="en-US"/>
              </w:rPr>
              <w:t>եկամուտների</w:t>
            </w:r>
            <w:r w:rsidRPr="00324B27">
              <w:rPr>
                <w:rFonts w:cs="Calibri"/>
                <w:b w:val="0"/>
                <w:sz w:val="18"/>
                <w:szCs w:val="18"/>
                <w:lang w:eastAsia="en-US"/>
              </w:rPr>
              <w:t xml:space="preserve"> </w:t>
            </w:r>
            <w:r w:rsidRPr="00324B27">
              <w:rPr>
                <w:rFonts w:cs="Calibri"/>
                <w:b w:val="0"/>
                <w:sz w:val="18"/>
                <w:szCs w:val="18"/>
                <w:lang w:val="en-US" w:eastAsia="en-US"/>
              </w:rPr>
              <w:t>վարչարարության</w:t>
            </w:r>
            <w:r w:rsidRPr="00324B27">
              <w:rPr>
                <w:rFonts w:cs="Calibri"/>
                <w:b w:val="0"/>
                <w:sz w:val="18"/>
                <w:szCs w:val="18"/>
                <w:lang w:eastAsia="en-US"/>
              </w:rPr>
              <w:t xml:space="preserve"> </w:t>
            </w:r>
            <w:r w:rsidRPr="00324B27">
              <w:rPr>
                <w:rFonts w:cs="Calibri"/>
                <w:b w:val="0"/>
                <w:sz w:val="18"/>
                <w:szCs w:val="18"/>
                <w:lang w:val="en-US" w:eastAsia="en-US"/>
              </w:rPr>
              <w:t>ռիսկ</w:t>
            </w:r>
            <w:r w:rsidRPr="00324B27">
              <w:rPr>
                <w:rFonts w:cs="Calibri"/>
                <w:b w:val="0"/>
                <w:sz w:val="18"/>
                <w:szCs w:val="18"/>
                <w:lang w:eastAsia="en-US"/>
              </w:rPr>
              <w:t xml:space="preserve">, 0.5 </w:t>
            </w:r>
            <w:r w:rsidRPr="00324B27">
              <w:rPr>
                <w:rFonts w:cs="Calibri"/>
                <w:b w:val="0"/>
                <w:sz w:val="18"/>
                <w:szCs w:val="18"/>
                <w:lang w:val="en-US" w:eastAsia="en-US"/>
              </w:rPr>
              <w:t>տոկոսային</w:t>
            </w:r>
            <w:r w:rsidRPr="00324B27">
              <w:rPr>
                <w:rFonts w:cs="Calibri"/>
                <w:b w:val="0"/>
                <w:sz w:val="18"/>
                <w:szCs w:val="18"/>
                <w:lang w:eastAsia="en-US"/>
              </w:rPr>
              <w:t xml:space="preserve"> </w:t>
            </w:r>
            <w:r w:rsidRPr="00324B27">
              <w:rPr>
                <w:rFonts w:cs="Calibri"/>
                <w:b w:val="0"/>
                <w:sz w:val="18"/>
                <w:szCs w:val="18"/>
                <w:lang w:val="en-US" w:eastAsia="en-US"/>
              </w:rPr>
              <w:t>կետ</w:t>
            </w:r>
          </w:p>
        </w:tc>
        <w:tc>
          <w:tcPr>
            <w:tcW w:w="3685" w:type="dxa"/>
            <w:tcBorders>
              <w:top w:val="single" w:sz="4" w:space="0" w:color="auto"/>
              <w:bottom w:val="single" w:sz="4" w:space="0" w:color="auto"/>
            </w:tcBorders>
            <w:shd w:val="clear" w:color="auto" w:fill="auto"/>
            <w:vAlign w:val="center"/>
            <w:hideMark/>
          </w:tcPr>
          <w:p w14:paraId="58FB3AB4" w14:textId="77777777" w:rsidR="00EB28B4" w:rsidRPr="00324B27" w:rsidRDefault="00EB28B4" w:rsidP="00001B7F">
            <w:pPr>
              <w:spacing w:line="240" w:lineRule="auto"/>
              <w:rPr>
                <w:rFonts w:cs="Calibri"/>
                <w:b w:val="0"/>
                <w:sz w:val="18"/>
                <w:szCs w:val="18"/>
                <w:lang w:val="en-US" w:eastAsia="en-US"/>
              </w:rPr>
            </w:pPr>
            <w:r w:rsidRPr="00324B27">
              <w:rPr>
                <w:rFonts w:cs="Calibri"/>
                <w:b w:val="0"/>
                <w:sz w:val="18"/>
                <w:szCs w:val="18"/>
                <w:lang w:val="en-US" w:eastAsia="en-US"/>
              </w:rPr>
              <w:t>-52.5</w:t>
            </w:r>
          </w:p>
        </w:tc>
        <w:tc>
          <w:tcPr>
            <w:tcW w:w="222" w:type="dxa"/>
            <w:shd w:val="clear" w:color="auto" w:fill="auto"/>
            <w:vAlign w:val="center"/>
            <w:hideMark/>
          </w:tcPr>
          <w:p w14:paraId="3907E202" w14:textId="77777777" w:rsidR="00EB28B4" w:rsidRPr="00324B27" w:rsidRDefault="00EB28B4" w:rsidP="00E94C66">
            <w:pPr>
              <w:rPr>
                <w:rFonts w:ascii="Times New Roman" w:hAnsi="Times New Roman"/>
                <w:b w:val="0"/>
                <w:sz w:val="18"/>
                <w:szCs w:val="18"/>
                <w:lang w:val="en-US" w:eastAsia="en-US"/>
              </w:rPr>
            </w:pPr>
          </w:p>
        </w:tc>
      </w:tr>
      <w:tr w:rsidR="00EB28B4" w:rsidRPr="009B62D7" w14:paraId="727C176D" w14:textId="77777777" w:rsidTr="00E94C66">
        <w:trPr>
          <w:trHeight w:val="345"/>
        </w:trPr>
        <w:tc>
          <w:tcPr>
            <w:tcW w:w="5473" w:type="dxa"/>
            <w:tcBorders>
              <w:top w:val="single" w:sz="4" w:space="0" w:color="auto"/>
            </w:tcBorders>
            <w:shd w:val="clear" w:color="auto" w:fill="auto"/>
            <w:vAlign w:val="center"/>
            <w:hideMark/>
          </w:tcPr>
          <w:p w14:paraId="19754DE7" w14:textId="77777777" w:rsidR="00EB28B4" w:rsidRPr="00324B27" w:rsidRDefault="00EB28B4" w:rsidP="00E94C66">
            <w:pPr>
              <w:rPr>
                <w:rFonts w:cs="Calibri"/>
                <w:bCs/>
                <w:sz w:val="18"/>
                <w:szCs w:val="18"/>
                <w:lang w:val="en-US" w:eastAsia="en-US"/>
              </w:rPr>
            </w:pPr>
            <w:r w:rsidRPr="00324B27">
              <w:rPr>
                <w:rFonts w:cs="Calibri"/>
                <w:bCs/>
                <w:sz w:val="18"/>
                <w:szCs w:val="18"/>
                <w:lang w:val="en-US" w:eastAsia="en-US"/>
              </w:rPr>
              <w:t>ԸՆԴԱՄԵՆԸ</w:t>
            </w:r>
          </w:p>
        </w:tc>
        <w:tc>
          <w:tcPr>
            <w:tcW w:w="3685" w:type="dxa"/>
            <w:tcBorders>
              <w:top w:val="single" w:sz="4" w:space="0" w:color="auto"/>
            </w:tcBorders>
            <w:shd w:val="clear" w:color="auto" w:fill="auto"/>
            <w:vAlign w:val="center"/>
            <w:hideMark/>
          </w:tcPr>
          <w:p w14:paraId="443A552F" w14:textId="77777777" w:rsidR="00EB28B4" w:rsidRPr="00324B27" w:rsidRDefault="00EB28B4" w:rsidP="00E94C66">
            <w:pPr>
              <w:rPr>
                <w:rFonts w:cs="Calibri"/>
                <w:bCs/>
                <w:sz w:val="18"/>
                <w:szCs w:val="18"/>
                <w:lang w:val="en-US" w:eastAsia="en-US"/>
              </w:rPr>
            </w:pPr>
            <w:r w:rsidRPr="00324B27">
              <w:rPr>
                <w:rFonts w:cs="Calibri"/>
                <w:bCs/>
                <w:sz w:val="18"/>
                <w:szCs w:val="18"/>
                <w:lang w:val="en-US" w:eastAsia="en-US"/>
              </w:rPr>
              <w:t>-95.4</w:t>
            </w:r>
          </w:p>
        </w:tc>
        <w:tc>
          <w:tcPr>
            <w:tcW w:w="222" w:type="dxa"/>
            <w:shd w:val="clear" w:color="auto" w:fill="auto"/>
            <w:vAlign w:val="center"/>
            <w:hideMark/>
          </w:tcPr>
          <w:p w14:paraId="0CE2C3BE" w14:textId="77777777" w:rsidR="00EB28B4" w:rsidRPr="00324B27" w:rsidRDefault="00EB28B4" w:rsidP="00E94C66">
            <w:pPr>
              <w:rPr>
                <w:rFonts w:ascii="Times New Roman" w:hAnsi="Times New Roman"/>
                <w:b w:val="0"/>
                <w:sz w:val="18"/>
                <w:szCs w:val="18"/>
                <w:lang w:val="en-US" w:eastAsia="en-US"/>
              </w:rPr>
            </w:pPr>
          </w:p>
        </w:tc>
      </w:tr>
    </w:tbl>
    <w:p w14:paraId="1D9BB4C6" w14:textId="77777777" w:rsidR="00EB28B4" w:rsidRDefault="00EB28B4" w:rsidP="00EB28B4">
      <w:pPr>
        <w:rPr>
          <w:rFonts w:cs="Sylfaen"/>
          <w:b w:val="0"/>
          <w:lang w:val="hy-AM"/>
        </w:rPr>
      </w:pPr>
    </w:p>
    <w:p w14:paraId="7972D349" w14:textId="77777777" w:rsidR="00EB28B4" w:rsidRPr="007955BB" w:rsidRDefault="00EB28B4" w:rsidP="00EB28B4">
      <w:pPr>
        <w:rPr>
          <w:rFonts w:cs="Sylfaen"/>
          <w:b w:val="0"/>
          <w:lang w:val="hy-AM"/>
        </w:rPr>
      </w:pPr>
      <w:r w:rsidRPr="007955BB">
        <w:rPr>
          <w:rFonts w:cs="Sylfaen"/>
          <w:b w:val="0"/>
          <w:lang w:val="hy-AM"/>
        </w:rPr>
        <w:t>Այսպիսով, գնահատվում է, որ հարկային եկամուտների վրա ազդող վերոնշյալ ռիսկերի միաժամանակյա ի հայտ գալու պարագայում հարկային եկամուտների ծրագրված մակարդակից շեղումը 202</w:t>
      </w:r>
      <w:r>
        <w:rPr>
          <w:rFonts w:cs="Sylfaen"/>
          <w:b w:val="0"/>
          <w:lang w:val="hy-AM"/>
        </w:rPr>
        <w:t>4</w:t>
      </w:r>
      <w:r w:rsidRPr="007955BB">
        <w:rPr>
          <w:rFonts w:cs="Sylfaen"/>
          <w:b w:val="0"/>
          <w:lang w:val="hy-AM"/>
        </w:rPr>
        <w:t xml:space="preserve"> թվականին կկազմի շուրջ </w:t>
      </w:r>
      <w:r>
        <w:rPr>
          <w:rFonts w:cs="Sylfaen"/>
          <w:b w:val="0"/>
          <w:lang w:val="hy-AM"/>
        </w:rPr>
        <w:t>95.4</w:t>
      </w:r>
      <w:r w:rsidRPr="007955BB">
        <w:rPr>
          <w:rFonts w:cs="Sylfaen"/>
          <w:b w:val="0"/>
          <w:lang w:val="hy-AM"/>
        </w:rPr>
        <w:t xml:space="preserve"> մլրդ ՀՀ դրամ: </w:t>
      </w:r>
    </w:p>
    <w:p w14:paraId="4520A309" w14:textId="77777777" w:rsidR="00EB28B4" w:rsidRPr="007955BB" w:rsidRDefault="00EB28B4" w:rsidP="00EB28B4">
      <w:pPr>
        <w:rPr>
          <w:rFonts w:cs="Sylfaen"/>
          <w:b w:val="0"/>
          <w:lang w:val="hy-AM"/>
        </w:rPr>
      </w:pPr>
      <w:r w:rsidRPr="007955BB">
        <w:rPr>
          <w:rFonts w:cs="Sylfaen"/>
          <w:b w:val="0"/>
          <w:lang w:val="hy-AM"/>
        </w:rPr>
        <w:t>Հարկային եկամուտների վրա առանձին ռիսկերի ազդեցության չափի վերաբերյալ պատկերացում են տալիս նաև ստորև ներկայացվող զգայունության գնահատականները, սակայն այս դեպքում դիտարկվում է հարկային եկամուտների աճի վրա ազդող գործոնների աճերի 1% փոփոխության ազդեցությունը, ինչը ներկայացված է հարկային եկամուտների զգայունության աղյուսակում:</w:t>
      </w:r>
    </w:p>
    <w:p w14:paraId="101B7281" w14:textId="77777777" w:rsidR="00EB28B4" w:rsidRPr="004366AE" w:rsidRDefault="00EB28B4" w:rsidP="00EB28B4">
      <w:pPr>
        <w:pStyle w:val="Caption"/>
        <w:spacing w:after="0"/>
        <w:rPr>
          <w:rFonts w:eastAsia="Calibri" w:cs="Sylfaen"/>
          <w:color w:val="auto"/>
          <w:sz w:val="22"/>
          <w:szCs w:val="22"/>
          <w:lang w:val="hy-AM" w:eastAsia="en-US"/>
        </w:rPr>
      </w:pPr>
      <w:bookmarkStart w:id="133" w:name="_Toc83928955"/>
      <w:bookmarkStart w:id="134" w:name="_Toc115686970"/>
      <w:r w:rsidRPr="001F2522">
        <w:rPr>
          <w:b/>
          <w:bCs w:val="0"/>
          <w:color w:val="auto"/>
          <w:sz w:val="22"/>
          <w:szCs w:val="22"/>
          <w:lang w:val="hy-AM"/>
        </w:rPr>
        <w:t>Աղյուսակ 2.2.</w:t>
      </w:r>
      <w:r w:rsidRPr="00C1353E">
        <w:rPr>
          <w:sz w:val="22"/>
          <w:szCs w:val="22"/>
          <w:lang w:val="hy-AM"/>
        </w:rPr>
        <w:t xml:space="preserve">  </w:t>
      </w:r>
      <w:bookmarkEnd w:id="133"/>
      <w:bookmarkEnd w:id="134"/>
      <w:r w:rsidRPr="004366AE">
        <w:rPr>
          <w:rFonts w:eastAsia="Calibri" w:cs="Sylfaen"/>
          <w:color w:val="auto"/>
          <w:sz w:val="22"/>
          <w:szCs w:val="22"/>
          <w:lang w:val="hy-AM" w:eastAsia="en-US"/>
        </w:rPr>
        <w:t>Հարկային եկամուտների զգայունությունը հիմնական տնտեսական գործոնների նկատմամբ, տոկոս</w:t>
      </w:r>
    </w:p>
    <w:tbl>
      <w:tblPr>
        <w:tblW w:w="9198" w:type="dxa"/>
        <w:jc w:val="center"/>
        <w:tblLook w:val="00A0" w:firstRow="1" w:lastRow="0" w:firstColumn="1" w:lastColumn="0" w:noHBand="0" w:noVBand="0"/>
      </w:tblPr>
      <w:tblGrid>
        <w:gridCol w:w="3659"/>
        <w:gridCol w:w="1398"/>
        <w:gridCol w:w="1138"/>
        <w:gridCol w:w="1435"/>
        <w:gridCol w:w="1568"/>
      </w:tblGrid>
      <w:tr w:rsidR="00EB28B4" w:rsidRPr="004366AE" w14:paraId="4E573647" w14:textId="77777777" w:rsidTr="00E94C66">
        <w:trPr>
          <w:trHeight w:val="476"/>
          <w:jc w:val="center"/>
        </w:trPr>
        <w:tc>
          <w:tcPr>
            <w:tcW w:w="3659" w:type="dxa"/>
            <w:tcBorders>
              <w:bottom w:val="single" w:sz="4" w:space="0" w:color="auto"/>
            </w:tcBorders>
            <w:shd w:val="clear" w:color="auto" w:fill="auto"/>
            <w:noWrap/>
            <w:vAlign w:val="bottom"/>
            <w:hideMark/>
          </w:tcPr>
          <w:p w14:paraId="0804775D" w14:textId="77777777" w:rsidR="00EB28B4" w:rsidRPr="004366AE" w:rsidRDefault="00EB28B4" w:rsidP="00E94C66">
            <w:pPr>
              <w:rPr>
                <w:b w:val="0"/>
                <w:lang w:val="hy-AM"/>
              </w:rPr>
            </w:pPr>
            <w:r w:rsidRPr="004366AE">
              <w:rPr>
                <w:rFonts w:ascii="Calibri" w:hAnsi="Calibri" w:cs="Calibri"/>
                <w:b w:val="0"/>
                <w:lang w:val="hy-AM"/>
              </w:rPr>
              <w:t> </w:t>
            </w:r>
          </w:p>
        </w:tc>
        <w:tc>
          <w:tcPr>
            <w:tcW w:w="1398" w:type="dxa"/>
            <w:tcBorders>
              <w:bottom w:val="single" w:sz="4" w:space="0" w:color="auto"/>
            </w:tcBorders>
            <w:shd w:val="clear" w:color="auto" w:fill="auto"/>
            <w:noWrap/>
            <w:vAlign w:val="bottom"/>
            <w:hideMark/>
          </w:tcPr>
          <w:p w14:paraId="2E63DC9D" w14:textId="77777777" w:rsidR="00EB28B4" w:rsidRPr="004366AE" w:rsidRDefault="00EB28B4" w:rsidP="00E94C66">
            <w:pPr>
              <w:rPr>
                <w:b w:val="0"/>
                <w:lang w:val="hy-AM"/>
              </w:rPr>
            </w:pPr>
            <w:r w:rsidRPr="004366AE">
              <w:rPr>
                <w:rFonts w:cs="Sylfaen"/>
                <w:b w:val="0"/>
                <w:lang w:val="hy-AM"/>
              </w:rPr>
              <w:t>ՀՆԱ</w:t>
            </w:r>
          </w:p>
        </w:tc>
        <w:tc>
          <w:tcPr>
            <w:tcW w:w="1138" w:type="dxa"/>
            <w:tcBorders>
              <w:bottom w:val="single" w:sz="4" w:space="0" w:color="auto"/>
            </w:tcBorders>
            <w:shd w:val="clear" w:color="auto" w:fill="auto"/>
            <w:noWrap/>
            <w:vAlign w:val="bottom"/>
            <w:hideMark/>
          </w:tcPr>
          <w:p w14:paraId="481344DB" w14:textId="77777777" w:rsidR="00EB28B4" w:rsidRPr="004366AE" w:rsidRDefault="00EB28B4" w:rsidP="00E94C66">
            <w:pPr>
              <w:rPr>
                <w:b w:val="0"/>
                <w:lang w:val="hy-AM"/>
              </w:rPr>
            </w:pPr>
            <w:r w:rsidRPr="004366AE">
              <w:rPr>
                <w:rFonts w:cs="Sylfaen"/>
                <w:b w:val="0"/>
                <w:lang w:val="hy-AM"/>
              </w:rPr>
              <w:t>Գնաճ</w:t>
            </w:r>
          </w:p>
        </w:tc>
        <w:tc>
          <w:tcPr>
            <w:tcW w:w="1435" w:type="dxa"/>
            <w:tcBorders>
              <w:bottom w:val="single" w:sz="4" w:space="0" w:color="auto"/>
            </w:tcBorders>
            <w:shd w:val="clear" w:color="auto" w:fill="auto"/>
            <w:noWrap/>
            <w:vAlign w:val="bottom"/>
            <w:hideMark/>
          </w:tcPr>
          <w:p w14:paraId="26456CE3" w14:textId="77777777" w:rsidR="00EB28B4" w:rsidRPr="004366AE" w:rsidRDefault="00EB28B4" w:rsidP="00E94C66">
            <w:pPr>
              <w:rPr>
                <w:b w:val="0"/>
                <w:lang w:val="hy-AM"/>
              </w:rPr>
            </w:pPr>
            <w:r w:rsidRPr="004366AE">
              <w:rPr>
                <w:rFonts w:cs="Sylfaen"/>
                <w:b w:val="0"/>
                <w:lang w:val="hy-AM"/>
              </w:rPr>
              <w:t>Փոխարժեք</w:t>
            </w:r>
          </w:p>
        </w:tc>
        <w:tc>
          <w:tcPr>
            <w:tcW w:w="1568" w:type="dxa"/>
            <w:tcBorders>
              <w:bottom w:val="single" w:sz="4" w:space="0" w:color="auto"/>
            </w:tcBorders>
            <w:shd w:val="clear" w:color="auto" w:fill="auto"/>
            <w:noWrap/>
            <w:vAlign w:val="bottom"/>
            <w:hideMark/>
          </w:tcPr>
          <w:p w14:paraId="506F0672" w14:textId="77777777" w:rsidR="00EB28B4" w:rsidRPr="004366AE" w:rsidRDefault="00EB28B4" w:rsidP="00E94C66">
            <w:pPr>
              <w:rPr>
                <w:b w:val="0"/>
                <w:lang w:val="hy-AM"/>
              </w:rPr>
            </w:pPr>
            <w:r w:rsidRPr="004366AE">
              <w:rPr>
                <w:rFonts w:cs="Sylfaen"/>
                <w:b w:val="0"/>
                <w:lang w:val="hy-AM"/>
              </w:rPr>
              <w:t>Ներմուծ</w:t>
            </w:r>
            <w:r w:rsidRPr="004366AE">
              <w:rPr>
                <w:b w:val="0"/>
                <w:lang w:val="hy-AM"/>
              </w:rPr>
              <w:t>ում</w:t>
            </w:r>
          </w:p>
        </w:tc>
      </w:tr>
      <w:tr w:rsidR="00EB28B4" w:rsidRPr="004366AE" w14:paraId="6C62639D" w14:textId="77777777" w:rsidTr="00E94C66">
        <w:trPr>
          <w:trHeight w:val="476"/>
          <w:jc w:val="center"/>
        </w:trPr>
        <w:tc>
          <w:tcPr>
            <w:tcW w:w="3659" w:type="dxa"/>
            <w:tcBorders>
              <w:top w:val="single" w:sz="4" w:space="0" w:color="auto"/>
            </w:tcBorders>
            <w:shd w:val="clear" w:color="auto" w:fill="auto"/>
            <w:noWrap/>
            <w:vAlign w:val="bottom"/>
            <w:hideMark/>
          </w:tcPr>
          <w:p w14:paraId="02CA2D18" w14:textId="77777777" w:rsidR="00EB28B4" w:rsidRPr="004366AE" w:rsidRDefault="00EB28B4" w:rsidP="00E94C66">
            <w:pPr>
              <w:rPr>
                <w:b w:val="0"/>
                <w:lang w:val="hy-AM"/>
              </w:rPr>
            </w:pPr>
            <w:r w:rsidRPr="004366AE">
              <w:rPr>
                <w:rFonts w:cs="Sylfaen"/>
                <w:b w:val="0"/>
                <w:lang w:val="hy-AM"/>
              </w:rPr>
              <w:t>Միջին տարեկան ազդեցություն</w:t>
            </w:r>
          </w:p>
        </w:tc>
        <w:tc>
          <w:tcPr>
            <w:tcW w:w="1398" w:type="dxa"/>
            <w:tcBorders>
              <w:top w:val="single" w:sz="4" w:space="0" w:color="auto"/>
            </w:tcBorders>
            <w:shd w:val="clear" w:color="auto" w:fill="auto"/>
            <w:noWrap/>
            <w:vAlign w:val="bottom"/>
            <w:hideMark/>
          </w:tcPr>
          <w:p w14:paraId="2130A965" w14:textId="77777777" w:rsidR="00EB28B4" w:rsidRPr="004366AE" w:rsidRDefault="00EB28B4" w:rsidP="00E94C66">
            <w:pPr>
              <w:rPr>
                <w:rFonts w:cs="Calibri"/>
                <w:b w:val="0"/>
                <w:lang w:val="hy-AM"/>
              </w:rPr>
            </w:pPr>
            <w:r w:rsidRPr="004366AE">
              <w:rPr>
                <w:rFonts w:cs="Calibri"/>
                <w:b w:val="0"/>
                <w:szCs w:val="22"/>
              </w:rPr>
              <w:t>0.2</w:t>
            </w:r>
            <w:r w:rsidRPr="004366AE">
              <w:rPr>
                <w:rFonts w:cs="Calibri"/>
                <w:b w:val="0"/>
                <w:szCs w:val="22"/>
                <w:lang w:val="hy-AM"/>
              </w:rPr>
              <w:t>1</w:t>
            </w:r>
          </w:p>
        </w:tc>
        <w:tc>
          <w:tcPr>
            <w:tcW w:w="1138" w:type="dxa"/>
            <w:tcBorders>
              <w:top w:val="single" w:sz="4" w:space="0" w:color="auto"/>
            </w:tcBorders>
            <w:shd w:val="clear" w:color="auto" w:fill="auto"/>
            <w:noWrap/>
            <w:vAlign w:val="bottom"/>
            <w:hideMark/>
          </w:tcPr>
          <w:p w14:paraId="62DF3998" w14:textId="77777777" w:rsidR="00EB28B4" w:rsidRPr="004366AE" w:rsidRDefault="00EB28B4" w:rsidP="00E94C66">
            <w:pPr>
              <w:rPr>
                <w:rFonts w:cs="Calibri"/>
                <w:b w:val="0"/>
                <w:lang w:val="hy-AM"/>
              </w:rPr>
            </w:pPr>
            <w:r w:rsidRPr="004366AE">
              <w:rPr>
                <w:rFonts w:cs="Calibri"/>
                <w:b w:val="0"/>
                <w:szCs w:val="22"/>
              </w:rPr>
              <w:t>0.11</w:t>
            </w:r>
          </w:p>
        </w:tc>
        <w:tc>
          <w:tcPr>
            <w:tcW w:w="1435" w:type="dxa"/>
            <w:tcBorders>
              <w:top w:val="single" w:sz="4" w:space="0" w:color="auto"/>
            </w:tcBorders>
            <w:shd w:val="clear" w:color="auto" w:fill="auto"/>
            <w:noWrap/>
            <w:vAlign w:val="bottom"/>
            <w:hideMark/>
          </w:tcPr>
          <w:p w14:paraId="28B16C03" w14:textId="77777777" w:rsidR="00EB28B4" w:rsidRPr="004366AE" w:rsidRDefault="00EB28B4" w:rsidP="00E94C66">
            <w:pPr>
              <w:rPr>
                <w:rFonts w:cs="Calibri"/>
                <w:b w:val="0"/>
                <w:lang w:val="hy-AM"/>
              </w:rPr>
            </w:pPr>
            <w:r w:rsidRPr="004366AE">
              <w:rPr>
                <w:rFonts w:cs="Calibri"/>
                <w:b w:val="0"/>
                <w:szCs w:val="22"/>
              </w:rPr>
              <w:t>0.1</w:t>
            </w:r>
            <w:r w:rsidRPr="004366AE">
              <w:rPr>
                <w:rFonts w:cs="Calibri"/>
                <w:b w:val="0"/>
                <w:szCs w:val="22"/>
                <w:lang w:val="hy-AM"/>
              </w:rPr>
              <w:t>5</w:t>
            </w:r>
          </w:p>
        </w:tc>
        <w:tc>
          <w:tcPr>
            <w:tcW w:w="1568" w:type="dxa"/>
            <w:tcBorders>
              <w:top w:val="single" w:sz="4" w:space="0" w:color="auto"/>
            </w:tcBorders>
            <w:shd w:val="clear" w:color="auto" w:fill="auto"/>
            <w:noWrap/>
            <w:vAlign w:val="bottom"/>
            <w:hideMark/>
          </w:tcPr>
          <w:p w14:paraId="3989893B" w14:textId="77777777" w:rsidR="00EB28B4" w:rsidRPr="004366AE" w:rsidRDefault="00EB28B4" w:rsidP="00E94C66">
            <w:pPr>
              <w:rPr>
                <w:rFonts w:cs="Calibri"/>
                <w:b w:val="0"/>
                <w:lang w:val="hy-AM"/>
              </w:rPr>
            </w:pPr>
            <w:r w:rsidRPr="004366AE">
              <w:rPr>
                <w:rFonts w:cs="Calibri"/>
                <w:b w:val="0"/>
                <w:szCs w:val="22"/>
              </w:rPr>
              <w:t>0.05</w:t>
            </w:r>
          </w:p>
        </w:tc>
      </w:tr>
    </w:tbl>
    <w:p w14:paraId="15946D4E" w14:textId="77777777" w:rsidR="00EB28B4" w:rsidRDefault="00EB28B4" w:rsidP="00EB28B4">
      <w:pPr>
        <w:rPr>
          <w:rFonts w:cs="Sylfaen"/>
          <w:b w:val="0"/>
          <w:lang w:val="hy-AM"/>
        </w:rPr>
      </w:pPr>
    </w:p>
    <w:p w14:paraId="7A321922" w14:textId="77777777" w:rsidR="00EB28B4" w:rsidRPr="007955BB" w:rsidRDefault="00EB28B4" w:rsidP="00EB28B4">
      <w:pPr>
        <w:rPr>
          <w:rFonts w:cs="Sylfaen"/>
          <w:b w:val="0"/>
          <w:lang w:val="hy-AM"/>
        </w:rPr>
      </w:pPr>
      <w:r w:rsidRPr="007955BB">
        <w:rPr>
          <w:rFonts w:cs="Sylfaen"/>
          <w:b w:val="0"/>
          <w:lang w:val="hy-AM"/>
        </w:rPr>
        <w:t>Ինչպես երևում է աղյուսակից, հարկերի հավաքագրման առումով առավել էական գործոններ են հանդիսանում ՀՆԱ-ի և փոխարժեքի փոփոխությունները:</w:t>
      </w:r>
    </w:p>
    <w:p w14:paraId="6EFB1859" w14:textId="77777777" w:rsidR="00EB28B4" w:rsidRPr="007955BB" w:rsidRDefault="00EB28B4" w:rsidP="00EB28B4">
      <w:pPr>
        <w:rPr>
          <w:rFonts w:cs="Sylfaen"/>
          <w:b w:val="0"/>
          <w:lang w:val="hy-AM"/>
        </w:rPr>
      </w:pPr>
      <w:r w:rsidRPr="007955BB">
        <w:rPr>
          <w:rFonts w:cs="Sylfaen"/>
          <w:b w:val="0"/>
          <w:lang w:val="hy-AM"/>
        </w:rPr>
        <w:t>Հարկային եկամուտների կանխատեսումների հետ կապված անորոշությունների և ռիսկերի հաշվեկշռի վերաբերյալ գնահատականներն իրենց արտացոլումն են գտել ստորև ներկայացվող հարկային եկամուտների հավանականային բաշխման գծապատկերում և համապատասխան աղյուսակում (տես` Գծապատկեր 2.1 և Աղյուսակ 2</w:t>
      </w:r>
      <w:r w:rsidRPr="00625305">
        <w:rPr>
          <w:rFonts w:cs="Sylfaen"/>
          <w:b w:val="0"/>
          <w:lang w:val="hy-AM"/>
        </w:rPr>
        <w:t>1</w:t>
      </w:r>
      <w:r w:rsidRPr="007955BB">
        <w:rPr>
          <w:rFonts w:cs="Sylfaen"/>
          <w:b w:val="0"/>
          <w:lang w:val="hy-AM"/>
        </w:rPr>
        <w:t>)</w:t>
      </w:r>
      <w:r w:rsidRPr="007955BB">
        <w:rPr>
          <w:rStyle w:val="FootnoteReference"/>
          <w:rFonts w:cs="Sylfaen"/>
          <w:b w:val="0"/>
          <w:lang w:val="hy-AM"/>
        </w:rPr>
        <w:footnoteReference w:id="30"/>
      </w:r>
      <w:r w:rsidRPr="007955BB">
        <w:rPr>
          <w:rFonts w:cs="Sylfaen"/>
          <w:b w:val="0"/>
          <w:lang w:val="hy-AM"/>
        </w:rPr>
        <w:t xml:space="preserve">: Հավանականային բաշխման գրաֆիկի </w:t>
      </w:r>
      <w:r w:rsidRPr="007955BB">
        <w:rPr>
          <w:rFonts w:cs="Sylfaen"/>
          <w:b w:val="0"/>
          <w:lang w:val="hy-AM"/>
        </w:rPr>
        <w:lastRenderedPageBreak/>
        <w:t>կառուցման ժամանակ օգտագործվել է աղյուսակ 1</w:t>
      </w:r>
      <w:r w:rsidRPr="00625305">
        <w:rPr>
          <w:rFonts w:cs="Sylfaen"/>
          <w:b w:val="0"/>
          <w:lang w:val="hy-AM"/>
        </w:rPr>
        <w:t>9</w:t>
      </w:r>
      <w:r w:rsidRPr="007955BB">
        <w:rPr>
          <w:rFonts w:cs="Sylfaen"/>
          <w:b w:val="0"/>
          <w:lang w:val="hy-AM"/>
        </w:rPr>
        <w:t>-ում գնահատված ամբողջական ռիսկերի միաժամանակյա հանդես գալու պայմաններում ի հայտ եկող բացասական ռիսկերը:</w:t>
      </w:r>
    </w:p>
    <w:p w14:paraId="31E1F6DC" w14:textId="77777777" w:rsidR="00EB28B4" w:rsidRPr="00EB6183" w:rsidRDefault="00EB28B4" w:rsidP="00EB28B4">
      <w:pPr>
        <w:pStyle w:val="Caption"/>
        <w:spacing w:after="0"/>
        <w:rPr>
          <w:rFonts w:eastAsia="Calibri" w:cs="Sylfaen"/>
          <w:color w:val="auto"/>
          <w:sz w:val="22"/>
          <w:szCs w:val="22"/>
          <w:lang w:val="hy-AM" w:eastAsia="en-US"/>
        </w:rPr>
      </w:pPr>
      <w:r w:rsidRPr="001F2522">
        <w:rPr>
          <w:rFonts w:eastAsia="Calibri"/>
          <w:b/>
          <w:bCs w:val="0"/>
          <w:i/>
          <w:color w:val="auto"/>
          <w:sz w:val="22"/>
          <w:szCs w:val="22"/>
          <w:lang w:val="hy-AM" w:eastAsia="en-US"/>
        </w:rPr>
        <w:t>Գծապատկեր 2.1.</w:t>
      </w:r>
      <w:r w:rsidRPr="001F2522">
        <w:rPr>
          <w:rFonts w:eastAsia="Calibri"/>
          <w:i/>
          <w:color w:val="auto"/>
          <w:sz w:val="22"/>
          <w:szCs w:val="22"/>
          <w:lang w:val="hy-AM" w:eastAsia="en-US"/>
        </w:rPr>
        <w:t xml:space="preserve"> </w:t>
      </w:r>
      <w:r w:rsidRPr="00EB6183">
        <w:rPr>
          <w:rFonts w:eastAsia="Calibri" w:cs="Sylfaen"/>
          <w:color w:val="auto"/>
          <w:sz w:val="22"/>
          <w:szCs w:val="22"/>
          <w:lang w:val="hy-AM" w:eastAsia="en-US"/>
        </w:rPr>
        <w:t>Հարկային եկամուտների զգայունությունը հիմնական տնտեսական գործոնների նկատմամբ, տոկոս</w:t>
      </w:r>
    </w:p>
    <w:p w14:paraId="44C81862" w14:textId="77777777" w:rsidR="00EB28B4" w:rsidRPr="007955BB" w:rsidRDefault="00EB28B4" w:rsidP="00EB28B4">
      <w:pPr>
        <w:tabs>
          <w:tab w:val="left" w:pos="90"/>
        </w:tabs>
        <w:rPr>
          <w:b w:val="0"/>
          <w:i/>
          <w:u w:val="single"/>
          <w:lang w:val="hy-AM"/>
        </w:rPr>
      </w:pPr>
      <w:r>
        <w:rPr>
          <w:noProof/>
          <w:lang w:val="en-US" w:eastAsia="en-US"/>
          <w14:ligatures w14:val="standardContextual"/>
        </w:rPr>
        <w:drawing>
          <wp:inline distT="0" distB="0" distL="0" distR="0" wp14:anchorId="0994EC99" wp14:editId="138C89D2">
            <wp:extent cx="5962650" cy="1685925"/>
            <wp:effectExtent l="0" t="0" r="0" b="9525"/>
            <wp:docPr id="1464873611" name="Chart 1">
              <a:extLst xmlns:a="http://schemas.openxmlformats.org/drawingml/2006/main">
                <a:ext uri="{FF2B5EF4-FFF2-40B4-BE49-F238E27FC236}">
                  <a16:creationId xmlns:a16="http://schemas.microsoft.com/office/drawing/2014/main" id="{1C4B8758-0D6E-94F6-A53C-C0D0C51A26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B5C45DC" w14:textId="77777777" w:rsidR="00EB28B4" w:rsidRDefault="00EB28B4" w:rsidP="00EB28B4">
      <w:pPr>
        <w:rPr>
          <w:rFonts w:cs="Sylfaen"/>
          <w:b w:val="0"/>
          <w:lang w:val="hy-AM"/>
        </w:rPr>
      </w:pPr>
      <w:r w:rsidRPr="007955BB">
        <w:rPr>
          <w:rFonts w:cs="Sylfaen"/>
          <w:b w:val="0"/>
          <w:lang w:val="hy-AM"/>
        </w:rPr>
        <w:t xml:space="preserve">Կանխատեսումների բաշխման հավանականություններն առավել պարզորոշ երևում են ստորև բերվող աղյուսակում: </w:t>
      </w:r>
    </w:p>
    <w:p w14:paraId="2DF0F618" w14:textId="77777777" w:rsidR="00EB28B4" w:rsidRDefault="00EB28B4" w:rsidP="00EB28B4">
      <w:pPr>
        <w:pStyle w:val="Caption"/>
        <w:spacing w:after="0"/>
        <w:rPr>
          <w:rFonts w:cs="Sylfaen"/>
          <w:bCs w:val="0"/>
          <w:color w:val="auto"/>
          <w:sz w:val="22"/>
          <w:szCs w:val="24"/>
          <w:lang w:val="hy-AM"/>
        </w:rPr>
      </w:pPr>
      <w:bookmarkStart w:id="135" w:name="_Toc83928956"/>
    </w:p>
    <w:p w14:paraId="101DC326" w14:textId="77777777" w:rsidR="00EB28B4" w:rsidRPr="00063D1B" w:rsidRDefault="00EB28B4" w:rsidP="00EB28B4">
      <w:pPr>
        <w:pStyle w:val="Caption"/>
        <w:spacing w:after="0"/>
        <w:rPr>
          <w:rFonts w:eastAsia="Calibri" w:cs="Sylfaen"/>
          <w:b/>
          <w:i/>
          <w:color w:val="auto"/>
          <w:sz w:val="22"/>
          <w:szCs w:val="22"/>
          <w:lang w:val="hy-AM" w:eastAsia="en-US"/>
        </w:rPr>
      </w:pPr>
      <w:r w:rsidRPr="007955BB">
        <w:rPr>
          <w:rFonts w:cs="Sylfaen"/>
          <w:bCs w:val="0"/>
          <w:color w:val="auto"/>
          <w:sz w:val="22"/>
          <w:szCs w:val="24"/>
          <w:lang w:val="hy-AM"/>
        </w:rPr>
        <w:t xml:space="preserve"> </w:t>
      </w:r>
      <w:bookmarkStart w:id="136" w:name="_Toc115686971"/>
      <w:r w:rsidRPr="001F2522">
        <w:rPr>
          <w:rFonts w:eastAsia="Calibri" w:cs="Sylfaen"/>
          <w:b/>
          <w:i/>
          <w:color w:val="auto"/>
          <w:sz w:val="22"/>
          <w:szCs w:val="22"/>
          <w:lang w:val="hy-AM" w:eastAsia="en-US"/>
        </w:rPr>
        <w:t>Աղյուսակ 2.3.</w:t>
      </w:r>
      <w:r w:rsidRPr="007955BB">
        <w:rPr>
          <w:rFonts w:eastAsia="Calibri"/>
          <w:i/>
          <w:sz w:val="20"/>
          <w:szCs w:val="20"/>
          <w:lang w:val="hy-AM" w:eastAsia="en-US"/>
        </w:rPr>
        <w:t xml:space="preserve"> </w:t>
      </w:r>
      <w:r w:rsidRPr="00EB6183">
        <w:rPr>
          <w:rFonts w:eastAsia="Calibri" w:cs="Sylfaen"/>
          <w:color w:val="auto"/>
          <w:sz w:val="22"/>
          <w:szCs w:val="22"/>
          <w:lang w:val="hy-AM" w:eastAsia="en-US"/>
        </w:rPr>
        <w:t>Հարկային եկամուտների կանխատեսումների հավանականային բաշխումը</w:t>
      </w:r>
      <w:bookmarkEnd w:id="135"/>
      <w:bookmarkEnd w:id="136"/>
    </w:p>
    <w:tbl>
      <w:tblPr>
        <w:tblW w:w="7803" w:type="dxa"/>
        <w:tblInd w:w="704" w:type="dxa"/>
        <w:tblBorders>
          <w:bottom w:val="single" w:sz="4" w:space="0" w:color="auto"/>
        </w:tblBorders>
        <w:tblLook w:val="04A0" w:firstRow="1" w:lastRow="0" w:firstColumn="1" w:lastColumn="0" w:noHBand="0" w:noVBand="1"/>
      </w:tblPr>
      <w:tblGrid>
        <w:gridCol w:w="2676"/>
        <w:gridCol w:w="913"/>
        <w:gridCol w:w="1709"/>
        <w:gridCol w:w="1416"/>
        <w:gridCol w:w="1089"/>
      </w:tblGrid>
      <w:tr w:rsidR="00EB28B4" w:rsidRPr="00522278" w14:paraId="3D32F219" w14:textId="77777777" w:rsidTr="00E94C66">
        <w:trPr>
          <w:trHeight w:val="995"/>
        </w:trPr>
        <w:tc>
          <w:tcPr>
            <w:tcW w:w="2676" w:type="dxa"/>
            <w:tcBorders>
              <w:bottom w:val="single" w:sz="4" w:space="0" w:color="auto"/>
            </w:tcBorders>
            <w:shd w:val="clear" w:color="auto" w:fill="auto"/>
            <w:vAlign w:val="center"/>
            <w:hideMark/>
          </w:tcPr>
          <w:p w14:paraId="60D446C5" w14:textId="77777777" w:rsidR="00EB28B4" w:rsidRPr="00324B27" w:rsidRDefault="00EB28B4" w:rsidP="00E94C66">
            <w:pPr>
              <w:rPr>
                <w:rFonts w:cs="Calibri"/>
                <w:b w:val="0"/>
                <w:sz w:val="18"/>
                <w:szCs w:val="18"/>
                <w:lang w:val="en-US" w:eastAsia="en-US"/>
              </w:rPr>
            </w:pPr>
            <w:r w:rsidRPr="00324B27">
              <w:rPr>
                <w:rFonts w:cs="Calibri"/>
                <w:b w:val="0"/>
                <w:sz w:val="18"/>
                <w:szCs w:val="18"/>
                <w:lang w:val="en-US" w:eastAsia="en-US"/>
              </w:rPr>
              <w:t>Հարկային եկամուտների աճի միջակայքը</w:t>
            </w:r>
          </w:p>
        </w:tc>
        <w:tc>
          <w:tcPr>
            <w:tcW w:w="5127" w:type="dxa"/>
            <w:gridSpan w:val="4"/>
            <w:tcBorders>
              <w:bottom w:val="single" w:sz="4" w:space="0" w:color="auto"/>
            </w:tcBorders>
            <w:shd w:val="clear" w:color="auto" w:fill="auto"/>
            <w:vAlign w:val="center"/>
            <w:hideMark/>
          </w:tcPr>
          <w:p w14:paraId="4AABD5B9" w14:textId="77777777" w:rsidR="00EB28B4" w:rsidRPr="00324B27" w:rsidRDefault="00EB28B4" w:rsidP="00E94C66">
            <w:pPr>
              <w:rPr>
                <w:rFonts w:cs="Calibri"/>
                <w:b w:val="0"/>
                <w:sz w:val="18"/>
                <w:szCs w:val="18"/>
                <w:lang w:val="en-US" w:eastAsia="en-US"/>
              </w:rPr>
            </w:pPr>
            <w:r w:rsidRPr="00324B27">
              <w:rPr>
                <w:rFonts w:cs="Calibri"/>
                <w:b w:val="0"/>
                <w:sz w:val="18"/>
                <w:szCs w:val="18"/>
                <w:lang w:val="en-US" w:eastAsia="en-US"/>
              </w:rPr>
              <w:t>Հարկային եկամուտների աճի` տվյալ  միջակայքում ձևավորվելու հավանականությունը</w:t>
            </w:r>
          </w:p>
        </w:tc>
      </w:tr>
      <w:tr w:rsidR="00EB28B4" w:rsidRPr="00324B27" w14:paraId="36F93A90" w14:textId="77777777" w:rsidTr="00E94C66">
        <w:trPr>
          <w:trHeight w:val="331"/>
        </w:trPr>
        <w:tc>
          <w:tcPr>
            <w:tcW w:w="2676" w:type="dxa"/>
            <w:tcBorders>
              <w:top w:val="single" w:sz="4" w:space="0" w:color="auto"/>
            </w:tcBorders>
            <w:shd w:val="clear" w:color="auto" w:fill="auto"/>
            <w:vAlign w:val="center"/>
            <w:hideMark/>
          </w:tcPr>
          <w:p w14:paraId="667E8564" w14:textId="77777777" w:rsidR="00EB28B4" w:rsidRPr="00324B27" w:rsidRDefault="00EB28B4" w:rsidP="00E94C66">
            <w:pPr>
              <w:rPr>
                <w:rFonts w:ascii="Calibri" w:hAnsi="Calibri" w:cs="Calibri"/>
                <w:b w:val="0"/>
                <w:bCs/>
                <w:sz w:val="18"/>
                <w:szCs w:val="18"/>
                <w:lang w:val="en-US" w:eastAsia="en-US"/>
              </w:rPr>
            </w:pPr>
            <w:r w:rsidRPr="00324B27">
              <w:rPr>
                <w:rFonts w:ascii="Calibri" w:hAnsi="Calibri" w:cs="Calibri"/>
                <w:b w:val="0"/>
                <w:bCs/>
                <w:sz w:val="18"/>
                <w:szCs w:val="18"/>
                <w:lang w:val="en-US" w:eastAsia="en-US"/>
              </w:rPr>
              <w:t> </w:t>
            </w:r>
          </w:p>
        </w:tc>
        <w:tc>
          <w:tcPr>
            <w:tcW w:w="5127" w:type="dxa"/>
            <w:gridSpan w:val="4"/>
            <w:tcBorders>
              <w:top w:val="single" w:sz="4" w:space="0" w:color="auto"/>
            </w:tcBorders>
            <w:shd w:val="clear" w:color="auto" w:fill="auto"/>
            <w:noWrap/>
            <w:vAlign w:val="center"/>
            <w:hideMark/>
          </w:tcPr>
          <w:p w14:paraId="1ED04524" w14:textId="77777777" w:rsidR="00EB28B4" w:rsidRPr="00324B27" w:rsidRDefault="00EB28B4" w:rsidP="00E94C66">
            <w:pPr>
              <w:rPr>
                <w:rFonts w:cs="Calibri"/>
                <w:b w:val="0"/>
                <w:bCs/>
                <w:sz w:val="18"/>
                <w:szCs w:val="18"/>
                <w:lang w:val="en-US" w:eastAsia="en-US"/>
              </w:rPr>
            </w:pPr>
            <w:r w:rsidRPr="00324B27">
              <w:rPr>
                <w:rFonts w:cs="Calibri"/>
                <w:b w:val="0"/>
                <w:bCs/>
                <w:sz w:val="18"/>
                <w:szCs w:val="18"/>
                <w:lang w:val="en-US" w:eastAsia="en-US"/>
              </w:rPr>
              <w:t>2024</w:t>
            </w:r>
          </w:p>
        </w:tc>
      </w:tr>
      <w:tr w:rsidR="00EB28B4" w:rsidRPr="00324B27" w14:paraId="618A5278" w14:textId="77777777" w:rsidTr="00E94C66">
        <w:trPr>
          <w:trHeight w:val="331"/>
        </w:trPr>
        <w:tc>
          <w:tcPr>
            <w:tcW w:w="2676" w:type="dxa"/>
            <w:shd w:val="clear" w:color="auto" w:fill="auto"/>
            <w:vAlign w:val="center"/>
            <w:hideMark/>
          </w:tcPr>
          <w:p w14:paraId="124880E7" w14:textId="77777777" w:rsidR="00EB28B4" w:rsidRPr="00324B27" w:rsidRDefault="00EB28B4" w:rsidP="00E94C66">
            <w:pPr>
              <w:rPr>
                <w:rFonts w:ascii="Calibri" w:hAnsi="Calibri" w:cs="Calibri"/>
                <w:b w:val="0"/>
                <w:bCs/>
                <w:sz w:val="18"/>
                <w:szCs w:val="18"/>
                <w:lang w:val="en-US" w:eastAsia="en-US"/>
              </w:rPr>
            </w:pPr>
            <w:r w:rsidRPr="00324B27">
              <w:rPr>
                <w:rFonts w:ascii="Calibri" w:hAnsi="Calibri" w:cs="Calibri"/>
                <w:b w:val="0"/>
                <w:bCs/>
                <w:sz w:val="18"/>
                <w:szCs w:val="18"/>
                <w:lang w:val="en-US" w:eastAsia="en-US"/>
              </w:rPr>
              <w:t> </w:t>
            </w:r>
          </w:p>
        </w:tc>
        <w:tc>
          <w:tcPr>
            <w:tcW w:w="913" w:type="dxa"/>
            <w:shd w:val="clear" w:color="auto" w:fill="auto"/>
            <w:noWrap/>
            <w:vAlign w:val="center"/>
            <w:hideMark/>
          </w:tcPr>
          <w:p w14:paraId="0285E88D" w14:textId="77777777" w:rsidR="00EB28B4" w:rsidRPr="00324B27" w:rsidRDefault="00EB28B4" w:rsidP="00E94C66">
            <w:pPr>
              <w:rPr>
                <w:rFonts w:cs="Calibri"/>
                <w:b w:val="0"/>
                <w:bCs/>
                <w:sz w:val="18"/>
                <w:szCs w:val="18"/>
                <w:lang w:val="en-US" w:eastAsia="en-US"/>
              </w:rPr>
            </w:pPr>
            <w:r w:rsidRPr="00324B27">
              <w:rPr>
                <w:rFonts w:cs="Calibri"/>
                <w:b w:val="0"/>
                <w:bCs/>
                <w:sz w:val="18"/>
                <w:szCs w:val="18"/>
                <w:lang w:val="en-US" w:eastAsia="en-US"/>
              </w:rPr>
              <w:t>1-եռ.</w:t>
            </w:r>
          </w:p>
        </w:tc>
        <w:tc>
          <w:tcPr>
            <w:tcW w:w="1709" w:type="dxa"/>
            <w:shd w:val="clear" w:color="auto" w:fill="auto"/>
            <w:noWrap/>
            <w:vAlign w:val="center"/>
            <w:hideMark/>
          </w:tcPr>
          <w:p w14:paraId="66371966" w14:textId="77777777" w:rsidR="00EB28B4" w:rsidRPr="00324B27" w:rsidRDefault="00EB28B4" w:rsidP="00E94C66">
            <w:pPr>
              <w:rPr>
                <w:rFonts w:cs="Calibri"/>
                <w:b w:val="0"/>
                <w:bCs/>
                <w:sz w:val="18"/>
                <w:szCs w:val="18"/>
                <w:lang w:val="en-US" w:eastAsia="en-US"/>
              </w:rPr>
            </w:pPr>
            <w:r w:rsidRPr="00324B27">
              <w:rPr>
                <w:rFonts w:cs="Calibri"/>
                <w:b w:val="0"/>
                <w:bCs/>
                <w:sz w:val="18"/>
                <w:szCs w:val="18"/>
                <w:lang w:val="en-US" w:eastAsia="en-US"/>
              </w:rPr>
              <w:t>1-ին կիս.</w:t>
            </w:r>
          </w:p>
        </w:tc>
        <w:tc>
          <w:tcPr>
            <w:tcW w:w="1416" w:type="dxa"/>
            <w:shd w:val="clear" w:color="auto" w:fill="auto"/>
            <w:noWrap/>
            <w:vAlign w:val="center"/>
            <w:hideMark/>
          </w:tcPr>
          <w:p w14:paraId="6AD65664" w14:textId="77777777" w:rsidR="00EB28B4" w:rsidRPr="00324B27" w:rsidRDefault="00EB28B4" w:rsidP="00E94C66">
            <w:pPr>
              <w:rPr>
                <w:rFonts w:cs="Calibri"/>
                <w:b w:val="0"/>
                <w:bCs/>
                <w:sz w:val="18"/>
                <w:szCs w:val="18"/>
                <w:lang w:val="en-US" w:eastAsia="en-US"/>
              </w:rPr>
            </w:pPr>
            <w:r w:rsidRPr="00324B27">
              <w:rPr>
                <w:rFonts w:cs="Calibri"/>
                <w:b w:val="0"/>
                <w:bCs/>
                <w:sz w:val="18"/>
                <w:szCs w:val="18"/>
                <w:lang w:val="en-US" w:eastAsia="en-US"/>
              </w:rPr>
              <w:t>9 ամիս</w:t>
            </w:r>
          </w:p>
        </w:tc>
        <w:tc>
          <w:tcPr>
            <w:tcW w:w="1089" w:type="dxa"/>
            <w:shd w:val="clear" w:color="auto" w:fill="auto"/>
            <w:noWrap/>
            <w:vAlign w:val="center"/>
            <w:hideMark/>
          </w:tcPr>
          <w:p w14:paraId="3BBD203B" w14:textId="77777777" w:rsidR="00EB28B4" w:rsidRPr="00324B27" w:rsidRDefault="00EB28B4" w:rsidP="00E94C66">
            <w:pPr>
              <w:rPr>
                <w:rFonts w:cs="Calibri"/>
                <w:b w:val="0"/>
                <w:bCs/>
                <w:sz w:val="18"/>
                <w:szCs w:val="18"/>
                <w:lang w:val="en-US" w:eastAsia="en-US"/>
              </w:rPr>
            </w:pPr>
            <w:r w:rsidRPr="00324B27">
              <w:rPr>
                <w:rFonts w:cs="Calibri"/>
                <w:b w:val="0"/>
                <w:bCs/>
                <w:sz w:val="18"/>
                <w:szCs w:val="18"/>
                <w:lang w:val="en-US" w:eastAsia="en-US"/>
              </w:rPr>
              <w:t>Տարի</w:t>
            </w:r>
          </w:p>
        </w:tc>
      </w:tr>
      <w:tr w:rsidR="00EB28B4" w:rsidRPr="00324B27" w14:paraId="4707DA8D" w14:textId="77777777" w:rsidTr="00E94C66">
        <w:trPr>
          <w:trHeight w:val="331"/>
        </w:trPr>
        <w:tc>
          <w:tcPr>
            <w:tcW w:w="2676" w:type="dxa"/>
            <w:shd w:val="clear" w:color="auto" w:fill="auto"/>
            <w:noWrap/>
            <w:vAlign w:val="center"/>
            <w:hideMark/>
          </w:tcPr>
          <w:p w14:paraId="128ABA09" w14:textId="77777777" w:rsidR="00EB28B4" w:rsidRPr="00324B27" w:rsidRDefault="00EB28B4" w:rsidP="00E94C66">
            <w:pPr>
              <w:rPr>
                <w:rFonts w:cs="Calibri"/>
                <w:b w:val="0"/>
                <w:bCs/>
                <w:sz w:val="18"/>
                <w:szCs w:val="18"/>
                <w:lang w:val="en-US" w:eastAsia="en-US"/>
              </w:rPr>
            </w:pPr>
            <w:r w:rsidRPr="00324B27">
              <w:rPr>
                <w:rFonts w:cs="Calibri"/>
                <w:b w:val="0"/>
                <w:bCs/>
                <w:sz w:val="18"/>
                <w:szCs w:val="18"/>
                <w:lang w:val="en-US" w:eastAsia="en-US"/>
              </w:rPr>
              <w:t>2-8 տոկոս</w:t>
            </w:r>
          </w:p>
        </w:tc>
        <w:tc>
          <w:tcPr>
            <w:tcW w:w="913" w:type="dxa"/>
            <w:shd w:val="clear" w:color="auto" w:fill="auto"/>
            <w:noWrap/>
            <w:vAlign w:val="center"/>
            <w:hideMark/>
          </w:tcPr>
          <w:p w14:paraId="6F0FA915" w14:textId="77777777" w:rsidR="00EB28B4" w:rsidRPr="00324B27" w:rsidRDefault="00EB28B4" w:rsidP="00E94C66">
            <w:pPr>
              <w:rPr>
                <w:rFonts w:cs="Calibri"/>
                <w:b w:val="0"/>
                <w:sz w:val="18"/>
                <w:szCs w:val="18"/>
                <w:lang w:val="en-US" w:eastAsia="en-US"/>
              </w:rPr>
            </w:pPr>
            <w:r w:rsidRPr="00324B27">
              <w:rPr>
                <w:rFonts w:cs="Calibri"/>
                <w:b w:val="0"/>
                <w:sz w:val="18"/>
                <w:szCs w:val="18"/>
                <w:lang w:val="en-US" w:eastAsia="en-US"/>
              </w:rPr>
              <w:t>0.37</w:t>
            </w:r>
          </w:p>
        </w:tc>
        <w:tc>
          <w:tcPr>
            <w:tcW w:w="1709" w:type="dxa"/>
            <w:shd w:val="clear" w:color="auto" w:fill="auto"/>
            <w:noWrap/>
            <w:vAlign w:val="center"/>
            <w:hideMark/>
          </w:tcPr>
          <w:p w14:paraId="46D68536" w14:textId="77777777" w:rsidR="00EB28B4" w:rsidRPr="00324B27" w:rsidRDefault="00EB28B4" w:rsidP="00E94C66">
            <w:pPr>
              <w:rPr>
                <w:rFonts w:cs="Calibri"/>
                <w:b w:val="0"/>
                <w:sz w:val="18"/>
                <w:szCs w:val="18"/>
                <w:lang w:val="en-US" w:eastAsia="en-US"/>
              </w:rPr>
            </w:pPr>
            <w:r w:rsidRPr="00324B27">
              <w:rPr>
                <w:rFonts w:cs="Calibri"/>
                <w:b w:val="0"/>
                <w:sz w:val="18"/>
                <w:szCs w:val="18"/>
                <w:lang w:val="en-US" w:eastAsia="en-US"/>
              </w:rPr>
              <w:t>0.21</w:t>
            </w:r>
          </w:p>
        </w:tc>
        <w:tc>
          <w:tcPr>
            <w:tcW w:w="1416" w:type="dxa"/>
            <w:shd w:val="clear" w:color="auto" w:fill="auto"/>
            <w:noWrap/>
            <w:vAlign w:val="center"/>
            <w:hideMark/>
          </w:tcPr>
          <w:p w14:paraId="2EC148C0" w14:textId="77777777" w:rsidR="00EB28B4" w:rsidRPr="00324B27" w:rsidRDefault="00EB28B4" w:rsidP="00E94C66">
            <w:pPr>
              <w:rPr>
                <w:rFonts w:cs="Calibri"/>
                <w:b w:val="0"/>
                <w:sz w:val="18"/>
                <w:szCs w:val="18"/>
                <w:lang w:val="en-US" w:eastAsia="en-US"/>
              </w:rPr>
            </w:pPr>
            <w:r w:rsidRPr="00324B27">
              <w:rPr>
                <w:rFonts w:cs="Calibri"/>
                <w:b w:val="0"/>
                <w:sz w:val="18"/>
                <w:szCs w:val="18"/>
                <w:lang w:val="en-US" w:eastAsia="en-US"/>
              </w:rPr>
              <w:t>0.22</w:t>
            </w:r>
          </w:p>
        </w:tc>
        <w:tc>
          <w:tcPr>
            <w:tcW w:w="1089" w:type="dxa"/>
            <w:shd w:val="clear" w:color="auto" w:fill="auto"/>
            <w:noWrap/>
            <w:vAlign w:val="center"/>
            <w:hideMark/>
          </w:tcPr>
          <w:p w14:paraId="4810C950" w14:textId="77777777" w:rsidR="00EB28B4" w:rsidRPr="00324B27" w:rsidRDefault="00EB28B4" w:rsidP="00E94C66">
            <w:pPr>
              <w:rPr>
                <w:rFonts w:cs="Calibri"/>
                <w:b w:val="0"/>
                <w:sz w:val="18"/>
                <w:szCs w:val="18"/>
                <w:lang w:val="en-US" w:eastAsia="en-US"/>
              </w:rPr>
            </w:pPr>
            <w:r w:rsidRPr="00324B27">
              <w:rPr>
                <w:rFonts w:cs="Calibri"/>
                <w:b w:val="0"/>
                <w:sz w:val="18"/>
                <w:szCs w:val="18"/>
                <w:lang w:val="en-US" w:eastAsia="en-US"/>
              </w:rPr>
              <w:t>0.19</w:t>
            </w:r>
          </w:p>
        </w:tc>
      </w:tr>
      <w:tr w:rsidR="00EB28B4" w:rsidRPr="00324B27" w14:paraId="29D0AF07" w14:textId="77777777" w:rsidTr="00E94C66">
        <w:trPr>
          <w:trHeight w:val="331"/>
        </w:trPr>
        <w:tc>
          <w:tcPr>
            <w:tcW w:w="2676" w:type="dxa"/>
            <w:shd w:val="clear" w:color="auto" w:fill="auto"/>
            <w:noWrap/>
            <w:vAlign w:val="center"/>
            <w:hideMark/>
          </w:tcPr>
          <w:p w14:paraId="135840EC" w14:textId="77777777" w:rsidR="00EB28B4" w:rsidRPr="00324B27" w:rsidRDefault="00EB28B4" w:rsidP="00E94C66">
            <w:pPr>
              <w:rPr>
                <w:rFonts w:cs="Calibri"/>
                <w:b w:val="0"/>
                <w:bCs/>
                <w:sz w:val="18"/>
                <w:szCs w:val="18"/>
                <w:lang w:val="en-US" w:eastAsia="en-US"/>
              </w:rPr>
            </w:pPr>
            <w:r w:rsidRPr="00324B27">
              <w:rPr>
                <w:rFonts w:cs="Calibri"/>
                <w:b w:val="0"/>
                <w:bCs/>
                <w:sz w:val="18"/>
                <w:szCs w:val="18"/>
                <w:lang w:val="en-US" w:eastAsia="en-US"/>
              </w:rPr>
              <w:t>8-14 տոկոս</w:t>
            </w:r>
          </w:p>
        </w:tc>
        <w:tc>
          <w:tcPr>
            <w:tcW w:w="913" w:type="dxa"/>
            <w:shd w:val="clear" w:color="auto" w:fill="auto"/>
            <w:noWrap/>
            <w:vAlign w:val="center"/>
            <w:hideMark/>
          </w:tcPr>
          <w:p w14:paraId="3BBF4E37" w14:textId="77777777" w:rsidR="00EB28B4" w:rsidRPr="00324B27" w:rsidRDefault="00EB28B4" w:rsidP="00E94C66">
            <w:pPr>
              <w:rPr>
                <w:rFonts w:cs="Calibri"/>
                <w:b w:val="0"/>
                <w:bCs/>
                <w:i/>
                <w:iCs/>
                <w:sz w:val="18"/>
                <w:szCs w:val="18"/>
                <w:u w:val="single"/>
                <w:lang w:val="en-US" w:eastAsia="en-US"/>
              </w:rPr>
            </w:pPr>
            <w:r w:rsidRPr="00324B27">
              <w:rPr>
                <w:rFonts w:cs="Calibri"/>
                <w:b w:val="0"/>
                <w:bCs/>
                <w:i/>
                <w:iCs/>
                <w:sz w:val="18"/>
                <w:szCs w:val="18"/>
                <w:u w:val="single"/>
                <w:lang w:val="en-US" w:eastAsia="en-US"/>
              </w:rPr>
              <w:t>0.51</w:t>
            </w:r>
          </w:p>
        </w:tc>
        <w:tc>
          <w:tcPr>
            <w:tcW w:w="1709" w:type="dxa"/>
            <w:shd w:val="clear" w:color="auto" w:fill="auto"/>
            <w:noWrap/>
            <w:vAlign w:val="center"/>
            <w:hideMark/>
          </w:tcPr>
          <w:p w14:paraId="35285B77" w14:textId="77777777" w:rsidR="00EB28B4" w:rsidRPr="00324B27" w:rsidRDefault="00EB28B4" w:rsidP="00E94C66">
            <w:pPr>
              <w:rPr>
                <w:rFonts w:cs="Calibri"/>
                <w:b w:val="0"/>
                <w:bCs/>
                <w:i/>
                <w:iCs/>
                <w:sz w:val="18"/>
                <w:szCs w:val="18"/>
                <w:u w:val="single"/>
                <w:lang w:val="en-US" w:eastAsia="en-US"/>
              </w:rPr>
            </w:pPr>
            <w:r w:rsidRPr="00324B27">
              <w:rPr>
                <w:rFonts w:cs="Calibri"/>
                <w:b w:val="0"/>
                <w:bCs/>
                <w:i/>
                <w:iCs/>
                <w:sz w:val="18"/>
                <w:szCs w:val="18"/>
                <w:u w:val="single"/>
                <w:lang w:val="en-US" w:eastAsia="en-US"/>
              </w:rPr>
              <w:t>0.52</w:t>
            </w:r>
          </w:p>
        </w:tc>
        <w:tc>
          <w:tcPr>
            <w:tcW w:w="1416" w:type="dxa"/>
            <w:shd w:val="clear" w:color="auto" w:fill="auto"/>
            <w:noWrap/>
            <w:vAlign w:val="center"/>
            <w:hideMark/>
          </w:tcPr>
          <w:p w14:paraId="6849A2A5" w14:textId="77777777" w:rsidR="00EB28B4" w:rsidRPr="00324B27" w:rsidRDefault="00EB28B4" w:rsidP="00E94C66">
            <w:pPr>
              <w:rPr>
                <w:rFonts w:cs="Calibri"/>
                <w:b w:val="0"/>
                <w:bCs/>
                <w:i/>
                <w:iCs/>
                <w:sz w:val="18"/>
                <w:szCs w:val="18"/>
                <w:u w:val="single"/>
                <w:lang w:val="en-US" w:eastAsia="en-US"/>
              </w:rPr>
            </w:pPr>
            <w:r w:rsidRPr="00324B27">
              <w:rPr>
                <w:rFonts w:cs="Calibri"/>
                <w:b w:val="0"/>
                <w:bCs/>
                <w:i/>
                <w:iCs/>
                <w:sz w:val="18"/>
                <w:szCs w:val="18"/>
                <w:u w:val="single"/>
                <w:lang w:val="en-US" w:eastAsia="en-US"/>
              </w:rPr>
              <w:t>0.52</w:t>
            </w:r>
          </w:p>
        </w:tc>
        <w:tc>
          <w:tcPr>
            <w:tcW w:w="1089" w:type="dxa"/>
            <w:shd w:val="clear" w:color="auto" w:fill="auto"/>
            <w:noWrap/>
            <w:vAlign w:val="center"/>
            <w:hideMark/>
          </w:tcPr>
          <w:p w14:paraId="6BF1798B" w14:textId="77777777" w:rsidR="00EB28B4" w:rsidRPr="00324B27" w:rsidRDefault="00EB28B4" w:rsidP="00E94C66">
            <w:pPr>
              <w:rPr>
                <w:rFonts w:cs="Calibri"/>
                <w:b w:val="0"/>
                <w:bCs/>
                <w:i/>
                <w:iCs/>
                <w:sz w:val="18"/>
                <w:szCs w:val="18"/>
                <w:u w:val="single"/>
                <w:lang w:val="en-US" w:eastAsia="en-US"/>
              </w:rPr>
            </w:pPr>
            <w:r w:rsidRPr="00324B27">
              <w:rPr>
                <w:rFonts w:cs="Calibri"/>
                <w:b w:val="0"/>
                <w:bCs/>
                <w:i/>
                <w:iCs/>
                <w:sz w:val="18"/>
                <w:szCs w:val="18"/>
                <w:u w:val="single"/>
                <w:lang w:val="en-US" w:eastAsia="en-US"/>
              </w:rPr>
              <w:t>0.49</w:t>
            </w:r>
          </w:p>
        </w:tc>
      </w:tr>
      <w:tr w:rsidR="00EB28B4" w:rsidRPr="00324B27" w14:paraId="60E8A089" w14:textId="77777777" w:rsidTr="00E94C66">
        <w:trPr>
          <w:trHeight w:val="331"/>
        </w:trPr>
        <w:tc>
          <w:tcPr>
            <w:tcW w:w="2676" w:type="dxa"/>
            <w:shd w:val="clear" w:color="auto" w:fill="auto"/>
            <w:noWrap/>
            <w:vAlign w:val="center"/>
            <w:hideMark/>
          </w:tcPr>
          <w:p w14:paraId="45D757D0" w14:textId="77777777" w:rsidR="00EB28B4" w:rsidRPr="00324B27" w:rsidRDefault="00EB28B4" w:rsidP="00E94C66">
            <w:pPr>
              <w:rPr>
                <w:rFonts w:cs="Calibri"/>
                <w:b w:val="0"/>
                <w:bCs/>
                <w:sz w:val="18"/>
                <w:szCs w:val="18"/>
                <w:lang w:val="en-US" w:eastAsia="en-US"/>
              </w:rPr>
            </w:pPr>
            <w:r w:rsidRPr="00324B27">
              <w:rPr>
                <w:rFonts w:cs="Calibri"/>
                <w:b w:val="0"/>
                <w:bCs/>
                <w:sz w:val="18"/>
                <w:szCs w:val="18"/>
                <w:lang w:val="en-US" w:eastAsia="en-US"/>
              </w:rPr>
              <w:t>14-20 տոկոս</w:t>
            </w:r>
          </w:p>
        </w:tc>
        <w:tc>
          <w:tcPr>
            <w:tcW w:w="913" w:type="dxa"/>
            <w:shd w:val="clear" w:color="auto" w:fill="auto"/>
            <w:noWrap/>
            <w:vAlign w:val="center"/>
            <w:hideMark/>
          </w:tcPr>
          <w:p w14:paraId="7150B035" w14:textId="77777777" w:rsidR="00EB28B4" w:rsidRPr="00324B27" w:rsidRDefault="00EB28B4" w:rsidP="00E94C66">
            <w:pPr>
              <w:rPr>
                <w:rFonts w:cs="Calibri"/>
                <w:b w:val="0"/>
                <w:sz w:val="18"/>
                <w:szCs w:val="18"/>
                <w:lang w:val="en-US" w:eastAsia="en-US"/>
              </w:rPr>
            </w:pPr>
            <w:r w:rsidRPr="00324B27">
              <w:rPr>
                <w:rFonts w:cs="Calibri"/>
                <w:b w:val="0"/>
                <w:sz w:val="18"/>
                <w:szCs w:val="18"/>
                <w:lang w:val="en-US" w:eastAsia="en-US"/>
              </w:rPr>
              <w:t>0.02</w:t>
            </w:r>
          </w:p>
        </w:tc>
        <w:tc>
          <w:tcPr>
            <w:tcW w:w="1709" w:type="dxa"/>
            <w:shd w:val="clear" w:color="auto" w:fill="auto"/>
            <w:noWrap/>
            <w:vAlign w:val="center"/>
            <w:hideMark/>
          </w:tcPr>
          <w:p w14:paraId="3F84E5CD" w14:textId="77777777" w:rsidR="00EB28B4" w:rsidRPr="00324B27" w:rsidRDefault="00EB28B4" w:rsidP="00E94C66">
            <w:pPr>
              <w:rPr>
                <w:rFonts w:cs="Calibri"/>
                <w:b w:val="0"/>
                <w:sz w:val="18"/>
                <w:szCs w:val="18"/>
                <w:lang w:val="en-US" w:eastAsia="en-US"/>
              </w:rPr>
            </w:pPr>
            <w:r w:rsidRPr="00324B27">
              <w:rPr>
                <w:rFonts w:cs="Calibri"/>
                <w:b w:val="0"/>
                <w:sz w:val="18"/>
                <w:szCs w:val="18"/>
                <w:lang w:val="en-US" w:eastAsia="en-US"/>
              </w:rPr>
              <w:t>0.24</w:t>
            </w:r>
          </w:p>
        </w:tc>
        <w:tc>
          <w:tcPr>
            <w:tcW w:w="1416" w:type="dxa"/>
            <w:shd w:val="clear" w:color="auto" w:fill="auto"/>
            <w:noWrap/>
            <w:vAlign w:val="center"/>
            <w:hideMark/>
          </w:tcPr>
          <w:p w14:paraId="6870CFBF" w14:textId="77777777" w:rsidR="00EB28B4" w:rsidRPr="00324B27" w:rsidRDefault="00EB28B4" w:rsidP="00E94C66">
            <w:pPr>
              <w:rPr>
                <w:rFonts w:cs="Calibri"/>
                <w:b w:val="0"/>
                <w:sz w:val="18"/>
                <w:szCs w:val="18"/>
                <w:lang w:val="en-US" w:eastAsia="en-US"/>
              </w:rPr>
            </w:pPr>
            <w:r w:rsidRPr="00324B27">
              <w:rPr>
                <w:rFonts w:cs="Calibri"/>
                <w:b w:val="0"/>
                <w:sz w:val="18"/>
                <w:szCs w:val="18"/>
                <w:lang w:val="en-US" w:eastAsia="en-US"/>
              </w:rPr>
              <w:t>0.23</w:t>
            </w:r>
          </w:p>
        </w:tc>
        <w:tc>
          <w:tcPr>
            <w:tcW w:w="1089" w:type="dxa"/>
            <w:shd w:val="clear" w:color="auto" w:fill="auto"/>
            <w:noWrap/>
            <w:vAlign w:val="center"/>
            <w:hideMark/>
          </w:tcPr>
          <w:p w14:paraId="4ADED044" w14:textId="77777777" w:rsidR="00EB28B4" w:rsidRPr="00324B27" w:rsidRDefault="00EB28B4" w:rsidP="00E94C66">
            <w:pPr>
              <w:rPr>
                <w:rFonts w:cs="Calibri"/>
                <w:b w:val="0"/>
                <w:sz w:val="18"/>
                <w:szCs w:val="18"/>
                <w:lang w:val="en-US" w:eastAsia="en-US"/>
              </w:rPr>
            </w:pPr>
            <w:r w:rsidRPr="00324B27">
              <w:rPr>
                <w:rFonts w:cs="Calibri"/>
                <w:b w:val="0"/>
                <w:sz w:val="18"/>
                <w:szCs w:val="18"/>
                <w:lang w:val="en-US" w:eastAsia="en-US"/>
              </w:rPr>
              <w:t>0.29</w:t>
            </w:r>
          </w:p>
        </w:tc>
      </w:tr>
    </w:tbl>
    <w:p w14:paraId="57638DD2" w14:textId="77777777" w:rsidR="00EB28B4" w:rsidRDefault="00EB28B4" w:rsidP="00EB28B4">
      <w:pPr>
        <w:rPr>
          <w:rFonts w:cs="Sylfaen"/>
          <w:b w:val="0"/>
          <w:lang w:val="hy-AM"/>
        </w:rPr>
      </w:pPr>
    </w:p>
    <w:p w14:paraId="21449A44" w14:textId="77777777" w:rsidR="00EB28B4" w:rsidRPr="007955BB" w:rsidRDefault="00EB28B4" w:rsidP="00EB28B4">
      <w:pPr>
        <w:rPr>
          <w:rFonts w:cs="Sylfaen"/>
          <w:b w:val="0"/>
          <w:lang w:val="hy-AM"/>
        </w:rPr>
      </w:pPr>
      <w:r>
        <w:rPr>
          <w:rFonts w:cs="Sylfaen"/>
          <w:b w:val="0"/>
          <w:lang w:val="hy-AM"/>
        </w:rPr>
        <w:t>Աղյուսակ 20</w:t>
      </w:r>
      <w:r w:rsidRPr="007955BB">
        <w:rPr>
          <w:rFonts w:cs="Sylfaen"/>
          <w:b w:val="0"/>
          <w:lang w:val="hy-AM"/>
        </w:rPr>
        <w:t>-ի առաջին սյունը ներկայացնում է հարկային եկամուտների աճի միջակայքերը, իսկ 2-ից 5-րդ սյուները` նշված միջակայքերից յուրաքանչյուրում այդ աճի ձևավորվելու հավանականությունները` ըստ եռամսյակային կանխատեսումների: Համաձայն գնահատականների, 202</w:t>
      </w:r>
      <w:r>
        <w:rPr>
          <w:rFonts w:cs="Sylfaen"/>
          <w:b w:val="0"/>
          <w:lang w:val="hy-AM"/>
        </w:rPr>
        <w:t>4</w:t>
      </w:r>
      <w:r w:rsidRPr="007955BB">
        <w:rPr>
          <w:rFonts w:cs="Sylfaen"/>
          <w:b w:val="0"/>
          <w:lang w:val="hy-AM"/>
        </w:rPr>
        <w:t xml:space="preserve"> թվականին </w:t>
      </w:r>
      <w:r>
        <w:rPr>
          <w:rFonts w:cs="Sylfaen"/>
          <w:b w:val="0"/>
          <w:lang w:val="hy-AM"/>
        </w:rPr>
        <w:t>8-14</w:t>
      </w:r>
      <w:r w:rsidRPr="007955BB">
        <w:rPr>
          <w:rFonts w:cs="Sylfaen"/>
          <w:b w:val="0"/>
          <w:lang w:val="hy-AM"/>
        </w:rPr>
        <w:t xml:space="preserve">% միջակայքում գտնվելու հավանականություններն ամենաբարձրն են, (Գծապատկեր 2.1-ում այն մուգ կարմիր է, իսկ Աղյուսակ </w:t>
      </w:r>
      <w:r w:rsidRPr="00C1353E">
        <w:rPr>
          <w:rFonts w:cs="Sylfaen"/>
          <w:b w:val="0"/>
          <w:lang w:val="hy-AM"/>
        </w:rPr>
        <w:t>20</w:t>
      </w:r>
      <w:r w:rsidRPr="007955BB">
        <w:rPr>
          <w:rFonts w:cs="Sylfaen"/>
          <w:b w:val="0"/>
          <w:lang w:val="hy-AM"/>
        </w:rPr>
        <w:t xml:space="preserve">-ում՝ հոծ նշումով): </w:t>
      </w:r>
    </w:p>
    <w:p w14:paraId="5FDEE889" w14:textId="77777777" w:rsidR="00EB28B4" w:rsidRPr="00063D1B" w:rsidRDefault="00EB28B4" w:rsidP="00EB28B4">
      <w:pPr>
        <w:pBdr>
          <w:top w:val="single" w:sz="4" w:space="0" w:color="auto"/>
          <w:left w:val="single" w:sz="4" w:space="4" w:color="auto"/>
          <w:bottom w:val="single" w:sz="4" w:space="1" w:color="auto"/>
          <w:right w:val="single" w:sz="4" w:space="4" w:color="auto"/>
        </w:pBdr>
        <w:shd w:val="clear" w:color="auto" w:fill="D9D9D9"/>
        <w:rPr>
          <w:rFonts w:cs="Sylfaen"/>
          <w:sz w:val="20"/>
          <w:szCs w:val="20"/>
          <w:lang w:val="hy-AM"/>
        </w:rPr>
      </w:pPr>
      <w:r w:rsidRPr="00063D1B">
        <w:rPr>
          <w:rFonts w:cs="Sylfaen"/>
          <w:sz w:val="20"/>
          <w:szCs w:val="20"/>
          <w:lang w:val="hy-AM"/>
        </w:rPr>
        <w:t xml:space="preserve">Ներդիր </w:t>
      </w:r>
    </w:p>
    <w:p w14:paraId="058BB4B4" w14:textId="77777777" w:rsidR="00EB28B4" w:rsidRPr="00063D1B" w:rsidRDefault="00EB28B4" w:rsidP="00EB28B4">
      <w:pPr>
        <w:pBdr>
          <w:top w:val="single" w:sz="4" w:space="0" w:color="auto"/>
          <w:left w:val="single" w:sz="4" w:space="4" w:color="auto"/>
          <w:bottom w:val="single" w:sz="4" w:space="1" w:color="auto"/>
          <w:right w:val="single" w:sz="4" w:space="4" w:color="auto"/>
        </w:pBdr>
        <w:shd w:val="clear" w:color="auto" w:fill="D9D9D9"/>
        <w:rPr>
          <w:rFonts w:cs="Sylfaen"/>
          <w:sz w:val="20"/>
          <w:szCs w:val="20"/>
          <w:lang w:val="hy-AM"/>
        </w:rPr>
      </w:pPr>
      <w:r w:rsidRPr="00063D1B">
        <w:rPr>
          <w:rFonts w:cs="Sylfaen"/>
          <w:sz w:val="20"/>
          <w:szCs w:val="20"/>
          <w:lang w:val="hy-AM"/>
        </w:rPr>
        <w:t>Իրական ՀՆԱ-ի և հարկային եկամուտների կանխատեսումների հավանականային բաշխման գծապատկերի կառուցումը</w:t>
      </w:r>
    </w:p>
    <w:p w14:paraId="5BA00434" w14:textId="77777777" w:rsidR="00EB28B4" w:rsidRPr="00063D1B" w:rsidRDefault="00EB28B4" w:rsidP="00EB28B4">
      <w:pPr>
        <w:pBdr>
          <w:top w:val="single" w:sz="4" w:space="0" w:color="auto"/>
          <w:left w:val="single" w:sz="4" w:space="4" w:color="auto"/>
          <w:bottom w:val="single" w:sz="4" w:space="1" w:color="auto"/>
          <w:right w:val="single" w:sz="4" w:space="4" w:color="auto"/>
        </w:pBdr>
        <w:shd w:val="clear" w:color="auto" w:fill="D9D9D9"/>
        <w:rPr>
          <w:b w:val="0"/>
          <w:sz w:val="20"/>
          <w:szCs w:val="20"/>
          <w:lang w:val="hy-AM"/>
        </w:rPr>
      </w:pPr>
      <w:r w:rsidRPr="00063D1B">
        <w:rPr>
          <w:rFonts w:cs="Sylfaen"/>
          <w:b w:val="0"/>
          <w:sz w:val="20"/>
          <w:szCs w:val="20"/>
          <w:lang w:val="hy-AM"/>
        </w:rPr>
        <w:t xml:space="preserve">Իրական ՀՆԱ-ի </w:t>
      </w:r>
      <w:r w:rsidRPr="00063D1B">
        <w:rPr>
          <w:b w:val="0"/>
          <w:sz w:val="20"/>
          <w:szCs w:val="20"/>
          <w:lang w:val="hy-AM"/>
        </w:rPr>
        <w:t xml:space="preserve">և հարկային եկամուտների կանխատեսումների </w:t>
      </w:r>
      <w:r w:rsidRPr="00063D1B">
        <w:rPr>
          <w:rFonts w:cs="Sylfaen"/>
          <w:b w:val="0"/>
          <w:sz w:val="20"/>
          <w:szCs w:val="20"/>
          <w:lang w:val="hy-AM"/>
        </w:rPr>
        <w:t>հավանականային</w:t>
      </w:r>
      <w:r w:rsidRPr="00063D1B">
        <w:rPr>
          <w:b w:val="0"/>
          <w:sz w:val="20"/>
          <w:szCs w:val="20"/>
          <w:lang w:val="hy-AM"/>
        </w:rPr>
        <w:t xml:space="preserve"> բ</w:t>
      </w:r>
      <w:r w:rsidRPr="00063D1B">
        <w:rPr>
          <w:rFonts w:cs="Sylfaen"/>
          <w:b w:val="0"/>
          <w:sz w:val="20"/>
          <w:szCs w:val="20"/>
          <w:lang w:val="hy-AM"/>
        </w:rPr>
        <w:t xml:space="preserve">աշխումը ներկայացնող գծապատկերները ցույց </w:t>
      </w:r>
      <w:r w:rsidRPr="00063D1B">
        <w:rPr>
          <w:b w:val="0"/>
          <w:sz w:val="20"/>
          <w:szCs w:val="20"/>
          <w:lang w:val="hy-AM"/>
        </w:rPr>
        <w:t xml:space="preserve">են </w:t>
      </w:r>
      <w:r w:rsidRPr="00063D1B">
        <w:rPr>
          <w:rFonts w:cs="Sylfaen"/>
          <w:b w:val="0"/>
          <w:sz w:val="20"/>
          <w:szCs w:val="20"/>
          <w:lang w:val="hy-AM"/>
        </w:rPr>
        <w:t>տալիս տնտեսության զարգացման ապագա ընթացքի վերաբերյալ կառավարության գնահատականները` տնտեսական աճի ծրագրային ցուցանիշների վերաբերյալ, ինչպես նաև հարկային եկամուտների հավաքագրման կանխատեսվող ընթացքը</w:t>
      </w:r>
      <w:r w:rsidRPr="00063D1B">
        <w:rPr>
          <w:b w:val="0"/>
          <w:sz w:val="20"/>
          <w:szCs w:val="20"/>
          <w:lang w:val="hy-AM"/>
        </w:rPr>
        <w:t>:</w:t>
      </w:r>
    </w:p>
    <w:p w14:paraId="24CE1C2E" w14:textId="77777777" w:rsidR="00EB28B4" w:rsidRPr="00063D1B" w:rsidRDefault="00EB28B4" w:rsidP="00EB28B4">
      <w:pPr>
        <w:pBdr>
          <w:top w:val="single" w:sz="4" w:space="0" w:color="auto"/>
          <w:left w:val="single" w:sz="4" w:space="4" w:color="auto"/>
          <w:bottom w:val="single" w:sz="4" w:space="1" w:color="auto"/>
          <w:right w:val="single" w:sz="4" w:space="4" w:color="auto"/>
        </w:pBdr>
        <w:shd w:val="clear" w:color="auto" w:fill="D9D9D9"/>
        <w:rPr>
          <w:rFonts w:cs="Sylfaen"/>
          <w:b w:val="0"/>
          <w:sz w:val="20"/>
          <w:szCs w:val="20"/>
          <w:lang w:val="hy-AM"/>
        </w:rPr>
      </w:pPr>
      <w:r w:rsidRPr="00063D1B">
        <w:rPr>
          <w:rFonts w:cs="Sylfaen"/>
          <w:b w:val="0"/>
          <w:sz w:val="20"/>
          <w:szCs w:val="20"/>
          <w:lang w:val="hy-AM"/>
        </w:rPr>
        <w:t>Կանխատեսումների հավանականային բաշխման գծապատկերի կառուցման անհրաժեշտությունը պայմանավորված է նրանով</w:t>
      </w:r>
      <w:r w:rsidRPr="00063D1B">
        <w:rPr>
          <w:b w:val="0"/>
          <w:sz w:val="20"/>
          <w:szCs w:val="20"/>
          <w:lang w:val="hy-AM"/>
        </w:rPr>
        <w:t xml:space="preserve">, </w:t>
      </w:r>
      <w:r w:rsidRPr="00063D1B">
        <w:rPr>
          <w:rFonts w:cs="Sylfaen"/>
          <w:b w:val="0"/>
          <w:sz w:val="20"/>
          <w:szCs w:val="20"/>
          <w:lang w:val="hy-AM"/>
        </w:rPr>
        <w:t>որ բոլոր կանխատեսումները ինչ</w:t>
      </w:r>
      <w:r w:rsidRPr="00063D1B">
        <w:rPr>
          <w:b w:val="0"/>
          <w:sz w:val="20"/>
          <w:szCs w:val="20"/>
          <w:lang w:val="hy-AM"/>
        </w:rPr>
        <w:t>-</w:t>
      </w:r>
      <w:r w:rsidRPr="00063D1B">
        <w:rPr>
          <w:rFonts w:cs="Sylfaen"/>
          <w:b w:val="0"/>
          <w:sz w:val="20"/>
          <w:szCs w:val="20"/>
          <w:lang w:val="hy-AM"/>
        </w:rPr>
        <w:t>որ չափով անորոշ են</w:t>
      </w:r>
      <w:r w:rsidRPr="00063D1B">
        <w:rPr>
          <w:b w:val="0"/>
          <w:sz w:val="20"/>
          <w:szCs w:val="20"/>
          <w:lang w:val="hy-AM"/>
        </w:rPr>
        <w:t xml:space="preserve">: </w:t>
      </w:r>
      <w:r w:rsidRPr="00063D1B">
        <w:rPr>
          <w:rFonts w:cs="Sylfaen"/>
          <w:b w:val="0"/>
          <w:sz w:val="20"/>
          <w:szCs w:val="20"/>
          <w:lang w:val="hy-AM"/>
        </w:rPr>
        <w:t xml:space="preserve">Կարևոր է հաշվի </w:t>
      </w:r>
      <w:r w:rsidRPr="00063D1B">
        <w:rPr>
          <w:rFonts w:cs="Sylfaen"/>
          <w:b w:val="0"/>
          <w:sz w:val="20"/>
          <w:szCs w:val="20"/>
          <w:lang w:val="hy-AM"/>
        </w:rPr>
        <w:lastRenderedPageBreak/>
        <w:t>առնել ոչ միայն կոնկրետ կանխատեսված արժեքները</w:t>
      </w:r>
      <w:r w:rsidRPr="00063D1B">
        <w:rPr>
          <w:b w:val="0"/>
          <w:sz w:val="20"/>
          <w:szCs w:val="20"/>
          <w:lang w:val="hy-AM"/>
        </w:rPr>
        <w:t xml:space="preserve">, </w:t>
      </w:r>
      <w:r w:rsidRPr="00063D1B">
        <w:rPr>
          <w:rFonts w:cs="Sylfaen"/>
          <w:b w:val="0"/>
          <w:sz w:val="20"/>
          <w:szCs w:val="20"/>
          <w:lang w:val="hy-AM"/>
        </w:rPr>
        <w:t>այլ նաև բոլոր այն</w:t>
      </w:r>
      <w:r w:rsidRPr="00063D1B">
        <w:rPr>
          <w:b w:val="0"/>
          <w:sz w:val="20"/>
          <w:szCs w:val="20"/>
          <w:lang w:val="hy-AM"/>
        </w:rPr>
        <w:t xml:space="preserve"> վերոնշյալ </w:t>
      </w:r>
      <w:r w:rsidRPr="00063D1B">
        <w:rPr>
          <w:rFonts w:cs="Sylfaen"/>
          <w:b w:val="0"/>
          <w:sz w:val="20"/>
          <w:szCs w:val="20"/>
          <w:lang w:val="hy-AM"/>
        </w:rPr>
        <w:t>ռիսկերը</w:t>
      </w:r>
      <w:r w:rsidRPr="00063D1B">
        <w:rPr>
          <w:b w:val="0"/>
          <w:sz w:val="20"/>
          <w:szCs w:val="20"/>
          <w:lang w:val="hy-AM"/>
        </w:rPr>
        <w:t xml:space="preserve">, </w:t>
      </w:r>
      <w:r w:rsidRPr="00063D1B">
        <w:rPr>
          <w:rFonts w:cs="Sylfaen"/>
          <w:b w:val="0"/>
          <w:sz w:val="20"/>
          <w:szCs w:val="20"/>
          <w:lang w:val="hy-AM"/>
        </w:rPr>
        <w:t>որոնց արդյունքում կարող են շեղումներ առաջանալ իրական ՀՆԱ-ի կանխատեսումների և հարկերի կանխատեսումների կենտրոնական արժեքներից</w:t>
      </w:r>
      <w:r w:rsidRPr="00063D1B">
        <w:rPr>
          <w:b w:val="0"/>
          <w:sz w:val="20"/>
          <w:szCs w:val="20"/>
          <w:lang w:val="hy-AM"/>
        </w:rPr>
        <w:t xml:space="preserve">: </w:t>
      </w:r>
      <w:r w:rsidRPr="00063D1B">
        <w:rPr>
          <w:rFonts w:cs="Sylfaen"/>
          <w:b w:val="0"/>
          <w:sz w:val="20"/>
          <w:szCs w:val="20"/>
          <w:lang w:val="hy-AM"/>
        </w:rPr>
        <w:t>Հիմնվելով միայն կետային կանխատեսումների վրա հնարավոր չէ բավարար չափով տեղեկատվություն ներկայացնել դրանց հետ կապված անորոշությունների և</w:t>
      </w:r>
      <w:r w:rsidRPr="00063D1B">
        <w:rPr>
          <w:b w:val="0"/>
          <w:sz w:val="20"/>
          <w:szCs w:val="20"/>
          <w:lang w:val="hy-AM"/>
        </w:rPr>
        <w:t xml:space="preserve"> դրանց </w:t>
      </w:r>
      <w:r w:rsidRPr="00063D1B">
        <w:rPr>
          <w:rFonts w:cs="Sylfaen"/>
          <w:b w:val="0"/>
          <w:sz w:val="20"/>
          <w:szCs w:val="20"/>
          <w:lang w:val="hy-AM"/>
        </w:rPr>
        <w:t>աղբյուրների վերաբերյալ</w:t>
      </w:r>
      <w:r w:rsidRPr="00063D1B">
        <w:rPr>
          <w:b w:val="0"/>
          <w:sz w:val="20"/>
          <w:szCs w:val="20"/>
          <w:lang w:val="hy-AM"/>
        </w:rPr>
        <w:t xml:space="preserve">: </w:t>
      </w:r>
      <w:r w:rsidRPr="00063D1B">
        <w:rPr>
          <w:rFonts w:cs="Sylfaen"/>
          <w:b w:val="0"/>
          <w:sz w:val="20"/>
          <w:szCs w:val="20"/>
          <w:lang w:val="hy-AM"/>
        </w:rPr>
        <w:t>Այդ պատճառով կարևորվում է որոշակի վստահության միջակայքի կառուցման խնդիրը</w:t>
      </w:r>
      <w:r w:rsidRPr="00063D1B">
        <w:rPr>
          <w:b w:val="0"/>
          <w:sz w:val="20"/>
          <w:szCs w:val="20"/>
          <w:lang w:val="hy-AM"/>
        </w:rPr>
        <w:t xml:space="preserve">, </w:t>
      </w:r>
      <w:r w:rsidRPr="00063D1B">
        <w:rPr>
          <w:rFonts w:cs="Sylfaen"/>
          <w:b w:val="0"/>
          <w:sz w:val="20"/>
          <w:szCs w:val="20"/>
          <w:lang w:val="hy-AM"/>
        </w:rPr>
        <w:t>որը թույլ կտա գնահատել իրադարձությունների զարգացման հավանական ընթացքը</w:t>
      </w:r>
      <w:r w:rsidRPr="00063D1B">
        <w:rPr>
          <w:b w:val="0"/>
          <w:sz w:val="20"/>
          <w:szCs w:val="20"/>
          <w:lang w:val="hy-AM"/>
        </w:rPr>
        <w:t xml:space="preserve">: Իրական ՀՆԱ-ի և հարկերի կանխատեսումների հավանականային բաշխման ներկայացված գծապատկերները հիմնվում են </w:t>
      </w:r>
      <w:r w:rsidRPr="00063D1B">
        <w:rPr>
          <w:rFonts w:cs="Sylfaen"/>
          <w:b w:val="0"/>
          <w:sz w:val="20"/>
          <w:szCs w:val="20"/>
          <w:lang w:val="hy-AM"/>
        </w:rPr>
        <w:t>Անգլիայի բանկի կողմից մշակված մեթոդաբանության վրա և հաշվի է առնում</w:t>
      </w:r>
      <w:r w:rsidRPr="00063D1B">
        <w:rPr>
          <w:b w:val="0"/>
          <w:sz w:val="20"/>
          <w:szCs w:val="20"/>
          <w:lang w:val="hy-AM"/>
        </w:rPr>
        <w:t xml:space="preserve"> կանխատեսումների հավանականային բաշխման </w:t>
      </w:r>
      <w:r w:rsidRPr="00063D1B">
        <w:rPr>
          <w:rFonts w:cs="Sylfaen"/>
          <w:b w:val="0"/>
          <w:sz w:val="20"/>
          <w:szCs w:val="20"/>
          <w:lang w:val="hy-AM"/>
        </w:rPr>
        <w:t>ասիմետրիկության առկայությունը</w:t>
      </w:r>
      <w:r w:rsidRPr="00063D1B">
        <w:rPr>
          <w:b w:val="0"/>
          <w:sz w:val="20"/>
          <w:szCs w:val="20"/>
          <w:lang w:val="hy-AM"/>
        </w:rPr>
        <w:t xml:space="preserve">: </w:t>
      </w:r>
    </w:p>
    <w:p w14:paraId="121BC9A9" w14:textId="77777777" w:rsidR="00EB28B4" w:rsidRPr="00063D1B" w:rsidRDefault="00EB28B4" w:rsidP="00EB28B4">
      <w:pPr>
        <w:pBdr>
          <w:top w:val="single" w:sz="4" w:space="0" w:color="auto"/>
          <w:left w:val="single" w:sz="4" w:space="4" w:color="auto"/>
          <w:bottom w:val="single" w:sz="4" w:space="1" w:color="auto"/>
          <w:right w:val="single" w:sz="4" w:space="4" w:color="auto"/>
        </w:pBdr>
        <w:shd w:val="clear" w:color="auto" w:fill="D9D9D9"/>
        <w:rPr>
          <w:b w:val="0"/>
          <w:sz w:val="20"/>
          <w:szCs w:val="20"/>
          <w:lang w:val="hy-AM"/>
        </w:rPr>
      </w:pPr>
      <w:r w:rsidRPr="00063D1B">
        <w:rPr>
          <w:rFonts w:cs="Sylfaen"/>
          <w:b w:val="0"/>
          <w:sz w:val="20"/>
          <w:szCs w:val="20"/>
          <w:lang w:val="hy-AM"/>
        </w:rPr>
        <w:t>Հայաստանի համար իրական ՀՆԱ-ի և հարկերի աճի կանխատեսումների բաշխման գծապատկերները կառուցվել են երեք չափորոշիչների հիման վրա.</w:t>
      </w:r>
    </w:p>
    <w:p w14:paraId="4F140DAB" w14:textId="77777777" w:rsidR="00EB28B4" w:rsidRPr="00063D1B" w:rsidRDefault="00EB28B4" w:rsidP="00EB28B4">
      <w:pPr>
        <w:pBdr>
          <w:top w:val="single" w:sz="4" w:space="0" w:color="auto"/>
          <w:left w:val="single" w:sz="4" w:space="4" w:color="auto"/>
          <w:bottom w:val="single" w:sz="4" w:space="1" w:color="auto"/>
          <w:right w:val="single" w:sz="4" w:space="4" w:color="auto"/>
        </w:pBdr>
        <w:shd w:val="clear" w:color="auto" w:fill="D9D9D9"/>
        <w:rPr>
          <w:rFonts w:cs="Sylfaen"/>
          <w:b w:val="0"/>
          <w:sz w:val="20"/>
          <w:szCs w:val="20"/>
          <w:lang w:val="hy-AM"/>
        </w:rPr>
      </w:pPr>
      <w:r w:rsidRPr="00063D1B">
        <w:rPr>
          <w:b w:val="0"/>
          <w:sz w:val="20"/>
          <w:szCs w:val="20"/>
          <w:lang w:val="hy-AM"/>
        </w:rPr>
        <w:t xml:space="preserve">1. </w:t>
      </w:r>
      <w:r w:rsidRPr="00063D1B">
        <w:rPr>
          <w:rFonts w:cs="Sylfaen"/>
          <w:b w:val="0"/>
          <w:sz w:val="20"/>
          <w:szCs w:val="20"/>
          <w:lang w:val="hy-AM"/>
        </w:rPr>
        <w:t xml:space="preserve">կենտրոնական արժեքները, </w:t>
      </w:r>
      <w:r w:rsidRPr="00063D1B">
        <w:rPr>
          <w:b w:val="0"/>
          <w:sz w:val="20"/>
          <w:szCs w:val="20"/>
          <w:lang w:val="hy-AM"/>
        </w:rPr>
        <w:t xml:space="preserve">2. </w:t>
      </w:r>
      <w:r w:rsidRPr="00063D1B">
        <w:rPr>
          <w:rFonts w:cs="Sylfaen"/>
          <w:b w:val="0"/>
          <w:sz w:val="20"/>
          <w:szCs w:val="20"/>
          <w:lang w:val="hy-AM"/>
        </w:rPr>
        <w:t>անորոշության չափը</w:t>
      </w:r>
      <w:r w:rsidRPr="00063D1B">
        <w:rPr>
          <w:b w:val="0"/>
          <w:sz w:val="20"/>
          <w:szCs w:val="20"/>
          <w:lang w:val="hy-AM"/>
        </w:rPr>
        <w:t xml:space="preserve"> (</w:t>
      </w:r>
      <w:r w:rsidRPr="00063D1B">
        <w:rPr>
          <w:rFonts w:cs="Sylfaen"/>
          <w:b w:val="0"/>
          <w:sz w:val="20"/>
          <w:szCs w:val="20"/>
          <w:lang w:val="hy-AM"/>
        </w:rPr>
        <w:t>դիսպերսիան</w:t>
      </w:r>
      <w:r w:rsidRPr="00063D1B">
        <w:rPr>
          <w:b w:val="0"/>
          <w:sz w:val="20"/>
          <w:szCs w:val="20"/>
          <w:lang w:val="hy-AM"/>
        </w:rPr>
        <w:t>),</w:t>
      </w:r>
      <w:r w:rsidRPr="00063D1B">
        <w:rPr>
          <w:rFonts w:cs="Sylfaen"/>
          <w:b w:val="0"/>
          <w:sz w:val="20"/>
          <w:szCs w:val="20"/>
          <w:lang w:val="hy-AM"/>
        </w:rPr>
        <w:t xml:space="preserve"> որը ստանալու համար հիմք են հանդիսացել փաստացի պատմական շարքերի կանխատեսումային սխալները և </w:t>
      </w:r>
      <w:r w:rsidRPr="00063D1B">
        <w:rPr>
          <w:b w:val="0"/>
          <w:sz w:val="20"/>
          <w:szCs w:val="20"/>
          <w:lang w:val="hy-AM"/>
        </w:rPr>
        <w:t xml:space="preserve">3. </w:t>
      </w:r>
      <w:r w:rsidRPr="00063D1B">
        <w:rPr>
          <w:rFonts w:cs="Sylfaen"/>
          <w:b w:val="0"/>
          <w:sz w:val="20"/>
          <w:szCs w:val="20"/>
          <w:lang w:val="hy-AM"/>
        </w:rPr>
        <w:t>ռիսկերի հարաբերական հաշվեկշիռը՝ անհամաչափության գործակցի գնահատման նպատակով:</w:t>
      </w:r>
    </w:p>
    <w:p w14:paraId="4F5D3894" w14:textId="77777777" w:rsidR="00EB28B4" w:rsidRPr="00063D1B" w:rsidRDefault="00EB28B4" w:rsidP="00EB28B4">
      <w:pPr>
        <w:pBdr>
          <w:top w:val="single" w:sz="4" w:space="0" w:color="auto"/>
          <w:left w:val="single" w:sz="4" w:space="4" w:color="auto"/>
          <w:bottom w:val="single" w:sz="4" w:space="1" w:color="auto"/>
          <w:right w:val="single" w:sz="4" w:space="4" w:color="auto"/>
        </w:pBdr>
        <w:shd w:val="clear" w:color="auto" w:fill="D9D9D9"/>
        <w:rPr>
          <w:b w:val="0"/>
          <w:sz w:val="20"/>
          <w:szCs w:val="20"/>
          <w:lang w:val="hy-AM"/>
        </w:rPr>
      </w:pPr>
      <w:r w:rsidRPr="00063D1B">
        <w:rPr>
          <w:rFonts w:cs="Sylfaen"/>
          <w:b w:val="0"/>
          <w:sz w:val="20"/>
          <w:szCs w:val="20"/>
          <w:lang w:val="hy-AM"/>
        </w:rPr>
        <w:t>Ունենալով կանխատեսված</w:t>
      </w:r>
      <w:r w:rsidRPr="00063D1B">
        <w:rPr>
          <w:b w:val="0"/>
          <w:sz w:val="20"/>
          <w:szCs w:val="20"/>
          <w:lang w:val="hy-AM"/>
        </w:rPr>
        <w:t xml:space="preserve"> կենտրոնական արժեքները, անորոշության չափը (ցրվածքը) և ռիսկերի հաշվեկշիռը` կառուցվել են իրական ՀՆԱ-ի և հարկերի կանխատեսումների հավանականային բաշխման գրաֆիկները 202</w:t>
      </w:r>
      <w:r w:rsidRPr="00B14DDF">
        <w:rPr>
          <w:b w:val="0"/>
          <w:sz w:val="20"/>
          <w:szCs w:val="20"/>
          <w:lang w:val="hy-AM"/>
        </w:rPr>
        <w:t xml:space="preserve">4 </w:t>
      </w:r>
      <w:r w:rsidRPr="00063D1B">
        <w:rPr>
          <w:b w:val="0"/>
          <w:sz w:val="20"/>
          <w:szCs w:val="20"/>
          <w:lang w:val="hy-AM"/>
        </w:rPr>
        <w:t>թվականի համար (տես` Գծապատկեր 2.1):</w:t>
      </w:r>
    </w:p>
    <w:p w14:paraId="46506F57" w14:textId="77777777" w:rsidR="00EB28B4" w:rsidRPr="007D050F" w:rsidRDefault="00EB28B4" w:rsidP="00EB28B4">
      <w:pPr>
        <w:pBdr>
          <w:top w:val="single" w:sz="4" w:space="0" w:color="auto"/>
          <w:left w:val="single" w:sz="4" w:space="4" w:color="auto"/>
          <w:bottom w:val="single" w:sz="4" w:space="1" w:color="auto"/>
          <w:right w:val="single" w:sz="4" w:space="4" w:color="auto"/>
        </w:pBdr>
        <w:shd w:val="clear" w:color="auto" w:fill="D9D9D9"/>
        <w:rPr>
          <w:b w:val="0"/>
          <w:sz w:val="20"/>
          <w:szCs w:val="20"/>
          <w:lang w:val="hy-AM"/>
        </w:rPr>
      </w:pPr>
      <w:r w:rsidRPr="00063D1B">
        <w:rPr>
          <w:rFonts w:cs="Sylfaen"/>
          <w:b w:val="0"/>
          <w:sz w:val="20"/>
          <w:szCs w:val="20"/>
          <w:lang w:val="hy-AM"/>
        </w:rPr>
        <w:t>ՀՆԱ-ի և հարկերի կանխատեսման գծապատկերներում կենտրոնական մուգ</w:t>
      </w:r>
      <w:r w:rsidRPr="00063D1B">
        <w:rPr>
          <w:b w:val="0"/>
          <w:sz w:val="20"/>
          <w:szCs w:val="20"/>
          <w:lang w:val="hy-AM"/>
        </w:rPr>
        <w:t xml:space="preserve"> (</w:t>
      </w:r>
      <w:r w:rsidRPr="00063D1B">
        <w:rPr>
          <w:rFonts w:cs="Sylfaen"/>
          <w:b w:val="0"/>
          <w:sz w:val="20"/>
          <w:szCs w:val="20"/>
          <w:lang w:val="hy-AM"/>
        </w:rPr>
        <w:t>կարմիր)</w:t>
      </w:r>
      <w:r w:rsidRPr="00063D1B">
        <w:rPr>
          <w:b w:val="0"/>
          <w:sz w:val="20"/>
          <w:szCs w:val="20"/>
          <w:lang w:val="hy-AM"/>
        </w:rPr>
        <w:t xml:space="preserve"> ավելի նեղ </w:t>
      </w:r>
      <w:r w:rsidRPr="00063D1B">
        <w:rPr>
          <w:rFonts w:cs="Sylfaen"/>
          <w:b w:val="0"/>
          <w:sz w:val="20"/>
          <w:szCs w:val="20"/>
          <w:lang w:val="hy-AM"/>
        </w:rPr>
        <w:t>միջակայքը ներառում է նաև</w:t>
      </w:r>
      <w:r w:rsidRPr="00063D1B">
        <w:rPr>
          <w:b w:val="0"/>
          <w:sz w:val="20"/>
          <w:szCs w:val="20"/>
          <w:lang w:val="hy-AM"/>
        </w:rPr>
        <w:t xml:space="preserve"> կանխատեսման </w:t>
      </w:r>
      <w:r w:rsidRPr="00063D1B">
        <w:rPr>
          <w:rFonts w:cs="Sylfaen"/>
          <w:b w:val="0"/>
          <w:sz w:val="20"/>
          <w:szCs w:val="20"/>
          <w:lang w:val="hy-AM"/>
        </w:rPr>
        <w:t>կենտրոնական սցենարը</w:t>
      </w:r>
      <w:r w:rsidRPr="00063D1B">
        <w:rPr>
          <w:b w:val="0"/>
          <w:sz w:val="20"/>
          <w:szCs w:val="20"/>
          <w:lang w:val="hy-AM"/>
        </w:rPr>
        <w:t xml:space="preserve"> (</w:t>
      </w:r>
      <w:r w:rsidRPr="00063D1B">
        <w:rPr>
          <w:rFonts w:cs="Sylfaen"/>
          <w:b w:val="0"/>
          <w:sz w:val="20"/>
          <w:szCs w:val="20"/>
          <w:lang w:val="hy-AM"/>
        </w:rPr>
        <w:t>կանխատեսված արժեքները</w:t>
      </w:r>
      <w:r w:rsidRPr="00063D1B">
        <w:rPr>
          <w:b w:val="0"/>
          <w:sz w:val="20"/>
          <w:szCs w:val="20"/>
          <w:lang w:val="hy-AM"/>
        </w:rPr>
        <w:t xml:space="preserve">): Որքան հավանականային կանխատեսումները հեռանում են կենտրոնական սցենարից, այնքան ավելի ցածր է դառնում դրանց իրագործման հավանականությունը, ինչը գծապատկերում արտահայտվում է ավելի թույլ գունավորմամբ: Ներկայացված բաշխումը սիմետրիկ չէ, քանի որ ապագայի համար առկա են տնտեսական աճի և հարկերի կենտրոնական կանխատեսումից ավելի ցածր </w:t>
      </w:r>
      <w:r w:rsidRPr="007D050F">
        <w:rPr>
          <w:b w:val="0"/>
          <w:sz w:val="20"/>
          <w:szCs w:val="20"/>
          <w:lang w:val="hy-AM"/>
        </w:rPr>
        <w:t>մակարդակների ձևավորման ռիսկեր:</w:t>
      </w:r>
    </w:p>
    <w:p w14:paraId="16CC33D3" w14:textId="77777777" w:rsidR="00EB28B4" w:rsidRPr="007955BB" w:rsidRDefault="00EB28B4" w:rsidP="00EB28B4">
      <w:pPr>
        <w:rPr>
          <w:sz w:val="24"/>
          <w:lang w:val="hy-AM"/>
        </w:rPr>
      </w:pPr>
      <w:r w:rsidRPr="007D050F">
        <w:rPr>
          <w:sz w:val="24"/>
          <w:lang w:val="hy-AM"/>
        </w:rPr>
        <w:t xml:space="preserve">2.2. </w:t>
      </w:r>
      <w:r w:rsidRPr="0053749A">
        <w:rPr>
          <w:sz w:val="24"/>
          <w:lang w:val="hy-AM"/>
        </w:rPr>
        <w:t>Պետական բյուջեի վրա մակրոտնտեսական ցուցանիշների կանխատեսվածից շեղման</w:t>
      </w:r>
      <w:r w:rsidRPr="007955BB">
        <w:rPr>
          <w:sz w:val="24"/>
          <w:lang w:val="hy-AM"/>
        </w:rPr>
        <w:t xml:space="preserve"> ռիսկերի ազդեցության ընդհանուր գնահատականը և դրանց մեղմման հնարավորությունները</w:t>
      </w:r>
    </w:p>
    <w:p w14:paraId="32ECE99D" w14:textId="77777777" w:rsidR="00EB28B4" w:rsidRPr="007955BB" w:rsidRDefault="00EB28B4" w:rsidP="00EB28B4">
      <w:pPr>
        <w:rPr>
          <w:rFonts w:cs="Sylfaen"/>
          <w:b w:val="0"/>
          <w:lang w:val="hy-AM"/>
        </w:rPr>
      </w:pPr>
      <w:r w:rsidRPr="007955BB">
        <w:rPr>
          <w:rFonts w:cs="Sylfaen"/>
          <w:b w:val="0"/>
          <w:lang w:val="hy-AM"/>
        </w:rPr>
        <w:t>Կանխատեսումներում մեծ ուշադրություն է դարձվում նաև պետական բյուջեի ծախսերի պլանավորված մակարդակների ապահովումը խաթարող ռիսկերին, որոնք կարող են հանգեցնել լրացուցիչ ֆինանսավորման պահանջի առաջացման:</w:t>
      </w:r>
    </w:p>
    <w:p w14:paraId="45CAFC35" w14:textId="11D78709" w:rsidR="00EB28B4" w:rsidRPr="00EB28B4" w:rsidRDefault="00EB28B4" w:rsidP="00EB28B4">
      <w:pPr>
        <w:pStyle w:val="Caption"/>
        <w:spacing w:after="120" w:line="240" w:lineRule="auto"/>
        <w:rPr>
          <w:rFonts w:eastAsia="Calibri" w:cs="Sylfaen"/>
          <w:bCs w:val="0"/>
          <w:iCs/>
          <w:color w:val="auto"/>
          <w:sz w:val="22"/>
          <w:szCs w:val="22"/>
          <w:lang w:val="hy-AM" w:eastAsia="en-US"/>
        </w:rPr>
      </w:pPr>
      <w:bookmarkStart w:id="137" w:name="_Toc83928957"/>
      <w:bookmarkStart w:id="138" w:name="_Toc115686972"/>
      <w:r w:rsidRPr="001F2522">
        <w:rPr>
          <w:rFonts w:eastAsia="Calibri" w:cs="Sylfaen"/>
          <w:b/>
          <w:i/>
          <w:color w:val="auto"/>
          <w:sz w:val="22"/>
          <w:szCs w:val="22"/>
          <w:lang w:val="hy-AM" w:eastAsia="en-US"/>
        </w:rPr>
        <w:t xml:space="preserve">Աղյուսակ </w:t>
      </w:r>
      <w:r>
        <w:rPr>
          <w:rFonts w:eastAsia="Calibri" w:cs="Sylfaen"/>
          <w:b/>
          <w:i/>
          <w:color w:val="auto"/>
          <w:sz w:val="22"/>
          <w:szCs w:val="22"/>
          <w:lang w:val="hy-AM" w:eastAsia="en-US"/>
        </w:rPr>
        <w:t>2.4</w:t>
      </w:r>
      <w:r w:rsidRPr="001F2522">
        <w:rPr>
          <w:rFonts w:eastAsia="Calibri" w:cs="Sylfaen"/>
          <w:b/>
          <w:i/>
          <w:color w:val="auto"/>
          <w:sz w:val="22"/>
          <w:szCs w:val="22"/>
          <w:lang w:val="hy-AM" w:eastAsia="en-US"/>
        </w:rPr>
        <w:t>.</w:t>
      </w:r>
      <w:r w:rsidRPr="007955BB">
        <w:rPr>
          <w:lang w:val="hy-AM"/>
        </w:rPr>
        <w:t xml:space="preserve"> </w:t>
      </w:r>
      <w:r w:rsidRPr="00EB28B4">
        <w:rPr>
          <w:rFonts w:eastAsia="Calibri" w:cs="Sylfaen"/>
          <w:bCs w:val="0"/>
          <w:iCs/>
          <w:color w:val="auto"/>
          <w:sz w:val="22"/>
          <w:szCs w:val="22"/>
          <w:lang w:val="hy-AM" w:eastAsia="en-US"/>
        </w:rPr>
        <w:t>ՀՀ պետական բյուջեի հարկային եկամուտների և ծախսերի, ինչպես նաև այլ հոսքերի գծով ռիսկերի ընդհանուր ազդեցությունը</w:t>
      </w:r>
      <w:r w:rsidRPr="00EB28B4">
        <w:rPr>
          <w:rFonts w:eastAsia="Calibri" w:cs="Sylfaen"/>
          <w:bCs w:val="0"/>
          <w:iCs/>
          <w:color w:val="auto"/>
          <w:sz w:val="22"/>
          <w:szCs w:val="22"/>
          <w:lang w:val="hy-AM" w:eastAsia="en-US"/>
        </w:rPr>
        <w:footnoteReference w:id="31"/>
      </w:r>
      <w:r w:rsidRPr="00EB28B4">
        <w:rPr>
          <w:rFonts w:eastAsia="Calibri" w:cs="Sylfaen"/>
          <w:bCs w:val="0"/>
          <w:iCs/>
          <w:color w:val="auto"/>
          <w:sz w:val="22"/>
          <w:szCs w:val="22"/>
          <w:lang w:val="hy-AM" w:eastAsia="en-US"/>
        </w:rPr>
        <w:t>. (ֆինանսավորման պահանջ` - պահանջի մեծացում, + պահանջի նվազում), մլրդ ՀՀ դրամ</w:t>
      </w:r>
      <w:bookmarkEnd w:id="137"/>
      <w:bookmarkEnd w:id="138"/>
      <w:r w:rsidRPr="00EB28B4">
        <w:rPr>
          <w:rFonts w:eastAsia="Calibri" w:cs="Sylfaen"/>
          <w:bCs w:val="0"/>
          <w:iCs/>
          <w:color w:val="auto"/>
          <w:sz w:val="22"/>
          <w:szCs w:val="22"/>
          <w:lang w:val="hy-AM" w:eastAsia="en-US"/>
        </w:rPr>
        <w:t xml:space="preserve"> </w:t>
      </w:r>
    </w:p>
    <w:tbl>
      <w:tblPr>
        <w:tblW w:w="8140" w:type="dxa"/>
        <w:tblBorders>
          <w:bottom w:val="single" w:sz="4" w:space="0" w:color="auto"/>
        </w:tblBorders>
        <w:tblLook w:val="04A0" w:firstRow="1" w:lastRow="0" w:firstColumn="1" w:lastColumn="0" w:noHBand="0" w:noVBand="1"/>
      </w:tblPr>
      <w:tblGrid>
        <w:gridCol w:w="5260"/>
        <w:gridCol w:w="2880"/>
      </w:tblGrid>
      <w:tr w:rsidR="00EB28B4" w:rsidRPr="00324B27" w14:paraId="140E79A2" w14:textId="77777777" w:rsidTr="00E94C66">
        <w:trPr>
          <w:trHeight w:val="705"/>
        </w:trPr>
        <w:tc>
          <w:tcPr>
            <w:tcW w:w="5260" w:type="dxa"/>
            <w:vMerge w:val="restart"/>
            <w:tcBorders>
              <w:bottom w:val="single" w:sz="4" w:space="0" w:color="auto"/>
            </w:tcBorders>
            <w:shd w:val="clear" w:color="auto" w:fill="auto"/>
            <w:vAlign w:val="center"/>
            <w:hideMark/>
          </w:tcPr>
          <w:p w14:paraId="75592E99" w14:textId="77777777" w:rsidR="00EB28B4" w:rsidRPr="00324B27" w:rsidRDefault="00EB28B4" w:rsidP="00E94C66">
            <w:pPr>
              <w:spacing w:before="0" w:line="240" w:lineRule="auto"/>
              <w:jc w:val="center"/>
              <w:rPr>
                <w:b w:val="0"/>
                <w:bCs/>
                <w:sz w:val="18"/>
                <w:szCs w:val="18"/>
                <w:lang w:val="en-US" w:eastAsia="en-US"/>
              </w:rPr>
            </w:pPr>
            <w:r w:rsidRPr="00324B27">
              <w:rPr>
                <w:b w:val="0"/>
                <w:bCs/>
                <w:sz w:val="18"/>
                <w:szCs w:val="18"/>
                <w:lang w:val="en-US" w:eastAsia="en-US"/>
              </w:rPr>
              <w:t>Մակրոտնտեսական ցուցանիշների կանխատեսվող ռիսկեր</w:t>
            </w:r>
          </w:p>
        </w:tc>
        <w:tc>
          <w:tcPr>
            <w:tcW w:w="2880" w:type="dxa"/>
            <w:vMerge w:val="restart"/>
            <w:tcBorders>
              <w:bottom w:val="single" w:sz="4" w:space="0" w:color="auto"/>
            </w:tcBorders>
            <w:shd w:val="clear" w:color="auto" w:fill="auto"/>
            <w:vAlign w:val="center"/>
            <w:hideMark/>
          </w:tcPr>
          <w:p w14:paraId="795D86EF" w14:textId="77777777" w:rsidR="00EB28B4" w:rsidRPr="00324B27" w:rsidRDefault="00EB28B4" w:rsidP="00E94C66">
            <w:pPr>
              <w:spacing w:before="0" w:line="240" w:lineRule="auto"/>
              <w:jc w:val="center"/>
              <w:rPr>
                <w:b w:val="0"/>
                <w:bCs/>
                <w:sz w:val="18"/>
                <w:szCs w:val="18"/>
                <w:lang w:val="en-US" w:eastAsia="en-US"/>
              </w:rPr>
            </w:pPr>
            <w:r w:rsidRPr="00324B27">
              <w:rPr>
                <w:b w:val="0"/>
                <w:bCs/>
                <w:sz w:val="18"/>
                <w:szCs w:val="18"/>
                <w:lang w:val="en-US" w:eastAsia="en-US"/>
              </w:rPr>
              <w:t>2024</w:t>
            </w:r>
          </w:p>
        </w:tc>
      </w:tr>
      <w:tr w:rsidR="00EB28B4" w:rsidRPr="00324B27" w14:paraId="15480A08" w14:textId="77777777" w:rsidTr="00E94C66">
        <w:trPr>
          <w:trHeight w:val="467"/>
        </w:trPr>
        <w:tc>
          <w:tcPr>
            <w:tcW w:w="5260" w:type="dxa"/>
            <w:vMerge/>
            <w:tcBorders>
              <w:bottom w:val="single" w:sz="4" w:space="0" w:color="auto"/>
            </w:tcBorders>
            <w:shd w:val="clear" w:color="auto" w:fill="auto"/>
            <w:vAlign w:val="center"/>
            <w:hideMark/>
          </w:tcPr>
          <w:p w14:paraId="0A5D0A9B" w14:textId="77777777" w:rsidR="00EB28B4" w:rsidRPr="00324B27" w:rsidRDefault="00EB28B4" w:rsidP="00E94C66">
            <w:pPr>
              <w:spacing w:before="0" w:line="240" w:lineRule="auto"/>
              <w:jc w:val="left"/>
              <w:rPr>
                <w:b w:val="0"/>
                <w:bCs/>
                <w:sz w:val="18"/>
                <w:szCs w:val="18"/>
                <w:lang w:val="en-US" w:eastAsia="en-US"/>
              </w:rPr>
            </w:pPr>
          </w:p>
        </w:tc>
        <w:tc>
          <w:tcPr>
            <w:tcW w:w="2880" w:type="dxa"/>
            <w:vMerge/>
            <w:tcBorders>
              <w:bottom w:val="single" w:sz="4" w:space="0" w:color="auto"/>
            </w:tcBorders>
            <w:shd w:val="clear" w:color="auto" w:fill="auto"/>
            <w:vAlign w:val="center"/>
            <w:hideMark/>
          </w:tcPr>
          <w:p w14:paraId="2E6C8C1D" w14:textId="77777777" w:rsidR="00EB28B4" w:rsidRPr="00324B27" w:rsidRDefault="00EB28B4" w:rsidP="00E94C66">
            <w:pPr>
              <w:spacing w:before="0" w:line="240" w:lineRule="auto"/>
              <w:jc w:val="left"/>
              <w:rPr>
                <w:b w:val="0"/>
                <w:bCs/>
                <w:sz w:val="18"/>
                <w:szCs w:val="18"/>
                <w:lang w:val="en-US" w:eastAsia="en-US"/>
              </w:rPr>
            </w:pPr>
          </w:p>
        </w:tc>
      </w:tr>
      <w:tr w:rsidR="00EB28B4" w:rsidRPr="00324B27" w14:paraId="25A657B7" w14:textId="77777777" w:rsidTr="00E94C66">
        <w:trPr>
          <w:trHeight w:val="660"/>
        </w:trPr>
        <w:tc>
          <w:tcPr>
            <w:tcW w:w="5260" w:type="dxa"/>
            <w:tcBorders>
              <w:top w:val="single" w:sz="4" w:space="0" w:color="auto"/>
            </w:tcBorders>
            <w:shd w:val="clear" w:color="auto" w:fill="auto"/>
            <w:vAlign w:val="center"/>
            <w:hideMark/>
          </w:tcPr>
          <w:p w14:paraId="07B5920D" w14:textId="77777777" w:rsidR="00EB28B4" w:rsidRPr="00324B27" w:rsidRDefault="00EB28B4" w:rsidP="00E94C66">
            <w:pPr>
              <w:spacing w:before="0" w:line="240" w:lineRule="auto"/>
              <w:jc w:val="left"/>
              <w:rPr>
                <w:b w:val="0"/>
                <w:sz w:val="18"/>
                <w:szCs w:val="18"/>
                <w:lang w:eastAsia="en-US"/>
              </w:rPr>
            </w:pPr>
            <w:r w:rsidRPr="00324B27">
              <w:rPr>
                <w:b w:val="0"/>
                <w:sz w:val="18"/>
                <w:szCs w:val="18"/>
                <w:lang w:eastAsia="en-US"/>
              </w:rPr>
              <w:t xml:space="preserve">1. </w:t>
            </w:r>
            <w:r w:rsidRPr="00324B27">
              <w:rPr>
                <w:b w:val="0"/>
                <w:sz w:val="18"/>
                <w:szCs w:val="18"/>
                <w:lang w:val="en-US" w:eastAsia="en-US"/>
              </w:rPr>
              <w:t>Կանխատեսվածից</w:t>
            </w:r>
            <w:r w:rsidRPr="00324B27">
              <w:rPr>
                <w:b w:val="0"/>
                <w:sz w:val="18"/>
                <w:szCs w:val="18"/>
                <w:lang w:eastAsia="en-US"/>
              </w:rPr>
              <w:t xml:space="preserve"> </w:t>
            </w:r>
            <w:r w:rsidRPr="00324B27">
              <w:rPr>
                <w:b w:val="0"/>
                <w:sz w:val="18"/>
                <w:szCs w:val="18"/>
                <w:lang w:val="en-US" w:eastAsia="en-US"/>
              </w:rPr>
              <w:t>ավելի</w:t>
            </w:r>
            <w:r w:rsidRPr="00324B27">
              <w:rPr>
                <w:b w:val="0"/>
                <w:sz w:val="18"/>
                <w:szCs w:val="18"/>
                <w:lang w:eastAsia="en-US"/>
              </w:rPr>
              <w:t xml:space="preserve"> </w:t>
            </w:r>
            <w:r w:rsidRPr="00324B27">
              <w:rPr>
                <w:b w:val="0"/>
                <w:sz w:val="18"/>
                <w:szCs w:val="18"/>
                <w:lang w:val="en-US" w:eastAsia="en-US"/>
              </w:rPr>
              <w:t>ցածր</w:t>
            </w:r>
            <w:r w:rsidRPr="00324B27">
              <w:rPr>
                <w:b w:val="0"/>
                <w:sz w:val="18"/>
                <w:szCs w:val="18"/>
                <w:lang w:eastAsia="en-US"/>
              </w:rPr>
              <w:t xml:space="preserve"> </w:t>
            </w:r>
            <w:r w:rsidRPr="00324B27">
              <w:rPr>
                <w:b w:val="0"/>
                <w:sz w:val="18"/>
                <w:szCs w:val="18"/>
                <w:lang w:val="en-US" w:eastAsia="en-US"/>
              </w:rPr>
              <w:t>իրական</w:t>
            </w:r>
            <w:r w:rsidRPr="00324B27">
              <w:rPr>
                <w:b w:val="0"/>
                <w:sz w:val="18"/>
                <w:szCs w:val="18"/>
                <w:lang w:eastAsia="en-US"/>
              </w:rPr>
              <w:t xml:space="preserve"> </w:t>
            </w:r>
            <w:r w:rsidRPr="00324B27">
              <w:rPr>
                <w:b w:val="0"/>
                <w:sz w:val="18"/>
                <w:szCs w:val="18"/>
                <w:lang w:val="en-US" w:eastAsia="en-US"/>
              </w:rPr>
              <w:t>ՀՆԱ</w:t>
            </w:r>
            <w:r w:rsidRPr="00324B27">
              <w:rPr>
                <w:b w:val="0"/>
                <w:sz w:val="18"/>
                <w:szCs w:val="18"/>
                <w:lang w:eastAsia="en-US"/>
              </w:rPr>
              <w:t>-</w:t>
            </w:r>
            <w:r w:rsidRPr="00324B27">
              <w:rPr>
                <w:b w:val="0"/>
                <w:sz w:val="18"/>
                <w:szCs w:val="18"/>
                <w:lang w:val="en-US" w:eastAsia="en-US"/>
              </w:rPr>
              <w:t>ի</w:t>
            </w:r>
            <w:r w:rsidRPr="00324B27">
              <w:rPr>
                <w:b w:val="0"/>
                <w:sz w:val="18"/>
                <w:szCs w:val="18"/>
                <w:lang w:eastAsia="en-US"/>
              </w:rPr>
              <w:t xml:space="preserve"> </w:t>
            </w:r>
            <w:r w:rsidRPr="00324B27">
              <w:rPr>
                <w:b w:val="0"/>
                <w:sz w:val="18"/>
                <w:szCs w:val="18"/>
                <w:lang w:val="en-US" w:eastAsia="en-US"/>
              </w:rPr>
              <w:t>աճ</w:t>
            </w:r>
            <w:r w:rsidRPr="00324B27">
              <w:rPr>
                <w:b w:val="0"/>
                <w:sz w:val="18"/>
                <w:szCs w:val="18"/>
                <w:lang w:eastAsia="en-US"/>
              </w:rPr>
              <w:t xml:space="preserve">, 3.4 </w:t>
            </w:r>
            <w:r w:rsidRPr="00324B27">
              <w:rPr>
                <w:b w:val="0"/>
                <w:sz w:val="18"/>
                <w:szCs w:val="18"/>
                <w:lang w:val="en-US" w:eastAsia="en-US"/>
              </w:rPr>
              <w:t>տոկոսային</w:t>
            </w:r>
            <w:r w:rsidRPr="00324B27">
              <w:rPr>
                <w:b w:val="0"/>
                <w:sz w:val="18"/>
                <w:szCs w:val="18"/>
                <w:lang w:eastAsia="en-US"/>
              </w:rPr>
              <w:t xml:space="preserve"> </w:t>
            </w:r>
            <w:r w:rsidRPr="00324B27">
              <w:rPr>
                <w:b w:val="0"/>
                <w:sz w:val="18"/>
                <w:szCs w:val="18"/>
                <w:lang w:val="en-US" w:eastAsia="en-US"/>
              </w:rPr>
              <w:t>կետ</w:t>
            </w:r>
          </w:p>
        </w:tc>
        <w:tc>
          <w:tcPr>
            <w:tcW w:w="2880" w:type="dxa"/>
            <w:tcBorders>
              <w:top w:val="single" w:sz="4" w:space="0" w:color="auto"/>
            </w:tcBorders>
            <w:shd w:val="clear" w:color="auto" w:fill="auto"/>
            <w:vAlign w:val="center"/>
            <w:hideMark/>
          </w:tcPr>
          <w:p w14:paraId="5BB0B897" w14:textId="77777777" w:rsidR="00EB28B4" w:rsidRPr="00324B27" w:rsidRDefault="00EB28B4" w:rsidP="00E94C66">
            <w:pPr>
              <w:spacing w:before="0" w:line="240" w:lineRule="auto"/>
              <w:jc w:val="center"/>
              <w:rPr>
                <w:b w:val="0"/>
                <w:sz w:val="18"/>
                <w:szCs w:val="18"/>
                <w:lang w:val="en-US" w:eastAsia="en-US"/>
              </w:rPr>
            </w:pPr>
            <w:r w:rsidRPr="00324B27">
              <w:rPr>
                <w:b w:val="0"/>
                <w:sz w:val="18"/>
                <w:szCs w:val="18"/>
                <w:lang w:val="en-US" w:eastAsia="en-US"/>
              </w:rPr>
              <w:t>-28.7</w:t>
            </w:r>
          </w:p>
        </w:tc>
      </w:tr>
      <w:tr w:rsidR="00EB28B4" w:rsidRPr="00324B27" w14:paraId="60B6E6A9" w14:textId="77777777" w:rsidTr="00E94C66">
        <w:trPr>
          <w:trHeight w:val="330"/>
        </w:trPr>
        <w:tc>
          <w:tcPr>
            <w:tcW w:w="5260" w:type="dxa"/>
            <w:shd w:val="clear" w:color="auto" w:fill="auto"/>
            <w:vAlign w:val="center"/>
            <w:hideMark/>
          </w:tcPr>
          <w:p w14:paraId="797FDFAB" w14:textId="77777777" w:rsidR="00EB28B4" w:rsidRPr="00324B27" w:rsidRDefault="00EB28B4" w:rsidP="00E94C66">
            <w:pPr>
              <w:spacing w:before="0" w:line="240" w:lineRule="auto"/>
              <w:jc w:val="left"/>
              <w:rPr>
                <w:b w:val="0"/>
                <w:sz w:val="18"/>
                <w:szCs w:val="18"/>
                <w:lang w:eastAsia="en-US"/>
              </w:rPr>
            </w:pPr>
            <w:r w:rsidRPr="00324B27">
              <w:rPr>
                <w:b w:val="0"/>
                <w:sz w:val="18"/>
                <w:szCs w:val="18"/>
                <w:lang w:eastAsia="en-US"/>
              </w:rPr>
              <w:t xml:space="preserve">2. </w:t>
            </w:r>
            <w:r w:rsidRPr="00324B27">
              <w:rPr>
                <w:b w:val="0"/>
                <w:sz w:val="18"/>
                <w:szCs w:val="18"/>
                <w:lang w:val="en-US" w:eastAsia="en-US"/>
              </w:rPr>
              <w:t>Ավելի</w:t>
            </w:r>
            <w:r w:rsidRPr="00324B27">
              <w:rPr>
                <w:b w:val="0"/>
                <w:sz w:val="18"/>
                <w:szCs w:val="18"/>
                <w:lang w:eastAsia="en-US"/>
              </w:rPr>
              <w:t xml:space="preserve"> </w:t>
            </w:r>
            <w:r w:rsidRPr="00324B27">
              <w:rPr>
                <w:b w:val="0"/>
                <w:sz w:val="18"/>
                <w:szCs w:val="18"/>
                <w:lang w:val="en-US" w:eastAsia="en-US"/>
              </w:rPr>
              <w:t>ցածր</w:t>
            </w:r>
            <w:r w:rsidRPr="00324B27">
              <w:rPr>
                <w:b w:val="0"/>
                <w:sz w:val="18"/>
                <w:szCs w:val="18"/>
                <w:lang w:eastAsia="en-US"/>
              </w:rPr>
              <w:t xml:space="preserve"> </w:t>
            </w:r>
            <w:r w:rsidRPr="00324B27">
              <w:rPr>
                <w:b w:val="0"/>
                <w:sz w:val="18"/>
                <w:szCs w:val="18"/>
                <w:lang w:val="en-US" w:eastAsia="en-US"/>
              </w:rPr>
              <w:t>գնաճի</w:t>
            </w:r>
            <w:r w:rsidRPr="00324B27">
              <w:rPr>
                <w:b w:val="0"/>
                <w:sz w:val="18"/>
                <w:szCs w:val="18"/>
                <w:lang w:eastAsia="en-US"/>
              </w:rPr>
              <w:t xml:space="preserve"> </w:t>
            </w:r>
            <w:r w:rsidRPr="00324B27">
              <w:rPr>
                <w:b w:val="0"/>
                <w:sz w:val="18"/>
                <w:szCs w:val="18"/>
                <w:lang w:val="en-US" w:eastAsia="en-US"/>
              </w:rPr>
              <w:t>ռիսկ</w:t>
            </w:r>
            <w:r w:rsidRPr="00324B27">
              <w:rPr>
                <w:b w:val="0"/>
                <w:sz w:val="18"/>
                <w:szCs w:val="18"/>
                <w:lang w:eastAsia="en-US"/>
              </w:rPr>
              <w:t xml:space="preserve">, 1.5 </w:t>
            </w:r>
            <w:r w:rsidRPr="00324B27">
              <w:rPr>
                <w:b w:val="0"/>
                <w:sz w:val="18"/>
                <w:szCs w:val="18"/>
                <w:lang w:val="en-US" w:eastAsia="en-US"/>
              </w:rPr>
              <w:t>տոկոսային</w:t>
            </w:r>
            <w:r w:rsidRPr="00324B27">
              <w:rPr>
                <w:b w:val="0"/>
                <w:sz w:val="18"/>
                <w:szCs w:val="18"/>
                <w:lang w:eastAsia="en-US"/>
              </w:rPr>
              <w:t xml:space="preserve"> </w:t>
            </w:r>
            <w:r w:rsidRPr="00324B27">
              <w:rPr>
                <w:b w:val="0"/>
                <w:sz w:val="18"/>
                <w:szCs w:val="18"/>
                <w:lang w:val="en-US" w:eastAsia="en-US"/>
              </w:rPr>
              <w:t>կետ</w:t>
            </w:r>
            <w:r w:rsidRPr="00324B27">
              <w:rPr>
                <w:b w:val="0"/>
                <w:sz w:val="18"/>
                <w:szCs w:val="18"/>
                <w:lang w:eastAsia="en-US"/>
              </w:rPr>
              <w:t xml:space="preserve"> </w:t>
            </w:r>
          </w:p>
        </w:tc>
        <w:tc>
          <w:tcPr>
            <w:tcW w:w="2880" w:type="dxa"/>
            <w:shd w:val="clear" w:color="auto" w:fill="auto"/>
            <w:vAlign w:val="center"/>
            <w:hideMark/>
          </w:tcPr>
          <w:p w14:paraId="39B49B4F" w14:textId="77777777" w:rsidR="00EB28B4" w:rsidRPr="00324B27" w:rsidRDefault="00EB28B4" w:rsidP="00E94C66">
            <w:pPr>
              <w:spacing w:before="0" w:line="240" w:lineRule="auto"/>
              <w:jc w:val="center"/>
              <w:rPr>
                <w:b w:val="0"/>
                <w:sz w:val="18"/>
                <w:szCs w:val="18"/>
                <w:lang w:val="hy-AM" w:eastAsia="en-US"/>
              </w:rPr>
            </w:pPr>
            <w:r w:rsidRPr="00324B27">
              <w:rPr>
                <w:b w:val="0"/>
                <w:sz w:val="18"/>
                <w:szCs w:val="18"/>
                <w:lang w:val="en-US" w:eastAsia="en-US"/>
              </w:rPr>
              <w:t>8.</w:t>
            </w:r>
            <w:r w:rsidRPr="00324B27">
              <w:rPr>
                <w:b w:val="0"/>
                <w:sz w:val="18"/>
                <w:szCs w:val="18"/>
                <w:lang w:val="hy-AM" w:eastAsia="en-US"/>
              </w:rPr>
              <w:t>7</w:t>
            </w:r>
          </w:p>
        </w:tc>
      </w:tr>
      <w:tr w:rsidR="00EB28B4" w:rsidRPr="00324B27" w14:paraId="012A05FB" w14:textId="77777777" w:rsidTr="00E94C66">
        <w:trPr>
          <w:trHeight w:val="330"/>
        </w:trPr>
        <w:tc>
          <w:tcPr>
            <w:tcW w:w="5260" w:type="dxa"/>
            <w:shd w:val="clear" w:color="auto" w:fill="auto"/>
            <w:vAlign w:val="center"/>
            <w:hideMark/>
          </w:tcPr>
          <w:p w14:paraId="63BBCDBD" w14:textId="77777777" w:rsidR="00EB28B4" w:rsidRPr="00324B27" w:rsidRDefault="00EB28B4" w:rsidP="00E94C66">
            <w:pPr>
              <w:spacing w:before="0" w:line="240" w:lineRule="auto"/>
              <w:jc w:val="left"/>
              <w:rPr>
                <w:b w:val="0"/>
                <w:sz w:val="18"/>
                <w:szCs w:val="18"/>
                <w:lang w:val="en-US" w:eastAsia="en-US"/>
              </w:rPr>
            </w:pPr>
            <w:r w:rsidRPr="00324B27">
              <w:rPr>
                <w:b w:val="0"/>
                <w:sz w:val="18"/>
                <w:szCs w:val="18"/>
                <w:lang w:val="en-US" w:eastAsia="en-US"/>
              </w:rPr>
              <w:lastRenderedPageBreak/>
              <w:t>3. Փոխարժեքի 4.6 տոկոս արժեզրկման ռիսկ</w:t>
            </w:r>
          </w:p>
        </w:tc>
        <w:tc>
          <w:tcPr>
            <w:tcW w:w="2880" w:type="dxa"/>
            <w:shd w:val="clear" w:color="auto" w:fill="auto"/>
            <w:vAlign w:val="center"/>
            <w:hideMark/>
          </w:tcPr>
          <w:p w14:paraId="36D0BE87" w14:textId="77777777" w:rsidR="00EB28B4" w:rsidRPr="00324B27" w:rsidRDefault="00EB28B4" w:rsidP="00E94C66">
            <w:pPr>
              <w:spacing w:before="0" w:line="240" w:lineRule="auto"/>
              <w:jc w:val="center"/>
              <w:rPr>
                <w:b w:val="0"/>
                <w:sz w:val="18"/>
                <w:szCs w:val="18"/>
                <w:lang w:val="hy-AM" w:eastAsia="en-US"/>
              </w:rPr>
            </w:pPr>
            <w:r w:rsidRPr="00324B27">
              <w:rPr>
                <w:b w:val="0"/>
                <w:sz w:val="18"/>
                <w:szCs w:val="18"/>
                <w:lang w:val="hy-AM" w:eastAsia="en-US"/>
              </w:rPr>
              <w:t>11</w:t>
            </w:r>
            <w:r w:rsidRPr="00324B27">
              <w:rPr>
                <w:rFonts w:ascii="Cambria Math" w:hAnsi="Cambria Math" w:cs="Cambria Math"/>
                <w:b w:val="0"/>
                <w:sz w:val="18"/>
                <w:szCs w:val="18"/>
                <w:lang w:val="hy-AM" w:eastAsia="en-US"/>
              </w:rPr>
              <w:t>․</w:t>
            </w:r>
            <w:r w:rsidRPr="00324B27">
              <w:rPr>
                <w:b w:val="0"/>
                <w:sz w:val="18"/>
                <w:szCs w:val="18"/>
                <w:lang w:val="hy-AM" w:eastAsia="en-US"/>
              </w:rPr>
              <w:t>9</w:t>
            </w:r>
          </w:p>
        </w:tc>
      </w:tr>
      <w:tr w:rsidR="00EB28B4" w:rsidRPr="00324B27" w14:paraId="691AF4E7" w14:textId="77777777" w:rsidTr="00E94C66">
        <w:trPr>
          <w:trHeight w:val="660"/>
        </w:trPr>
        <w:tc>
          <w:tcPr>
            <w:tcW w:w="5260" w:type="dxa"/>
            <w:shd w:val="clear" w:color="auto" w:fill="auto"/>
            <w:vAlign w:val="center"/>
            <w:hideMark/>
          </w:tcPr>
          <w:p w14:paraId="443425DB" w14:textId="77777777" w:rsidR="00EB28B4" w:rsidRPr="00324B27" w:rsidRDefault="00EB28B4" w:rsidP="00E94C66">
            <w:pPr>
              <w:spacing w:before="0" w:line="240" w:lineRule="auto"/>
              <w:jc w:val="left"/>
              <w:rPr>
                <w:b w:val="0"/>
                <w:sz w:val="18"/>
                <w:szCs w:val="18"/>
                <w:lang w:eastAsia="en-US"/>
              </w:rPr>
            </w:pPr>
            <w:r w:rsidRPr="00324B27">
              <w:rPr>
                <w:b w:val="0"/>
                <w:sz w:val="18"/>
                <w:szCs w:val="18"/>
                <w:lang w:eastAsia="en-US"/>
              </w:rPr>
              <w:t xml:space="preserve">4. </w:t>
            </w:r>
            <w:r w:rsidRPr="00324B27">
              <w:rPr>
                <w:b w:val="0"/>
                <w:sz w:val="18"/>
                <w:szCs w:val="18"/>
                <w:lang w:val="en-US" w:eastAsia="en-US"/>
              </w:rPr>
              <w:t>Ներմուծման</w:t>
            </w:r>
            <w:r w:rsidRPr="00324B27">
              <w:rPr>
                <w:b w:val="0"/>
                <w:sz w:val="18"/>
                <w:szCs w:val="18"/>
                <w:lang w:eastAsia="en-US"/>
              </w:rPr>
              <w:t xml:space="preserve">  </w:t>
            </w:r>
            <w:r w:rsidRPr="00324B27">
              <w:rPr>
                <w:b w:val="0"/>
                <w:sz w:val="18"/>
                <w:szCs w:val="18"/>
                <w:lang w:val="en-US" w:eastAsia="en-US"/>
              </w:rPr>
              <w:t>նվազման</w:t>
            </w:r>
            <w:r w:rsidRPr="00324B27">
              <w:rPr>
                <w:b w:val="0"/>
                <w:sz w:val="18"/>
                <w:szCs w:val="18"/>
                <w:lang w:eastAsia="en-US"/>
              </w:rPr>
              <w:t xml:space="preserve"> </w:t>
            </w:r>
            <w:r w:rsidRPr="00324B27">
              <w:rPr>
                <w:b w:val="0"/>
                <w:sz w:val="18"/>
                <w:szCs w:val="18"/>
                <w:lang w:val="en-US" w:eastAsia="en-US"/>
              </w:rPr>
              <w:t>ռիսկ</w:t>
            </w:r>
            <w:r w:rsidRPr="00324B27">
              <w:rPr>
                <w:b w:val="0"/>
                <w:sz w:val="18"/>
                <w:szCs w:val="18"/>
                <w:lang w:eastAsia="en-US"/>
              </w:rPr>
              <w:t xml:space="preserve">, 9.6 </w:t>
            </w:r>
            <w:r w:rsidRPr="00324B27">
              <w:rPr>
                <w:b w:val="0"/>
                <w:sz w:val="18"/>
                <w:szCs w:val="18"/>
                <w:lang w:val="en-US" w:eastAsia="en-US"/>
              </w:rPr>
              <w:t>տոկոսային</w:t>
            </w:r>
            <w:r w:rsidRPr="00324B27">
              <w:rPr>
                <w:b w:val="0"/>
                <w:sz w:val="18"/>
                <w:szCs w:val="18"/>
                <w:lang w:eastAsia="en-US"/>
              </w:rPr>
              <w:t xml:space="preserve"> </w:t>
            </w:r>
            <w:r w:rsidRPr="00324B27">
              <w:rPr>
                <w:b w:val="0"/>
                <w:sz w:val="18"/>
                <w:szCs w:val="18"/>
                <w:lang w:val="en-US" w:eastAsia="en-US"/>
              </w:rPr>
              <w:t>կետ</w:t>
            </w:r>
          </w:p>
        </w:tc>
        <w:tc>
          <w:tcPr>
            <w:tcW w:w="2880" w:type="dxa"/>
            <w:shd w:val="clear" w:color="auto" w:fill="auto"/>
            <w:vAlign w:val="center"/>
            <w:hideMark/>
          </w:tcPr>
          <w:p w14:paraId="1F9D1AD4" w14:textId="77777777" w:rsidR="00EB28B4" w:rsidRPr="00324B27" w:rsidRDefault="00EB28B4" w:rsidP="00E94C66">
            <w:pPr>
              <w:spacing w:before="0" w:line="240" w:lineRule="auto"/>
              <w:jc w:val="center"/>
              <w:rPr>
                <w:b w:val="0"/>
                <w:sz w:val="18"/>
                <w:szCs w:val="18"/>
                <w:lang w:val="en-US" w:eastAsia="en-US"/>
              </w:rPr>
            </w:pPr>
            <w:r w:rsidRPr="00324B27">
              <w:rPr>
                <w:b w:val="0"/>
                <w:sz w:val="18"/>
                <w:szCs w:val="18"/>
                <w:lang w:val="en-US" w:eastAsia="en-US"/>
              </w:rPr>
              <w:t>-24.5</w:t>
            </w:r>
          </w:p>
        </w:tc>
      </w:tr>
      <w:tr w:rsidR="00EB28B4" w:rsidRPr="00324B27" w14:paraId="632FCC3E" w14:textId="77777777" w:rsidTr="00E94C66">
        <w:trPr>
          <w:trHeight w:val="660"/>
        </w:trPr>
        <w:tc>
          <w:tcPr>
            <w:tcW w:w="5260" w:type="dxa"/>
            <w:shd w:val="clear" w:color="auto" w:fill="auto"/>
            <w:vAlign w:val="center"/>
            <w:hideMark/>
          </w:tcPr>
          <w:p w14:paraId="4A324378" w14:textId="77777777" w:rsidR="00EB28B4" w:rsidRPr="00324B27" w:rsidRDefault="00EB28B4" w:rsidP="00E94C66">
            <w:pPr>
              <w:spacing w:before="0" w:line="240" w:lineRule="auto"/>
              <w:jc w:val="left"/>
              <w:rPr>
                <w:b w:val="0"/>
                <w:sz w:val="18"/>
                <w:szCs w:val="18"/>
                <w:lang w:eastAsia="en-US"/>
              </w:rPr>
            </w:pPr>
            <w:r w:rsidRPr="00324B27">
              <w:rPr>
                <w:b w:val="0"/>
                <w:sz w:val="18"/>
                <w:szCs w:val="18"/>
                <w:lang w:val="en-US" w:eastAsia="en-US"/>
              </w:rPr>
              <w:t>Հարկային</w:t>
            </w:r>
            <w:r w:rsidRPr="00324B27">
              <w:rPr>
                <w:b w:val="0"/>
                <w:sz w:val="18"/>
                <w:szCs w:val="18"/>
                <w:lang w:eastAsia="en-US"/>
              </w:rPr>
              <w:t xml:space="preserve"> </w:t>
            </w:r>
            <w:r w:rsidRPr="00324B27">
              <w:rPr>
                <w:b w:val="0"/>
                <w:sz w:val="18"/>
                <w:szCs w:val="18"/>
                <w:lang w:val="en-US" w:eastAsia="en-US"/>
              </w:rPr>
              <w:t>եկամուտների</w:t>
            </w:r>
            <w:r w:rsidRPr="00324B27">
              <w:rPr>
                <w:b w:val="0"/>
                <w:sz w:val="18"/>
                <w:szCs w:val="18"/>
                <w:lang w:eastAsia="en-US"/>
              </w:rPr>
              <w:t xml:space="preserve"> </w:t>
            </w:r>
            <w:r w:rsidRPr="00324B27">
              <w:rPr>
                <w:b w:val="0"/>
                <w:sz w:val="18"/>
                <w:szCs w:val="18"/>
                <w:lang w:val="en-US" w:eastAsia="en-US"/>
              </w:rPr>
              <w:t>վարչարարության</w:t>
            </w:r>
            <w:r w:rsidRPr="00324B27">
              <w:rPr>
                <w:b w:val="0"/>
                <w:sz w:val="18"/>
                <w:szCs w:val="18"/>
                <w:lang w:eastAsia="en-US"/>
              </w:rPr>
              <w:t xml:space="preserve"> </w:t>
            </w:r>
            <w:r w:rsidRPr="00324B27">
              <w:rPr>
                <w:b w:val="0"/>
                <w:sz w:val="18"/>
                <w:szCs w:val="18"/>
                <w:lang w:val="en-US" w:eastAsia="en-US"/>
              </w:rPr>
              <w:t>ռիսկ</w:t>
            </w:r>
            <w:r w:rsidRPr="00324B27">
              <w:rPr>
                <w:b w:val="0"/>
                <w:sz w:val="18"/>
                <w:szCs w:val="18"/>
                <w:lang w:eastAsia="en-US"/>
              </w:rPr>
              <w:t xml:space="preserve">, 0.5 </w:t>
            </w:r>
            <w:r w:rsidRPr="00324B27">
              <w:rPr>
                <w:b w:val="0"/>
                <w:sz w:val="18"/>
                <w:szCs w:val="18"/>
                <w:lang w:val="en-US" w:eastAsia="en-US"/>
              </w:rPr>
              <w:t>տոկոսային</w:t>
            </w:r>
            <w:r w:rsidRPr="00324B27">
              <w:rPr>
                <w:b w:val="0"/>
                <w:sz w:val="18"/>
                <w:szCs w:val="18"/>
                <w:lang w:eastAsia="en-US"/>
              </w:rPr>
              <w:t xml:space="preserve"> </w:t>
            </w:r>
            <w:r w:rsidRPr="00324B27">
              <w:rPr>
                <w:b w:val="0"/>
                <w:sz w:val="18"/>
                <w:szCs w:val="18"/>
                <w:lang w:val="en-US" w:eastAsia="en-US"/>
              </w:rPr>
              <w:t>կետ</w:t>
            </w:r>
          </w:p>
        </w:tc>
        <w:tc>
          <w:tcPr>
            <w:tcW w:w="2880" w:type="dxa"/>
            <w:shd w:val="clear" w:color="auto" w:fill="auto"/>
            <w:vAlign w:val="center"/>
            <w:hideMark/>
          </w:tcPr>
          <w:p w14:paraId="05532E9C" w14:textId="77777777" w:rsidR="00EB28B4" w:rsidRPr="00324B27" w:rsidRDefault="00EB28B4" w:rsidP="00E94C66">
            <w:pPr>
              <w:spacing w:before="0" w:line="240" w:lineRule="auto"/>
              <w:jc w:val="center"/>
              <w:rPr>
                <w:b w:val="0"/>
                <w:sz w:val="18"/>
                <w:szCs w:val="18"/>
                <w:lang w:val="en-US" w:eastAsia="en-US"/>
              </w:rPr>
            </w:pPr>
            <w:r w:rsidRPr="00324B27">
              <w:rPr>
                <w:b w:val="0"/>
                <w:sz w:val="18"/>
                <w:szCs w:val="18"/>
                <w:lang w:val="en-US" w:eastAsia="en-US"/>
              </w:rPr>
              <w:t>-52.5</w:t>
            </w:r>
          </w:p>
        </w:tc>
      </w:tr>
      <w:tr w:rsidR="00EB28B4" w:rsidRPr="00324B27" w14:paraId="5DB4A405" w14:textId="77777777" w:rsidTr="00E94C66">
        <w:trPr>
          <w:trHeight w:val="330"/>
        </w:trPr>
        <w:tc>
          <w:tcPr>
            <w:tcW w:w="5260" w:type="dxa"/>
            <w:shd w:val="clear" w:color="auto" w:fill="auto"/>
            <w:vAlign w:val="center"/>
            <w:hideMark/>
          </w:tcPr>
          <w:p w14:paraId="3BBB61DB" w14:textId="77777777" w:rsidR="00EB28B4" w:rsidRPr="00324B27" w:rsidRDefault="00EB28B4" w:rsidP="00E94C66">
            <w:pPr>
              <w:spacing w:before="0" w:line="240" w:lineRule="auto"/>
              <w:jc w:val="left"/>
              <w:rPr>
                <w:b w:val="0"/>
                <w:bCs/>
                <w:sz w:val="18"/>
                <w:szCs w:val="18"/>
                <w:lang w:val="en-US" w:eastAsia="en-US"/>
              </w:rPr>
            </w:pPr>
            <w:r w:rsidRPr="00324B27">
              <w:rPr>
                <w:b w:val="0"/>
                <w:bCs/>
                <w:sz w:val="18"/>
                <w:szCs w:val="18"/>
                <w:lang w:val="en-US" w:eastAsia="en-US"/>
              </w:rPr>
              <w:t>Ընդամենը</w:t>
            </w:r>
          </w:p>
        </w:tc>
        <w:tc>
          <w:tcPr>
            <w:tcW w:w="2880" w:type="dxa"/>
            <w:shd w:val="clear" w:color="auto" w:fill="auto"/>
            <w:vAlign w:val="center"/>
            <w:hideMark/>
          </w:tcPr>
          <w:p w14:paraId="1EA5E7A7" w14:textId="77777777" w:rsidR="00EB28B4" w:rsidRPr="00324B27" w:rsidRDefault="00EB28B4" w:rsidP="00E94C66">
            <w:pPr>
              <w:spacing w:before="0" w:line="240" w:lineRule="auto"/>
              <w:jc w:val="center"/>
              <w:rPr>
                <w:b w:val="0"/>
                <w:bCs/>
                <w:sz w:val="18"/>
                <w:szCs w:val="18"/>
                <w:lang w:val="en-US" w:eastAsia="en-US"/>
              </w:rPr>
            </w:pPr>
            <w:r w:rsidRPr="00324B27">
              <w:rPr>
                <w:b w:val="0"/>
                <w:bCs/>
                <w:sz w:val="18"/>
                <w:szCs w:val="18"/>
                <w:lang w:val="en-US" w:eastAsia="en-US"/>
              </w:rPr>
              <w:t>-85.</w:t>
            </w:r>
            <w:r w:rsidRPr="00324B27">
              <w:rPr>
                <w:b w:val="0"/>
                <w:bCs/>
                <w:sz w:val="18"/>
                <w:szCs w:val="18"/>
                <w:lang w:val="hy-AM" w:eastAsia="en-US"/>
              </w:rPr>
              <w:t>2</w:t>
            </w:r>
          </w:p>
        </w:tc>
      </w:tr>
    </w:tbl>
    <w:p w14:paraId="40115391" w14:textId="77777777" w:rsidR="00EB28B4" w:rsidRPr="007955BB" w:rsidRDefault="00EB28B4" w:rsidP="00EB28B4">
      <w:pPr>
        <w:rPr>
          <w:rFonts w:cs="Sylfaen"/>
          <w:b w:val="0"/>
          <w:lang w:val="hy-AM"/>
        </w:rPr>
      </w:pPr>
      <w:r w:rsidRPr="007955BB">
        <w:rPr>
          <w:rFonts w:cs="Sylfaen"/>
          <w:b w:val="0"/>
          <w:lang w:val="hy-AM"/>
        </w:rPr>
        <w:t>Աղյուսակ 2</w:t>
      </w:r>
      <w:r w:rsidRPr="004366AE">
        <w:rPr>
          <w:rFonts w:cs="Sylfaen"/>
          <w:b w:val="0"/>
          <w:lang w:val="hy-AM"/>
        </w:rPr>
        <w:t>.4</w:t>
      </w:r>
      <w:r w:rsidRPr="007955BB">
        <w:rPr>
          <w:rFonts w:cs="Sylfaen"/>
          <w:b w:val="0"/>
          <w:lang w:val="hy-AM"/>
        </w:rPr>
        <w:t xml:space="preserve">-ում ցույց են տրված գնահատված լրացուցիչ ռիսկերը, որոնք կհանգեցնեն լրացուցիչ ֆինանսավորման պահանջի առաջացման: Ակնհայտորեն երևում է, որ գնաճի տատանումների հետևանքով կնվազի նախատեսված ֆինանսավորման պահանջը և համապատասխանաբար կփոփոխվեն նաև պետական բյուջեի ծախսերը` ավելացման ուղղությամբ: </w:t>
      </w:r>
    </w:p>
    <w:p w14:paraId="73BFAA6E" w14:textId="77777777" w:rsidR="00EB28B4" w:rsidRPr="007D050F" w:rsidRDefault="00EB28B4" w:rsidP="00EB28B4">
      <w:pPr>
        <w:rPr>
          <w:rFonts w:cs="Sylfaen"/>
          <w:b w:val="0"/>
          <w:lang w:val="hy-AM"/>
        </w:rPr>
      </w:pPr>
      <w:r w:rsidRPr="007955BB">
        <w:rPr>
          <w:rFonts w:cs="Sylfaen"/>
          <w:b w:val="0"/>
          <w:lang w:val="hy-AM"/>
        </w:rPr>
        <w:t xml:space="preserve">Հաշվի առնելով մակրոտնտեսական ցուցանիշների կանխատեսվող մակարդակից վերոնշյալ հնարավոր շեղումների ռիսկերի գնահատականները` ՀՀ պետական բյուջեի </w:t>
      </w:r>
      <w:r w:rsidRPr="007D050F">
        <w:rPr>
          <w:rFonts w:cs="Sylfaen"/>
          <w:b w:val="0"/>
          <w:lang w:val="hy-AM"/>
        </w:rPr>
        <w:t xml:space="preserve">եկամուտների հավաքագրման և ծախսերի կատարման տեսանկյունից 2023 </w:t>
      </w:r>
      <w:r w:rsidRPr="0036243E">
        <w:rPr>
          <w:rFonts w:cs="Sylfaen"/>
          <w:b w:val="0"/>
          <w:lang w:val="hy-AM"/>
        </w:rPr>
        <w:t>թվականին ՀՀ պետական բյուջեի դեֆիցիտի լրացուցիչ ֆինանսավորման պահանջը կկազմի շուրջ 85</w:t>
      </w:r>
      <w:r w:rsidRPr="00B20489">
        <w:rPr>
          <w:rFonts w:ascii="Cambria Math" w:hAnsi="Cambria Math" w:cs="Cambria Math"/>
          <w:b w:val="0"/>
          <w:lang w:val="hy-AM"/>
        </w:rPr>
        <w:t>․</w:t>
      </w:r>
      <w:r w:rsidRPr="00B20489">
        <w:rPr>
          <w:rFonts w:cs="Sylfaen"/>
          <w:b w:val="0"/>
          <w:lang w:val="hy-AM"/>
        </w:rPr>
        <w:t>2</w:t>
      </w:r>
      <w:r w:rsidRPr="0036243E">
        <w:rPr>
          <w:rFonts w:cs="Sylfaen"/>
          <w:b w:val="0"/>
          <w:lang w:val="hy-AM"/>
        </w:rPr>
        <w:t xml:space="preserve"> մլրդ</w:t>
      </w:r>
      <w:r w:rsidRPr="007D050F">
        <w:rPr>
          <w:rFonts w:cs="Sylfaen"/>
          <w:b w:val="0"/>
          <w:lang w:val="hy-AM"/>
        </w:rPr>
        <w:t xml:space="preserve"> ՀՀ դրամ կամ ՀՆԱ-ի 0.8%-ը: </w:t>
      </w:r>
    </w:p>
    <w:p w14:paraId="1AFA261D" w14:textId="058DA60C" w:rsidR="00EB28B4" w:rsidRDefault="00EB28B4" w:rsidP="00EB28B4">
      <w:pPr>
        <w:rPr>
          <w:b w:val="0"/>
          <w:bCs/>
          <w:lang w:val="hy-AM"/>
        </w:rPr>
      </w:pPr>
      <w:r w:rsidRPr="007D050F">
        <w:rPr>
          <w:rFonts w:cs="Sylfaen"/>
          <w:b w:val="0"/>
          <w:bCs/>
          <w:lang w:val="hy-AM"/>
        </w:rPr>
        <w:t xml:space="preserve">Ռիսկերի քանակական գնահատականների, ինչպես նաև բյուջեի ծախսային շրջանակի հնարավոր կարիքների հիման վրա ձևավորվել է պետական բյուջեի ընթացիկ ծախսերի կառուցվածքում ներառված պահուստային ֆոնդը` 60.6 մլրդ դրամ կամ ՀՆԱ 0.6%, որը </w:t>
      </w:r>
      <w:r w:rsidRPr="007D050F">
        <w:rPr>
          <w:b w:val="0"/>
          <w:bCs/>
          <w:lang w:val="hy-AM"/>
        </w:rPr>
        <w:t xml:space="preserve">գանձապետական միասնական հաշվի կայունացման ենթահաշվում ՀՆԱ նվազագույնը 1%-ի չափով միջոցների ապահովման հետ միասին կապահովի անհրաժեշտ հարկաբյուջետային «բարձիկների» առկայությունը՝ ռիսկերի նյութականացման պարագայում դրանց ազդեցությունները կլանելու նպատակով։ </w:t>
      </w:r>
    </w:p>
    <w:p w14:paraId="2627C898" w14:textId="77777777" w:rsidR="00EB28B4" w:rsidRPr="008A7062" w:rsidRDefault="00EB28B4" w:rsidP="00EB28B4">
      <w:pPr>
        <w:rPr>
          <w:lang w:val="hy-AM"/>
        </w:rPr>
      </w:pPr>
    </w:p>
    <w:p w14:paraId="772C7FE4" w14:textId="77777777" w:rsidR="00BE2F9F" w:rsidRPr="00290696" w:rsidRDefault="00BE2F9F" w:rsidP="0009272D">
      <w:pPr>
        <w:pStyle w:val="Heading1"/>
      </w:pPr>
      <w:bookmarkStart w:id="139" w:name="_Toc153184519"/>
      <w:bookmarkStart w:id="140" w:name="_Toc165901466"/>
      <w:r w:rsidRPr="00290696">
        <w:t>3. ԱՅԼ ԿԱՌՈՒՅՑՆԵՐԻ ԿՈՂՄԻՑ ՀՀ ՏՆՏԵՍԱԿԱՆ ԱՃԻ ԿԱՆԽԱՏԵՍՈՒՄՆԵՐԻ ՀԵՏ ՀԱՄԵՄԱՏԱԿԱՆ</w:t>
      </w:r>
      <w:bookmarkEnd w:id="127"/>
      <w:bookmarkEnd w:id="128"/>
      <w:bookmarkEnd w:id="139"/>
      <w:bookmarkEnd w:id="140"/>
    </w:p>
    <w:p w14:paraId="418BFE08" w14:textId="77777777" w:rsidR="007840DE" w:rsidRPr="008B1046" w:rsidRDefault="007840DE" w:rsidP="007840DE">
      <w:pPr>
        <w:ind w:firstLine="357"/>
        <w:rPr>
          <w:rFonts w:cs="Sylfaen"/>
          <w:b w:val="0"/>
          <w:bCs/>
          <w:szCs w:val="22"/>
          <w:lang w:val="hy-AM"/>
        </w:rPr>
      </w:pPr>
      <w:r w:rsidRPr="008B1046">
        <w:rPr>
          <w:rFonts w:cs="Sylfaen"/>
          <w:bCs/>
          <w:szCs w:val="22"/>
          <w:u w:val="single"/>
          <w:lang w:val="hy-AM"/>
        </w:rPr>
        <w:t>Կանխատեսումներ։</w:t>
      </w:r>
      <w:r w:rsidRPr="008B1046">
        <w:rPr>
          <w:rFonts w:cs="Sylfaen"/>
          <w:bCs/>
          <w:szCs w:val="22"/>
          <w:lang w:val="hy-AM"/>
        </w:rPr>
        <w:t xml:space="preserve"> </w:t>
      </w:r>
      <w:r w:rsidRPr="008B1046">
        <w:rPr>
          <w:rFonts w:cs="Sylfaen"/>
          <w:b w:val="0"/>
          <w:bCs/>
          <w:szCs w:val="22"/>
          <w:lang w:val="hy-AM"/>
        </w:rPr>
        <w:t>Աղյուսակ 21-ում ներկայացված է ՀՀ ֆինանսների նախարարության և այլ կառույցների կողմից ՀՀ տնտեսական աճի 2023-2024թթ. կանխատեսումների համեմատականը: Նշված կառույցներից մի մասի կողմից 2023թ. ՀՀ տնտեսական աճի կանխատեսումները տարվա ընթացքում վերանայվել են աճի ուղղությամբ: Այսպես` ՀՀ կենտրոնական բանկը սեպտեմբեր ամսին վերանայել է իր կանխատեսումը դեպի վեր 0.3 տոկոսային կետով՝ սահմանելով 7.2%: Ֆիթչ վարկանիշային կազմակերպությունը 2023թ. ՀՆԱ կանխատեսվող ցուցանիշը սեպտեմբեր ամսին ևս բարձրացրել է 0.9 տոկոսային կետով՝ կանխատեսելով 7</w:t>
      </w:r>
      <w:r w:rsidRPr="008B1046">
        <w:rPr>
          <w:rFonts w:ascii="Cambria Math" w:hAnsi="Cambria Math" w:cs="Cambria Math"/>
          <w:b w:val="0"/>
          <w:bCs/>
          <w:szCs w:val="22"/>
          <w:lang w:val="hy-AM"/>
        </w:rPr>
        <w:t>․</w:t>
      </w:r>
      <w:r w:rsidRPr="008B1046">
        <w:rPr>
          <w:rFonts w:cs="Sylfaen"/>
          <w:b w:val="0"/>
          <w:bCs/>
          <w:szCs w:val="22"/>
          <w:lang w:val="hy-AM"/>
        </w:rPr>
        <w:t>2% տնտեսական աճ: 2022թ. ՀՀ տնտեսական աճի ավելի բարձր կանխատեսումները պայմանավորված են ՀՀ տնտեսության վերջին զարգացումներով:</w:t>
      </w:r>
    </w:p>
    <w:p w14:paraId="329D4077" w14:textId="2C29597E" w:rsidR="007840DE" w:rsidRPr="00C4330A" w:rsidRDefault="007840DE" w:rsidP="007840DE">
      <w:pPr>
        <w:pStyle w:val="Caption"/>
        <w:rPr>
          <w:rFonts w:cs="Sylfaen"/>
          <w:bCs w:val="0"/>
          <w:i/>
          <w:color w:val="auto"/>
          <w:sz w:val="22"/>
          <w:szCs w:val="22"/>
          <w:lang w:val="hy-AM"/>
        </w:rPr>
      </w:pPr>
      <w:bookmarkStart w:id="141" w:name="_Toc152324786"/>
      <w:r w:rsidRPr="00C4330A">
        <w:rPr>
          <w:b/>
          <w:color w:val="auto"/>
          <w:sz w:val="22"/>
          <w:szCs w:val="22"/>
          <w:lang w:val="hy-AM"/>
        </w:rPr>
        <w:t xml:space="preserve">Աղյուսակ </w:t>
      </w:r>
      <w:r w:rsidRPr="00C4330A">
        <w:rPr>
          <w:b/>
          <w:color w:val="auto"/>
          <w:sz w:val="22"/>
          <w:szCs w:val="22"/>
        </w:rPr>
        <w:fldChar w:fldCharType="begin"/>
      </w:r>
      <w:r w:rsidRPr="00C4330A">
        <w:rPr>
          <w:b/>
          <w:color w:val="auto"/>
          <w:sz w:val="22"/>
          <w:szCs w:val="22"/>
          <w:lang w:val="hy-AM"/>
        </w:rPr>
        <w:instrText xml:space="preserve"> SEQ Աղյուսակ \* ARABIC </w:instrText>
      </w:r>
      <w:r w:rsidRPr="00C4330A">
        <w:rPr>
          <w:b/>
          <w:color w:val="auto"/>
          <w:sz w:val="22"/>
          <w:szCs w:val="22"/>
        </w:rPr>
        <w:fldChar w:fldCharType="separate"/>
      </w:r>
      <w:r w:rsidR="00DB4E68">
        <w:rPr>
          <w:b/>
          <w:noProof/>
          <w:color w:val="auto"/>
          <w:sz w:val="22"/>
          <w:szCs w:val="22"/>
          <w:lang w:val="hy-AM"/>
        </w:rPr>
        <w:t>24</w:t>
      </w:r>
      <w:r w:rsidRPr="00C4330A">
        <w:rPr>
          <w:b/>
          <w:color w:val="auto"/>
          <w:sz w:val="22"/>
          <w:szCs w:val="22"/>
        </w:rPr>
        <w:fldChar w:fldCharType="end"/>
      </w:r>
      <w:r w:rsidRPr="00C4330A">
        <w:rPr>
          <w:b/>
          <w:color w:val="auto"/>
          <w:sz w:val="22"/>
          <w:szCs w:val="22"/>
          <w:lang w:val="hy-AM"/>
        </w:rPr>
        <w:t>.</w:t>
      </w:r>
      <w:r w:rsidRPr="00C4330A">
        <w:rPr>
          <w:color w:val="auto"/>
          <w:sz w:val="22"/>
          <w:szCs w:val="22"/>
          <w:lang w:val="hy-AM"/>
        </w:rPr>
        <w:t xml:space="preserve"> </w:t>
      </w:r>
      <w:r w:rsidRPr="007840DE">
        <w:rPr>
          <w:rFonts w:eastAsia="Calibri"/>
          <w:i/>
          <w:color w:val="auto"/>
          <w:sz w:val="20"/>
          <w:szCs w:val="20"/>
          <w:lang w:val="hy-AM" w:eastAsia="en-US"/>
        </w:rPr>
        <w:t>ՀՀ ՖՆ և այլ կառույցների կողմից ՀՀ տնտեսական աճի կանխատեսումները (%)</w:t>
      </w:r>
      <w:bookmarkEnd w:id="141"/>
    </w:p>
    <w:tbl>
      <w:tblPr>
        <w:tblW w:w="9506" w:type="dxa"/>
        <w:jc w:val="center"/>
        <w:tblBorders>
          <w:bottom w:val="single" w:sz="4" w:space="0" w:color="auto"/>
        </w:tblBorders>
        <w:tblLook w:val="04A0" w:firstRow="1" w:lastRow="0" w:firstColumn="1" w:lastColumn="0" w:noHBand="0" w:noVBand="1"/>
      </w:tblPr>
      <w:tblGrid>
        <w:gridCol w:w="6377"/>
        <w:gridCol w:w="1549"/>
        <w:gridCol w:w="1580"/>
      </w:tblGrid>
      <w:tr w:rsidR="007840DE" w:rsidRPr="00324B27" w14:paraId="0D226F9A" w14:textId="77777777" w:rsidTr="007840DE">
        <w:trPr>
          <w:trHeight w:val="198"/>
          <w:jc w:val="center"/>
        </w:trPr>
        <w:tc>
          <w:tcPr>
            <w:tcW w:w="6377" w:type="dxa"/>
            <w:tcBorders>
              <w:bottom w:val="single" w:sz="4" w:space="0" w:color="auto"/>
            </w:tcBorders>
            <w:shd w:val="clear" w:color="auto" w:fill="auto"/>
            <w:noWrap/>
            <w:vAlign w:val="center"/>
          </w:tcPr>
          <w:p w14:paraId="55BEDA9D" w14:textId="77777777" w:rsidR="007840DE" w:rsidRPr="00324B27" w:rsidRDefault="007840DE" w:rsidP="007840DE">
            <w:pPr>
              <w:spacing w:before="40" w:after="60" w:line="240" w:lineRule="auto"/>
              <w:ind w:right="111"/>
              <w:jc w:val="left"/>
              <w:rPr>
                <w:rFonts w:cs="Calibri"/>
                <w:color w:val="000000"/>
                <w:sz w:val="18"/>
                <w:szCs w:val="18"/>
                <w:lang w:val="hy-AM" w:eastAsia="en-US"/>
              </w:rPr>
            </w:pPr>
          </w:p>
        </w:tc>
        <w:tc>
          <w:tcPr>
            <w:tcW w:w="1549" w:type="dxa"/>
            <w:tcBorders>
              <w:bottom w:val="single" w:sz="4" w:space="0" w:color="auto"/>
            </w:tcBorders>
            <w:shd w:val="clear" w:color="auto" w:fill="auto"/>
            <w:noWrap/>
            <w:vAlign w:val="bottom"/>
            <w:hideMark/>
          </w:tcPr>
          <w:p w14:paraId="15D59A85" w14:textId="77777777" w:rsidR="007840DE" w:rsidRPr="00324B27" w:rsidRDefault="007840DE" w:rsidP="007840DE">
            <w:pPr>
              <w:spacing w:before="40" w:after="60" w:line="240" w:lineRule="auto"/>
              <w:ind w:right="111"/>
              <w:jc w:val="center"/>
              <w:rPr>
                <w:rFonts w:cs="Calibri"/>
                <w:b w:val="0"/>
                <w:bCs/>
                <w:color w:val="000000"/>
                <w:sz w:val="18"/>
                <w:szCs w:val="18"/>
                <w:lang w:val="en-US" w:eastAsia="en-US"/>
              </w:rPr>
            </w:pPr>
            <w:r w:rsidRPr="00324B27">
              <w:rPr>
                <w:rFonts w:cs="Calibri"/>
                <w:b w:val="0"/>
                <w:bCs/>
                <w:color w:val="000000"/>
                <w:sz w:val="18"/>
                <w:szCs w:val="18"/>
                <w:lang w:val="hy-AM" w:eastAsia="en-US"/>
              </w:rPr>
              <w:t>202</w:t>
            </w:r>
            <w:r w:rsidRPr="00324B27">
              <w:rPr>
                <w:rFonts w:cs="Calibri"/>
                <w:b w:val="0"/>
                <w:bCs/>
                <w:color w:val="000000"/>
                <w:sz w:val="18"/>
                <w:szCs w:val="18"/>
                <w:lang w:val="en-US" w:eastAsia="en-US"/>
              </w:rPr>
              <w:t>3</w:t>
            </w:r>
          </w:p>
        </w:tc>
        <w:tc>
          <w:tcPr>
            <w:tcW w:w="1580" w:type="dxa"/>
            <w:tcBorders>
              <w:bottom w:val="single" w:sz="4" w:space="0" w:color="auto"/>
            </w:tcBorders>
            <w:shd w:val="clear" w:color="auto" w:fill="auto"/>
            <w:noWrap/>
            <w:vAlign w:val="center"/>
            <w:hideMark/>
          </w:tcPr>
          <w:p w14:paraId="3E959FDB" w14:textId="77777777" w:rsidR="007840DE" w:rsidRPr="00324B27" w:rsidRDefault="007840DE" w:rsidP="007840DE">
            <w:pPr>
              <w:spacing w:before="40" w:after="60" w:line="240" w:lineRule="auto"/>
              <w:ind w:right="111"/>
              <w:jc w:val="center"/>
              <w:rPr>
                <w:rFonts w:cs="Calibri"/>
                <w:b w:val="0"/>
                <w:bCs/>
                <w:color w:val="000000"/>
                <w:sz w:val="18"/>
                <w:szCs w:val="18"/>
                <w:lang w:val="en-US" w:eastAsia="en-US"/>
              </w:rPr>
            </w:pPr>
            <w:r w:rsidRPr="00324B27">
              <w:rPr>
                <w:rFonts w:cs="Calibri"/>
                <w:b w:val="0"/>
                <w:bCs/>
                <w:color w:val="000000"/>
                <w:sz w:val="18"/>
                <w:szCs w:val="18"/>
                <w:lang w:val="hy-AM" w:eastAsia="en-US"/>
              </w:rPr>
              <w:t>202</w:t>
            </w:r>
            <w:r w:rsidRPr="00324B27">
              <w:rPr>
                <w:rFonts w:cs="Calibri"/>
                <w:b w:val="0"/>
                <w:bCs/>
                <w:color w:val="000000"/>
                <w:sz w:val="18"/>
                <w:szCs w:val="18"/>
                <w:lang w:val="en-US" w:eastAsia="en-US"/>
              </w:rPr>
              <w:t>4</w:t>
            </w:r>
          </w:p>
        </w:tc>
      </w:tr>
      <w:tr w:rsidR="007840DE" w:rsidRPr="00324B27" w14:paraId="2DABCFBF" w14:textId="77777777" w:rsidTr="007840DE">
        <w:trPr>
          <w:trHeight w:val="440"/>
          <w:jc w:val="center"/>
        </w:trPr>
        <w:tc>
          <w:tcPr>
            <w:tcW w:w="6377" w:type="dxa"/>
            <w:tcBorders>
              <w:top w:val="single" w:sz="4" w:space="0" w:color="auto"/>
              <w:bottom w:val="nil"/>
            </w:tcBorders>
            <w:shd w:val="clear" w:color="auto" w:fill="auto"/>
            <w:noWrap/>
            <w:vAlign w:val="center"/>
            <w:hideMark/>
          </w:tcPr>
          <w:p w14:paraId="7D200EA7" w14:textId="77777777" w:rsidR="007840DE" w:rsidRPr="00324B27" w:rsidRDefault="007840DE" w:rsidP="007840DE">
            <w:pPr>
              <w:spacing w:before="0" w:line="240" w:lineRule="auto"/>
              <w:ind w:right="111"/>
              <w:jc w:val="left"/>
              <w:rPr>
                <w:rFonts w:cs="Calibri"/>
                <w:color w:val="000000"/>
                <w:sz w:val="18"/>
                <w:szCs w:val="18"/>
                <w:lang w:val="hy-AM" w:eastAsia="en-US"/>
              </w:rPr>
            </w:pPr>
            <w:r w:rsidRPr="00324B27">
              <w:rPr>
                <w:rFonts w:cs="Calibri"/>
                <w:b w:val="0"/>
                <w:color w:val="000000"/>
                <w:sz w:val="18"/>
                <w:szCs w:val="18"/>
                <w:lang w:val="hy-AM" w:eastAsia="en-US"/>
              </w:rPr>
              <w:t>ՀՀ ֆինանսների նախարարություն</w:t>
            </w:r>
            <w:r w:rsidRPr="00324B27">
              <w:rPr>
                <w:rFonts w:cs="Calibri"/>
                <w:b w:val="0"/>
                <w:color w:val="000000"/>
                <w:sz w:val="18"/>
                <w:szCs w:val="18"/>
                <w:lang w:val="en-US" w:eastAsia="en-US"/>
              </w:rPr>
              <w:t xml:space="preserve"> (2023 </w:t>
            </w:r>
            <w:r w:rsidRPr="00324B27">
              <w:rPr>
                <w:rFonts w:cs="Calibri"/>
                <w:b w:val="0"/>
                <w:color w:val="000000"/>
                <w:sz w:val="18"/>
                <w:szCs w:val="18"/>
                <w:lang w:val="hy-AM" w:eastAsia="en-US"/>
              </w:rPr>
              <w:t>սեպտեմբեր</w:t>
            </w:r>
            <w:r w:rsidRPr="00324B27">
              <w:rPr>
                <w:rFonts w:cs="Calibri"/>
                <w:b w:val="0"/>
                <w:color w:val="000000"/>
                <w:sz w:val="18"/>
                <w:szCs w:val="18"/>
                <w:lang w:val="en-US" w:eastAsia="en-US"/>
              </w:rPr>
              <w:t>)</w:t>
            </w:r>
          </w:p>
        </w:tc>
        <w:tc>
          <w:tcPr>
            <w:tcW w:w="1549" w:type="dxa"/>
            <w:tcBorders>
              <w:top w:val="single" w:sz="4" w:space="0" w:color="auto"/>
              <w:bottom w:val="nil"/>
            </w:tcBorders>
            <w:shd w:val="clear" w:color="auto" w:fill="auto"/>
            <w:noWrap/>
            <w:vAlign w:val="center"/>
          </w:tcPr>
          <w:p w14:paraId="51DF2736" w14:textId="77777777" w:rsidR="007840DE" w:rsidRPr="00324B27" w:rsidRDefault="007840DE" w:rsidP="007840DE">
            <w:pPr>
              <w:spacing w:before="0" w:line="240" w:lineRule="auto"/>
              <w:ind w:right="111"/>
              <w:jc w:val="center"/>
              <w:rPr>
                <w:rFonts w:cs="Calibri"/>
                <w:color w:val="000000"/>
                <w:sz w:val="18"/>
                <w:szCs w:val="18"/>
                <w:lang w:val="hy-AM" w:eastAsia="en-US"/>
              </w:rPr>
            </w:pPr>
            <w:r w:rsidRPr="00324B27">
              <w:rPr>
                <w:rFonts w:cs="Calibri"/>
                <w:b w:val="0"/>
                <w:color w:val="000000"/>
                <w:sz w:val="18"/>
                <w:szCs w:val="18"/>
                <w:lang w:val="en-GB" w:eastAsia="en-US"/>
              </w:rPr>
              <w:t>7</w:t>
            </w:r>
            <w:r w:rsidRPr="00324B27">
              <w:rPr>
                <w:rFonts w:cs="Calibri"/>
                <w:b w:val="0"/>
                <w:color w:val="000000"/>
                <w:sz w:val="18"/>
                <w:szCs w:val="18"/>
                <w:lang w:val="hy-AM" w:eastAsia="en-US"/>
              </w:rPr>
              <w:t>.</w:t>
            </w:r>
            <w:r w:rsidRPr="00324B27">
              <w:rPr>
                <w:rFonts w:cs="Calibri"/>
                <w:b w:val="0"/>
                <w:color w:val="000000"/>
                <w:sz w:val="18"/>
                <w:szCs w:val="18"/>
                <w:lang w:val="en-GB" w:eastAsia="en-US"/>
              </w:rPr>
              <w:t>2</w:t>
            </w:r>
          </w:p>
        </w:tc>
        <w:tc>
          <w:tcPr>
            <w:tcW w:w="1580" w:type="dxa"/>
            <w:tcBorders>
              <w:top w:val="single" w:sz="4" w:space="0" w:color="auto"/>
              <w:bottom w:val="nil"/>
            </w:tcBorders>
            <w:shd w:val="clear" w:color="auto" w:fill="auto"/>
            <w:noWrap/>
            <w:vAlign w:val="center"/>
          </w:tcPr>
          <w:p w14:paraId="78F016E9" w14:textId="77777777" w:rsidR="007840DE" w:rsidRPr="00324B27" w:rsidRDefault="007840DE" w:rsidP="007840DE">
            <w:pPr>
              <w:spacing w:before="0" w:line="240" w:lineRule="auto"/>
              <w:ind w:right="111"/>
              <w:jc w:val="center"/>
              <w:rPr>
                <w:rFonts w:cs="Calibri"/>
                <w:color w:val="000000"/>
                <w:sz w:val="18"/>
                <w:szCs w:val="18"/>
                <w:lang w:val="en-US" w:eastAsia="en-US"/>
              </w:rPr>
            </w:pPr>
            <w:r w:rsidRPr="00324B27">
              <w:rPr>
                <w:rFonts w:cs="Calibri"/>
                <w:b w:val="0"/>
                <w:color w:val="000000"/>
                <w:sz w:val="18"/>
                <w:szCs w:val="18"/>
                <w:lang w:val="en-US" w:eastAsia="en-US"/>
              </w:rPr>
              <w:t>7</w:t>
            </w:r>
            <w:r w:rsidRPr="00324B27">
              <w:rPr>
                <w:rFonts w:cs="Calibri"/>
                <w:b w:val="0"/>
                <w:color w:val="000000"/>
                <w:sz w:val="18"/>
                <w:szCs w:val="18"/>
                <w:lang w:val="hy-AM" w:eastAsia="en-US"/>
              </w:rPr>
              <w:t>.</w:t>
            </w:r>
            <w:r w:rsidRPr="00324B27">
              <w:rPr>
                <w:rFonts w:cs="Calibri"/>
                <w:b w:val="0"/>
                <w:color w:val="000000"/>
                <w:sz w:val="18"/>
                <w:szCs w:val="18"/>
                <w:lang w:val="en-US" w:eastAsia="en-US"/>
              </w:rPr>
              <w:t>0</w:t>
            </w:r>
          </w:p>
        </w:tc>
      </w:tr>
      <w:tr w:rsidR="007840DE" w:rsidRPr="00324B27" w14:paraId="4782E23F" w14:textId="77777777" w:rsidTr="00E94C66">
        <w:trPr>
          <w:trHeight w:val="251"/>
          <w:jc w:val="center"/>
        </w:trPr>
        <w:tc>
          <w:tcPr>
            <w:tcW w:w="6377" w:type="dxa"/>
            <w:tcBorders>
              <w:bottom w:val="single" w:sz="4" w:space="0" w:color="auto"/>
            </w:tcBorders>
            <w:shd w:val="clear" w:color="auto" w:fill="auto"/>
            <w:noWrap/>
            <w:vAlign w:val="center"/>
          </w:tcPr>
          <w:p w14:paraId="334DA9D4" w14:textId="77777777" w:rsidR="007840DE" w:rsidRPr="00324B27" w:rsidRDefault="007840DE" w:rsidP="007840DE">
            <w:pPr>
              <w:spacing w:before="0" w:line="240" w:lineRule="auto"/>
              <w:ind w:right="111"/>
              <w:jc w:val="left"/>
              <w:rPr>
                <w:rFonts w:cs="Calibri"/>
                <w:color w:val="000000"/>
                <w:sz w:val="18"/>
                <w:szCs w:val="18"/>
                <w:lang w:val="hy-AM" w:eastAsia="en-US"/>
              </w:rPr>
            </w:pPr>
            <w:r w:rsidRPr="00324B27">
              <w:rPr>
                <w:rFonts w:cs="Calibri"/>
                <w:b w:val="0"/>
                <w:color w:val="000000"/>
                <w:sz w:val="18"/>
                <w:szCs w:val="18"/>
                <w:lang w:val="hy-AM" w:eastAsia="en-US"/>
              </w:rPr>
              <w:t>ՀՀ ֆինանսների նախարարություն (202</w:t>
            </w:r>
            <w:r w:rsidRPr="00324B27">
              <w:rPr>
                <w:rFonts w:cs="Calibri"/>
                <w:b w:val="0"/>
                <w:color w:val="000000"/>
                <w:sz w:val="18"/>
                <w:szCs w:val="18"/>
                <w:lang w:val="en-US" w:eastAsia="en-US"/>
              </w:rPr>
              <w:t>3</w:t>
            </w:r>
            <w:r w:rsidRPr="00324B27">
              <w:rPr>
                <w:rFonts w:cs="Calibri"/>
                <w:b w:val="0"/>
                <w:color w:val="000000"/>
                <w:sz w:val="18"/>
                <w:szCs w:val="18"/>
                <w:lang w:val="hy-AM" w:eastAsia="en-US"/>
              </w:rPr>
              <w:t xml:space="preserve"> </w:t>
            </w:r>
            <w:r w:rsidRPr="00324B27">
              <w:rPr>
                <w:rFonts w:cs="Calibri"/>
                <w:b w:val="0"/>
                <w:color w:val="000000"/>
                <w:sz w:val="18"/>
                <w:szCs w:val="18"/>
                <w:lang w:val="en-US" w:eastAsia="en-US"/>
              </w:rPr>
              <w:t>հուլիս</w:t>
            </w:r>
            <w:r w:rsidRPr="00324B27">
              <w:rPr>
                <w:rFonts w:cs="Calibri"/>
                <w:b w:val="0"/>
                <w:color w:val="000000"/>
                <w:sz w:val="18"/>
                <w:szCs w:val="18"/>
                <w:lang w:val="hy-AM" w:eastAsia="en-US"/>
              </w:rPr>
              <w:t>)</w:t>
            </w:r>
          </w:p>
        </w:tc>
        <w:tc>
          <w:tcPr>
            <w:tcW w:w="1549" w:type="dxa"/>
            <w:tcBorders>
              <w:bottom w:val="single" w:sz="4" w:space="0" w:color="auto"/>
            </w:tcBorders>
            <w:shd w:val="clear" w:color="auto" w:fill="auto"/>
            <w:noWrap/>
            <w:vAlign w:val="center"/>
          </w:tcPr>
          <w:p w14:paraId="457902E1" w14:textId="77777777" w:rsidR="007840DE" w:rsidRPr="00324B27" w:rsidRDefault="007840DE" w:rsidP="007840DE">
            <w:pPr>
              <w:spacing w:before="0" w:line="240" w:lineRule="auto"/>
              <w:ind w:right="111"/>
              <w:jc w:val="center"/>
              <w:rPr>
                <w:rFonts w:cs="Calibri"/>
                <w:color w:val="000000"/>
                <w:sz w:val="18"/>
                <w:szCs w:val="18"/>
                <w:lang w:val="en-US" w:eastAsia="en-US"/>
              </w:rPr>
            </w:pPr>
            <w:r w:rsidRPr="00324B27">
              <w:rPr>
                <w:rFonts w:cs="Calibri"/>
                <w:b w:val="0"/>
                <w:color w:val="000000"/>
                <w:sz w:val="18"/>
                <w:szCs w:val="18"/>
                <w:lang w:val="en-US" w:eastAsia="en-US"/>
              </w:rPr>
              <w:t>7.0</w:t>
            </w:r>
          </w:p>
        </w:tc>
        <w:tc>
          <w:tcPr>
            <w:tcW w:w="1580" w:type="dxa"/>
            <w:tcBorders>
              <w:bottom w:val="single" w:sz="4" w:space="0" w:color="auto"/>
            </w:tcBorders>
            <w:shd w:val="clear" w:color="auto" w:fill="auto"/>
            <w:noWrap/>
            <w:vAlign w:val="center"/>
          </w:tcPr>
          <w:p w14:paraId="4E705BE9" w14:textId="77777777" w:rsidR="007840DE" w:rsidRPr="00324B27" w:rsidRDefault="007840DE" w:rsidP="007840DE">
            <w:pPr>
              <w:spacing w:before="0" w:line="240" w:lineRule="auto"/>
              <w:ind w:right="111"/>
              <w:jc w:val="center"/>
              <w:rPr>
                <w:rFonts w:cs="Calibri"/>
                <w:color w:val="000000"/>
                <w:sz w:val="18"/>
                <w:szCs w:val="18"/>
                <w:lang w:val="en-US" w:eastAsia="en-US"/>
              </w:rPr>
            </w:pPr>
            <w:r w:rsidRPr="00324B27">
              <w:rPr>
                <w:rFonts w:cs="Calibri"/>
                <w:b w:val="0"/>
                <w:color w:val="000000"/>
                <w:sz w:val="18"/>
                <w:szCs w:val="18"/>
                <w:lang w:val="en-US" w:eastAsia="en-US"/>
              </w:rPr>
              <w:t>7.0</w:t>
            </w:r>
          </w:p>
        </w:tc>
      </w:tr>
      <w:tr w:rsidR="007840DE" w:rsidRPr="00324B27" w14:paraId="0C7FADA1" w14:textId="77777777" w:rsidTr="007840DE">
        <w:trPr>
          <w:trHeight w:val="152"/>
          <w:jc w:val="center"/>
        </w:trPr>
        <w:tc>
          <w:tcPr>
            <w:tcW w:w="6377" w:type="dxa"/>
            <w:tcBorders>
              <w:top w:val="single" w:sz="4" w:space="0" w:color="auto"/>
            </w:tcBorders>
            <w:shd w:val="clear" w:color="auto" w:fill="auto"/>
            <w:noWrap/>
            <w:vAlign w:val="center"/>
          </w:tcPr>
          <w:p w14:paraId="032E543F" w14:textId="77777777" w:rsidR="007840DE" w:rsidRPr="00324B27" w:rsidRDefault="007840DE" w:rsidP="007840DE">
            <w:pPr>
              <w:spacing w:before="0" w:line="240" w:lineRule="auto"/>
              <w:ind w:right="115"/>
              <w:jc w:val="left"/>
              <w:rPr>
                <w:rFonts w:cs="Calibri"/>
                <w:color w:val="000000"/>
                <w:sz w:val="18"/>
                <w:szCs w:val="18"/>
                <w:lang w:val="hy-AM" w:eastAsia="en-US"/>
              </w:rPr>
            </w:pPr>
          </w:p>
        </w:tc>
        <w:tc>
          <w:tcPr>
            <w:tcW w:w="1549" w:type="dxa"/>
            <w:tcBorders>
              <w:top w:val="single" w:sz="4" w:space="0" w:color="auto"/>
            </w:tcBorders>
            <w:shd w:val="clear" w:color="auto" w:fill="auto"/>
            <w:noWrap/>
            <w:vAlign w:val="center"/>
          </w:tcPr>
          <w:p w14:paraId="2362A1B2" w14:textId="77777777" w:rsidR="007840DE" w:rsidRPr="00324B27" w:rsidRDefault="007840DE" w:rsidP="007840DE">
            <w:pPr>
              <w:spacing w:before="0" w:line="240" w:lineRule="auto"/>
              <w:ind w:right="111"/>
              <w:jc w:val="center"/>
              <w:rPr>
                <w:rFonts w:cs="Calibri"/>
                <w:color w:val="000000"/>
                <w:sz w:val="18"/>
                <w:szCs w:val="18"/>
                <w:lang w:val="en-US" w:eastAsia="en-US"/>
              </w:rPr>
            </w:pPr>
          </w:p>
        </w:tc>
        <w:tc>
          <w:tcPr>
            <w:tcW w:w="1580" w:type="dxa"/>
            <w:tcBorders>
              <w:top w:val="single" w:sz="4" w:space="0" w:color="auto"/>
            </w:tcBorders>
            <w:shd w:val="clear" w:color="auto" w:fill="auto"/>
            <w:noWrap/>
            <w:vAlign w:val="center"/>
          </w:tcPr>
          <w:p w14:paraId="19E1F4F9" w14:textId="77777777" w:rsidR="007840DE" w:rsidRPr="00324B27" w:rsidRDefault="007840DE" w:rsidP="007840DE">
            <w:pPr>
              <w:spacing w:before="0" w:line="240" w:lineRule="auto"/>
              <w:ind w:right="111"/>
              <w:jc w:val="center"/>
              <w:rPr>
                <w:rFonts w:cs="Calibri"/>
                <w:color w:val="000000"/>
                <w:sz w:val="18"/>
                <w:szCs w:val="18"/>
                <w:lang w:val="en-US" w:eastAsia="en-US"/>
              </w:rPr>
            </w:pPr>
          </w:p>
        </w:tc>
      </w:tr>
      <w:tr w:rsidR="007840DE" w:rsidRPr="00324B27" w14:paraId="063D81DE" w14:textId="77777777" w:rsidTr="00E94C66">
        <w:trPr>
          <w:trHeight w:val="372"/>
          <w:jc w:val="center"/>
        </w:trPr>
        <w:tc>
          <w:tcPr>
            <w:tcW w:w="6377" w:type="dxa"/>
            <w:tcBorders>
              <w:bottom w:val="nil"/>
            </w:tcBorders>
            <w:shd w:val="clear" w:color="auto" w:fill="auto"/>
            <w:noWrap/>
            <w:vAlign w:val="center"/>
          </w:tcPr>
          <w:p w14:paraId="1934C3AC" w14:textId="77777777" w:rsidR="007840DE" w:rsidRPr="00324B27" w:rsidRDefault="007840DE" w:rsidP="007840DE">
            <w:pPr>
              <w:spacing w:before="0" w:line="240" w:lineRule="auto"/>
              <w:ind w:right="111"/>
              <w:jc w:val="left"/>
              <w:rPr>
                <w:rFonts w:cs="Calibri"/>
                <w:b w:val="0"/>
                <w:color w:val="000000"/>
                <w:sz w:val="18"/>
                <w:szCs w:val="18"/>
                <w:lang w:val="hy-AM" w:eastAsia="en-US"/>
              </w:rPr>
            </w:pPr>
            <w:r w:rsidRPr="00324B27">
              <w:rPr>
                <w:rFonts w:cs="Calibri"/>
                <w:b w:val="0"/>
                <w:color w:val="000000"/>
                <w:sz w:val="18"/>
                <w:szCs w:val="18"/>
                <w:lang w:val="hy-AM" w:eastAsia="en-US"/>
              </w:rPr>
              <w:lastRenderedPageBreak/>
              <w:t>ՀՀ կենտրոնական բանկ (202</w:t>
            </w:r>
            <w:r w:rsidRPr="00324B27">
              <w:rPr>
                <w:rFonts w:cs="Calibri"/>
                <w:b w:val="0"/>
                <w:color w:val="000000"/>
                <w:sz w:val="18"/>
                <w:szCs w:val="18"/>
                <w:lang w:val="en-US" w:eastAsia="en-US"/>
              </w:rPr>
              <w:t>3</w:t>
            </w:r>
            <w:r w:rsidRPr="00324B27">
              <w:rPr>
                <w:rFonts w:cs="Calibri"/>
                <w:b w:val="0"/>
                <w:color w:val="000000"/>
                <w:sz w:val="18"/>
                <w:szCs w:val="18"/>
                <w:lang w:val="hy-AM" w:eastAsia="en-US"/>
              </w:rPr>
              <w:t xml:space="preserve"> սեպտեմբեր)</w:t>
            </w:r>
          </w:p>
        </w:tc>
        <w:tc>
          <w:tcPr>
            <w:tcW w:w="1549" w:type="dxa"/>
            <w:tcBorders>
              <w:bottom w:val="nil"/>
            </w:tcBorders>
            <w:shd w:val="clear" w:color="auto" w:fill="auto"/>
            <w:noWrap/>
            <w:vAlign w:val="center"/>
          </w:tcPr>
          <w:p w14:paraId="18434A38" w14:textId="77777777" w:rsidR="007840DE" w:rsidRPr="00324B27" w:rsidRDefault="007840DE" w:rsidP="007840DE">
            <w:pPr>
              <w:spacing w:before="0" w:line="240" w:lineRule="auto"/>
              <w:ind w:right="111"/>
              <w:jc w:val="center"/>
              <w:rPr>
                <w:rFonts w:cs="Calibri"/>
                <w:b w:val="0"/>
                <w:color w:val="000000"/>
                <w:sz w:val="18"/>
                <w:szCs w:val="18"/>
                <w:lang w:val="hy-AM" w:eastAsia="en-US"/>
              </w:rPr>
            </w:pPr>
            <w:r w:rsidRPr="00324B27">
              <w:rPr>
                <w:rFonts w:cs="Calibri"/>
                <w:b w:val="0"/>
                <w:color w:val="000000"/>
                <w:sz w:val="18"/>
                <w:szCs w:val="18"/>
                <w:lang w:val="hy-AM" w:eastAsia="en-US"/>
              </w:rPr>
              <w:t>7.2</w:t>
            </w:r>
          </w:p>
        </w:tc>
        <w:tc>
          <w:tcPr>
            <w:tcW w:w="1580" w:type="dxa"/>
            <w:tcBorders>
              <w:bottom w:val="nil"/>
            </w:tcBorders>
            <w:shd w:val="clear" w:color="auto" w:fill="auto"/>
            <w:noWrap/>
            <w:vAlign w:val="center"/>
          </w:tcPr>
          <w:p w14:paraId="68830AAD" w14:textId="77777777" w:rsidR="007840DE" w:rsidRPr="00324B27" w:rsidRDefault="007840DE" w:rsidP="007840DE">
            <w:pPr>
              <w:spacing w:before="0" w:line="240" w:lineRule="auto"/>
              <w:ind w:right="111"/>
              <w:jc w:val="center"/>
              <w:rPr>
                <w:rFonts w:cs="Calibri"/>
                <w:b w:val="0"/>
                <w:color w:val="000000"/>
                <w:sz w:val="18"/>
                <w:szCs w:val="18"/>
                <w:lang w:val="hy-AM" w:eastAsia="en-US"/>
              </w:rPr>
            </w:pPr>
            <w:r w:rsidRPr="00324B27">
              <w:rPr>
                <w:rFonts w:cs="Calibri"/>
                <w:b w:val="0"/>
                <w:color w:val="000000"/>
                <w:sz w:val="18"/>
                <w:szCs w:val="18"/>
                <w:lang w:val="hy-AM" w:eastAsia="en-US"/>
              </w:rPr>
              <w:t>-</w:t>
            </w:r>
          </w:p>
        </w:tc>
      </w:tr>
      <w:tr w:rsidR="007840DE" w:rsidRPr="00324B27" w14:paraId="0EB04DD6" w14:textId="77777777" w:rsidTr="007840DE">
        <w:trPr>
          <w:trHeight w:val="80"/>
          <w:jc w:val="center"/>
        </w:trPr>
        <w:tc>
          <w:tcPr>
            <w:tcW w:w="6377" w:type="dxa"/>
            <w:tcBorders>
              <w:bottom w:val="single" w:sz="4" w:space="0" w:color="auto"/>
            </w:tcBorders>
            <w:shd w:val="clear" w:color="auto" w:fill="auto"/>
            <w:noWrap/>
            <w:vAlign w:val="center"/>
          </w:tcPr>
          <w:p w14:paraId="00ABCE29" w14:textId="77777777" w:rsidR="007840DE" w:rsidRPr="00324B27" w:rsidRDefault="007840DE" w:rsidP="007840DE">
            <w:pPr>
              <w:spacing w:before="0" w:line="240" w:lineRule="auto"/>
              <w:ind w:right="111"/>
              <w:jc w:val="left"/>
              <w:rPr>
                <w:rFonts w:cs="Calibri"/>
                <w:color w:val="000000"/>
                <w:sz w:val="18"/>
                <w:szCs w:val="18"/>
                <w:lang w:val="hy-AM" w:eastAsia="en-US"/>
              </w:rPr>
            </w:pPr>
            <w:r w:rsidRPr="00324B27">
              <w:rPr>
                <w:rFonts w:cs="Calibri"/>
                <w:b w:val="0"/>
                <w:color w:val="000000"/>
                <w:sz w:val="18"/>
                <w:szCs w:val="18"/>
                <w:lang w:val="hy-AM" w:eastAsia="en-US"/>
              </w:rPr>
              <w:t>ՀՀ կենտրոնական բանկ (202</w:t>
            </w:r>
            <w:r w:rsidRPr="00324B27">
              <w:rPr>
                <w:rFonts w:cs="Calibri"/>
                <w:b w:val="0"/>
                <w:color w:val="000000"/>
                <w:sz w:val="18"/>
                <w:szCs w:val="18"/>
                <w:lang w:val="en-US" w:eastAsia="en-US"/>
              </w:rPr>
              <w:t>3</w:t>
            </w:r>
            <w:r w:rsidRPr="00324B27">
              <w:rPr>
                <w:rFonts w:cs="Calibri"/>
                <w:b w:val="0"/>
                <w:color w:val="000000"/>
                <w:sz w:val="18"/>
                <w:szCs w:val="18"/>
                <w:lang w:val="hy-AM" w:eastAsia="en-US"/>
              </w:rPr>
              <w:t xml:space="preserve"> հունիս)</w:t>
            </w:r>
          </w:p>
        </w:tc>
        <w:tc>
          <w:tcPr>
            <w:tcW w:w="1549" w:type="dxa"/>
            <w:tcBorders>
              <w:bottom w:val="single" w:sz="4" w:space="0" w:color="auto"/>
            </w:tcBorders>
            <w:shd w:val="clear" w:color="auto" w:fill="auto"/>
            <w:noWrap/>
            <w:vAlign w:val="center"/>
          </w:tcPr>
          <w:p w14:paraId="5A10AA53" w14:textId="77777777" w:rsidR="007840DE" w:rsidRPr="00324B27" w:rsidRDefault="007840DE" w:rsidP="007840DE">
            <w:pPr>
              <w:spacing w:before="0" w:line="240" w:lineRule="auto"/>
              <w:ind w:right="111"/>
              <w:jc w:val="center"/>
              <w:rPr>
                <w:rFonts w:cs="Calibri"/>
                <w:color w:val="000000"/>
                <w:sz w:val="18"/>
                <w:szCs w:val="18"/>
                <w:lang w:val="en-US" w:eastAsia="en-US"/>
              </w:rPr>
            </w:pPr>
            <w:r w:rsidRPr="00324B27">
              <w:rPr>
                <w:rFonts w:cs="Calibri"/>
                <w:b w:val="0"/>
                <w:color w:val="000000"/>
                <w:sz w:val="18"/>
                <w:szCs w:val="18"/>
                <w:lang w:val="hy-AM" w:eastAsia="en-US"/>
              </w:rPr>
              <w:t>6</w:t>
            </w:r>
            <w:r w:rsidRPr="00324B27">
              <w:rPr>
                <w:rFonts w:cs="Calibri"/>
                <w:b w:val="0"/>
                <w:color w:val="000000"/>
                <w:sz w:val="18"/>
                <w:szCs w:val="18"/>
                <w:lang w:val="en-US" w:eastAsia="en-US"/>
              </w:rPr>
              <w:t>.9</w:t>
            </w:r>
          </w:p>
        </w:tc>
        <w:tc>
          <w:tcPr>
            <w:tcW w:w="1580" w:type="dxa"/>
            <w:tcBorders>
              <w:bottom w:val="single" w:sz="4" w:space="0" w:color="auto"/>
            </w:tcBorders>
            <w:shd w:val="clear" w:color="auto" w:fill="auto"/>
            <w:noWrap/>
            <w:vAlign w:val="center"/>
          </w:tcPr>
          <w:p w14:paraId="4C630B2B" w14:textId="77777777" w:rsidR="007840DE" w:rsidRPr="00324B27" w:rsidRDefault="007840DE" w:rsidP="007840DE">
            <w:pPr>
              <w:spacing w:before="0" w:line="240" w:lineRule="auto"/>
              <w:ind w:right="111"/>
              <w:jc w:val="center"/>
              <w:rPr>
                <w:rFonts w:cs="Calibri"/>
                <w:color w:val="000000"/>
                <w:sz w:val="18"/>
                <w:szCs w:val="18"/>
                <w:lang w:val="en-US" w:eastAsia="en-US"/>
              </w:rPr>
            </w:pPr>
            <w:r w:rsidRPr="00324B27">
              <w:rPr>
                <w:rFonts w:cs="Calibri"/>
                <w:b w:val="0"/>
                <w:color w:val="000000"/>
                <w:sz w:val="18"/>
                <w:szCs w:val="18"/>
                <w:lang w:val="hy-AM" w:eastAsia="en-US"/>
              </w:rPr>
              <w:t>-</w:t>
            </w:r>
          </w:p>
        </w:tc>
      </w:tr>
      <w:tr w:rsidR="007840DE" w:rsidRPr="00324B27" w14:paraId="503C6EA3" w14:textId="77777777" w:rsidTr="00E94C66">
        <w:trPr>
          <w:trHeight w:val="156"/>
          <w:jc w:val="center"/>
        </w:trPr>
        <w:tc>
          <w:tcPr>
            <w:tcW w:w="6377" w:type="dxa"/>
            <w:tcBorders>
              <w:top w:val="single" w:sz="4" w:space="0" w:color="auto"/>
            </w:tcBorders>
            <w:shd w:val="clear" w:color="auto" w:fill="auto"/>
            <w:noWrap/>
            <w:vAlign w:val="center"/>
          </w:tcPr>
          <w:p w14:paraId="1CA6BCB9" w14:textId="77777777" w:rsidR="007840DE" w:rsidRPr="00324B27" w:rsidRDefault="007840DE" w:rsidP="007840DE">
            <w:pPr>
              <w:spacing w:before="0" w:line="240" w:lineRule="auto"/>
              <w:ind w:right="115"/>
              <w:jc w:val="left"/>
              <w:rPr>
                <w:rFonts w:cs="Calibri"/>
                <w:b w:val="0"/>
                <w:color w:val="000000"/>
                <w:sz w:val="18"/>
                <w:szCs w:val="18"/>
                <w:lang w:val="en-US" w:eastAsia="en-US"/>
              </w:rPr>
            </w:pPr>
          </w:p>
        </w:tc>
        <w:tc>
          <w:tcPr>
            <w:tcW w:w="1549" w:type="dxa"/>
            <w:tcBorders>
              <w:top w:val="single" w:sz="4" w:space="0" w:color="auto"/>
            </w:tcBorders>
            <w:shd w:val="clear" w:color="auto" w:fill="auto"/>
            <w:noWrap/>
            <w:vAlign w:val="center"/>
          </w:tcPr>
          <w:p w14:paraId="43A2BE9A" w14:textId="77777777" w:rsidR="007840DE" w:rsidRPr="00324B27" w:rsidRDefault="007840DE" w:rsidP="007840DE">
            <w:pPr>
              <w:spacing w:before="0" w:line="240" w:lineRule="auto"/>
              <w:ind w:right="111"/>
              <w:jc w:val="center"/>
              <w:rPr>
                <w:rFonts w:cs="Calibri"/>
                <w:b w:val="0"/>
                <w:color w:val="000000"/>
                <w:sz w:val="18"/>
                <w:szCs w:val="18"/>
                <w:lang w:val="en-US" w:eastAsia="en-US"/>
              </w:rPr>
            </w:pPr>
          </w:p>
        </w:tc>
        <w:tc>
          <w:tcPr>
            <w:tcW w:w="1580" w:type="dxa"/>
            <w:tcBorders>
              <w:top w:val="single" w:sz="4" w:space="0" w:color="auto"/>
            </w:tcBorders>
            <w:shd w:val="clear" w:color="auto" w:fill="auto"/>
            <w:noWrap/>
            <w:vAlign w:val="center"/>
          </w:tcPr>
          <w:p w14:paraId="5576F907" w14:textId="77777777" w:rsidR="007840DE" w:rsidRPr="00324B27" w:rsidRDefault="007840DE" w:rsidP="007840DE">
            <w:pPr>
              <w:spacing w:before="0" w:line="240" w:lineRule="auto"/>
              <w:ind w:right="111"/>
              <w:jc w:val="center"/>
              <w:rPr>
                <w:rFonts w:cs="Calibri"/>
                <w:b w:val="0"/>
                <w:color w:val="000000"/>
                <w:sz w:val="18"/>
                <w:szCs w:val="18"/>
                <w:lang w:val="en-US" w:eastAsia="en-US"/>
              </w:rPr>
            </w:pPr>
          </w:p>
        </w:tc>
      </w:tr>
      <w:tr w:rsidR="007840DE" w:rsidRPr="00324B27" w14:paraId="5F178D89" w14:textId="77777777" w:rsidTr="00E94C66">
        <w:trPr>
          <w:trHeight w:val="156"/>
          <w:jc w:val="center"/>
        </w:trPr>
        <w:tc>
          <w:tcPr>
            <w:tcW w:w="6377" w:type="dxa"/>
            <w:tcBorders>
              <w:bottom w:val="nil"/>
            </w:tcBorders>
            <w:shd w:val="clear" w:color="auto" w:fill="auto"/>
            <w:noWrap/>
            <w:vAlign w:val="center"/>
          </w:tcPr>
          <w:p w14:paraId="396D4F0A" w14:textId="77777777" w:rsidR="007840DE" w:rsidRPr="00324B27" w:rsidRDefault="007840DE" w:rsidP="007840DE">
            <w:pPr>
              <w:spacing w:before="0" w:line="240" w:lineRule="auto"/>
              <w:ind w:right="115"/>
              <w:jc w:val="left"/>
              <w:rPr>
                <w:rFonts w:cs="Calibri"/>
                <w:b w:val="0"/>
                <w:bCs/>
                <w:color w:val="000000"/>
                <w:sz w:val="18"/>
                <w:szCs w:val="18"/>
                <w:lang w:val="hy-AM" w:eastAsia="en-US"/>
              </w:rPr>
            </w:pPr>
            <w:r w:rsidRPr="00324B27">
              <w:rPr>
                <w:rFonts w:cs="Calibri"/>
                <w:b w:val="0"/>
                <w:color w:val="000000"/>
                <w:sz w:val="18"/>
                <w:szCs w:val="18"/>
                <w:lang w:val="hy-AM" w:eastAsia="en-US"/>
              </w:rPr>
              <w:t>Արժույթի միջազգային հիմնադրամ (</w:t>
            </w:r>
            <w:r w:rsidRPr="00324B27">
              <w:rPr>
                <w:rFonts w:cs="Calibri"/>
                <w:b w:val="0"/>
                <w:color w:val="000000"/>
                <w:sz w:val="18"/>
                <w:szCs w:val="18"/>
                <w:lang w:val="en-US" w:eastAsia="en-US"/>
              </w:rPr>
              <w:t xml:space="preserve">2023 </w:t>
            </w:r>
            <w:r w:rsidRPr="00324B27">
              <w:rPr>
                <w:rFonts w:cs="Calibri"/>
                <w:b w:val="0"/>
                <w:color w:val="000000"/>
                <w:sz w:val="18"/>
                <w:szCs w:val="18"/>
                <w:lang w:val="hy-AM" w:eastAsia="en-US"/>
              </w:rPr>
              <w:t>հունիս)</w:t>
            </w:r>
          </w:p>
        </w:tc>
        <w:tc>
          <w:tcPr>
            <w:tcW w:w="1549" w:type="dxa"/>
            <w:tcBorders>
              <w:bottom w:val="nil"/>
            </w:tcBorders>
            <w:shd w:val="clear" w:color="auto" w:fill="auto"/>
            <w:noWrap/>
            <w:vAlign w:val="center"/>
          </w:tcPr>
          <w:p w14:paraId="317DF4B9" w14:textId="77777777" w:rsidR="007840DE" w:rsidRPr="00324B27" w:rsidRDefault="007840DE" w:rsidP="007840DE">
            <w:pPr>
              <w:spacing w:before="0" w:line="240" w:lineRule="auto"/>
              <w:ind w:right="111"/>
              <w:jc w:val="center"/>
              <w:rPr>
                <w:rFonts w:cs="Calibri"/>
                <w:b w:val="0"/>
                <w:color w:val="000000"/>
                <w:sz w:val="18"/>
                <w:szCs w:val="18"/>
                <w:lang w:val="en-US" w:eastAsia="en-US"/>
              </w:rPr>
            </w:pPr>
            <w:r w:rsidRPr="00324B27">
              <w:rPr>
                <w:rFonts w:cs="Calibri"/>
                <w:b w:val="0"/>
                <w:color w:val="000000"/>
                <w:sz w:val="18"/>
                <w:szCs w:val="18"/>
                <w:lang w:val="en-US" w:eastAsia="en-US"/>
              </w:rPr>
              <w:t>5.5</w:t>
            </w:r>
          </w:p>
        </w:tc>
        <w:tc>
          <w:tcPr>
            <w:tcW w:w="1580" w:type="dxa"/>
            <w:tcBorders>
              <w:bottom w:val="nil"/>
            </w:tcBorders>
            <w:shd w:val="clear" w:color="auto" w:fill="auto"/>
            <w:noWrap/>
            <w:vAlign w:val="center"/>
          </w:tcPr>
          <w:p w14:paraId="482218A0" w14:textId="77777777" w:rsidR="007840DE" w:rsidRPr="00324B27" w:rsidRDefault="007840DE" w:rsidP="007840DE">
            <w:pPr>
              <w:spacing w:before="0" w:line="240" w:lineRule="auto"/>
              <w:ind w:right="111"/>
              <w:jc w:val="center"/>
              <w:rPr>
                <w:rFonts w:cs="Calibri"/>
                <w:b w:val="0"/>
                <w:color w:val="000000"/>
                <w:sz w:val="18"/>
                <w:szCs w:val="18"/>
                <w:lang w:val="en-US" w:eastAsia="en-US"/>
              </w:rPr>
            </w:pPr>
            <w:r w:rsidRPr="00324B27">
              <w:rPr>
                <w:rFonts w:cs="Calibri"/>
                <w:b w:val="0"/>
                <w:color w:val="000000"/>
                <w:sz w:val="18"/>
                <w:szCs w:val="18"/>
                <w:lang w:val="en-US" w:eastAsia="en-US"/>
              </w:rPr>
              <w:t>5.0</w:t>
            </w:r>
          </w:p>
        </w:tc>
      </w:tr>
      <w:tr w:rsidR="007840DE" w:rsidRPr="00324B27" w14:paraId="696F9F19" w14:textId="77777777" w:rsidTr="00E94C66">
        <w:trPr>
          <w:trHeight w:val="156"/>
          <w:jc w:val="center"/>
        </w:trPr>
        <w:tc>
          <w:tcPr>
            <w:tcW w:w="6377" w:type="dxa"/>
            <w:tcBorders>
              <w:bottom w:val="single" w:sz="4" w:space="0" w:color="auto"/>
            </w:tcBorders>
            <w:shd w:val="clear" w:color="auto" w:fill="auto"/>
            <w:noWrap/>
            <w:vAlign w:val="center"/>
          </w:tcPr>
          <w:p w14:paraId="259DB1B0" w14:textId="77777777" w:rsidR="007840DE" w:rsidRPr="00324B27" w:rsidRDefault="007840DE" w:rsidP="007840DE">
            <w:pPr>
              <w:spacing w:before="0" w:line="240" w:lineRule="auto"/>
              <w:ind w:right="115"/>
              <w:jc w:val="left"/>
              <w:rPr>
                <w:rFonts w:cs="Calibri"/>
                <w:b w:val="0"/>
                <w:color w:val="000000"/>
                <w:sz w:val="18"/>
                <w:szCs w:val="18"/>
                <w:lang w:val="en-US" w:eastAsia="en-US"/>
              </w:rPr>
            </w:pPr>
            <w:r w:rsidRPr="00324B27">
              <w:rPr>
                <w:rFonts w:cs="Calibri"/>
                <w:b w:val="0"/>
                <w:color w:val="000000"/>
                <w:sz w:val="18"/>
                <w:szCs w:val="18"/>
                <w:lang w:val="hy-AM" w:eastAsia="en-US"/>
              </w:rPr>
              <w:t>Արժույթի միջազգային հիմնադրամ (</w:t>
            </w:r>
            <w:r w:rsidRPr="00324B27">
              <w:rPr>
                <w:rFonts w:cs="Calibri"/>
                <w:b w:val="0"/>
                <w:color w:val="000000"/>
                <w:sz w:val="18"/>
                <w:szCs w:val="18"/>
                <w:lang w:val="en-US" w:eastAsia="en-US"/>
              </w:rPr>
              <w:t xml:space="preserve">2023 </w:t>
            </w:r>
            <w:r w:rsidRPr="00324B27">
              <w:rPr>
                <w:rFonts w:cs="Calibri"/>
                <w:b w:val="0"/>
                <w:color w:val="000000"/>
                <w:sz w:val="18"/>
                <w:szCs w:val="18"/>
                <w:lang w:val="hy-AM" w:eastAsia="en-US"/>
              </w:rPr>
              <w:t>ապրիլ)</w:t>
            </w:r>
          </w:p>
        </w:tc>
        <w:tc>
          <w:tcPr>
            <w:tcW w:w="1549" w:type="dxa"/>
            <w:tcBorders>
              <w:bottom w:val="single" w:sz="4" w:space="0" w:color="auto"/>
            </w:tcBorders>
            <w:shd w:val="clear" w:color="auto" w:fill="auto"/>
            <w:noWrap/>
            <w:vAlign w:val="center"/>
          </w:tcPr>
          <w:p w14:paraId="2DB67C83" w14:textId="77777777" w:rsidR="007840DE" w:rsidRPr="00324B27" w:rsidRDefault="007840DE" w:rsidP="007840DE">
            <w:pPr>
              <w:spacing w:before="0" w:line="240" w:lineRule="auto"/>
              <w:ind w:right="111"/>
              <w:jc w:val="center"/>
              <w:rPr>
                <w:rFonts w:cs="Calibri"/>
                <w:b w:val="0"/>
                <w:color w:val="000000"/>
                <w:sz w:val="18"/>
                <w:szCs w:val="18"/>
                <w:lang w:val="en-US" w:eastAsia="en-US"/>
              </w:rPr>
            </w:pPr>
            <w:r w:rsidRPr="00324B27">
              <w:rPr>
                <w:rFonts w:cs="Calibri"/>
                <w:b w:val="0"/>
                <w:color w:val="000000"/>
                <w:sz w:val="18"/>
                <w:szCs w:val="18"/>
                <w:lang w:val="en-US" w:eastAsia="en-US"/>
              </w:rPr>
              <w:t>5.5</w:t>
            </w:r>
          </w:p>
        </w:tc>
        <w:tc>
          <w:tcPr>
            <w:tcW w:w="1580" w:type="dxa"/>
            <w:tcBorders>
              <w:bottom w:val="single" w:sz="4" w:space="0" w:color="auto"/>
            </w:tcBorders>
            <w:shd w:val="clear" w:color="auto" w:fill="auto"/>
            <w:noWrap/>
            <w:vAlign w:val="center"/>
          </w:tcPr>
          <w:p w14:paraId="4CD383AF" w14:textId="77777777" w:rsidR="007840DE" w:rsidRPr="00324B27" w:rsidRDefault="007840DE" w:rsidP="007840DE">
            <w:pPr>
              <w:spacing w:before="0" w:line="240" w:lineRule="auto"/>
              <w:ind w:right="111"/>
              <w:jc w:val="center"/>
              <w:rPr>
                <w:rFonts w:cs="Calibri"/>
                <w:b w:val="0"/>
                <w:color w:val="000000"/>
                <w:sz w:val="18"/>
                <w:szCs w:val="18"/>
                <w:lang w:val="en-US" w:eastAsia="en-US"/>
              </w:rPr>
            </w:pPr>
            <w:r w:rsidRPr="00324B27">
              <w:rPr>
                <w:rFonts w:cs="Calibri"/>
                <w:b w:val="0"/>
                <w:color w:val="000000"/>
                <w:sz w:val="18"/>
                <w:szCs w:val="18"/>
                <w:lang w:val="en-US" w:eastAsia="en-US"/>
              </w:rPr>
              <w:t>5.0</w:t>
            </w:r>
          </w:p>
        </w:tc>
      </w:tr>
      <w:tr w:rsidR="007840DE" w:rsidRPr="00324B27" w14:paraId="2B75CC43" w14:textId="77777777" w:rsidTr="00E94C66">
        <w:trPr>
          <w:trHeight w:val="156"/>
          <w:jc w:val="center"/>
        </w:trPr>
        <w:tc>
          <w:tcPr>
            <w:tcW w:w="6377" w:type="dxa"/>
            <w:tcBorders>
              <w:top w:val="single" w:sz="4" w:space="0" w:color="auto"/>
            </w:tcBorders>
            <w:shd w:val="clear" w:color="auto" w:fill="auto"/>
            <w:noWrap/>
            <w:vAlign w:val="center"/>
          </w:tcPr>
          <w:p w14:paraId="7A3769B4" w14:textId="77777777" w:rsidR="007840DE" w:rsidRPr="00324B27" w:rsidRDefault="007840DE" w:rsidP="007840DE">
            <w:pPr>
              <w:spacing w:before="0" w:line="240" w:lineRule="auto"/>
              <w:ind w:right="115"/>
              <w:jc w:val="left"/>
              <w:rPr>
                <w:rFonts w:cs="Calibri"/>
                <w:b w:val="0"/>
                <w:color w:val="000000"/>
                <w:sz w:val="18"/>
                <w:szCs w:val="18"/>
                <w:lang w:val="en-US" w:eastAsia="en-US"/>
              </w:rPr>
            </w:pPr>
          </w:p>
        </w:tc>
        <w:tc>
          <w:tcPr>
            <w:tcW w:w="1549" w:type="dxa"/>
            <w:tcBorders>
              <w:top w:val="single" w:sz="4" w:space="0" w:color="auto"/>
            </w:tcBorders>
            <w:shd w:val="clear" w:color="auto" w:fill="auto"/>
            <w:noWrap/>
            <w:vAlign w:val="center"/>
          </w:tcPr>
          <w:p w14:paraId="3ADF269C" w14:textId="77777777" w:rsidR="007840DE" w:rsidRPr="00324B27" w:rsidRDefault="007840DE" w:rsidP="007840DE">
            <w:pPr>
              <w:spacing w:before="0" w:line="240" w:lineRule="auto"/>
              <w:ind w:right="111"/>
              <w:jc w:val="center"/>
              <w:rPr>
                <w:rFonts w:cs="Calibri"/>
                <w:b w:val="0"/>
                <w:color w:val="000000"/>
                <w:sz w:val="18"/>
                <w:szCs w:val="18"/>
                <w:lang w:val="en-US" w:eastAsia="en-US"/>
              </w:rPr>
            </w:pPr>
          </w:p>
        </w:tc>
        <w:tc>
          <w:tcPr>
            <w:tcW w:w="1580" w:type="dxa"/>
            <w:tcBorders>
              <w:top w:val="single" w:sz="4" w:space="0" w:color="auto"/>
            </w:tcBorders>
            <w:shd w:val="clear" w:color="auto" w:fill="auto"/>
            <w:noWrap/>
            <w:vAlign w:val="center"/>
          </w:tcPr>
          <w:p w14:paraId="1DD91134" w14:textId="77777777" w:rsidR="007840DE" w:rsidRPr="00324B27" w:rsidRDefault="007840DE" w:rsidP="007840DE">
            <w:pPr>
              <w:spacing w:before="0" w:line="240" w:lineRule="auto"/>
              <w:ind w:right="111"/>
              <w:jc w:val="center"/>
              <w:rPr>
                <w:rFonts w:cs="Calibri"/>
                <w:b w:val="0"/>
                <w:color w:val="000000"/>
                <w:sz w:val="18"/>
                <w:szCs w:val="18"/>
                <w:lang w:val="en-US" w:eastAsia="en-US"/>
              </w:rPr>
            </w:pPr>
          </w:p>
        </w:tc>
      </w:tr>
      <w:tr w:rsidR="007840DE" w:rsidRPr="00324B27" w14:paraId="3BE95B6E" w14:textId="77777777" w:rsidTr="00E94C66">
        <w:trPr>
          <w:trHeight w:val="156"/>
          <w:jc w:val="center"/>
        </w:trPr>
        <w:tc>
          <w:tcPr>
            <w:tcW w:w="6377" w:type="dxa"/>
            <w:tcBorders>
              <w:bottom w:val="nil"/>
            </w:tcBorders>
            <w:shd w:val="clear" w:color="auto" w:fill="auto"/>
            <w:noWrap/>
            <w:vAlign w:val="center"/>
          </w:tcPr>
          <w:p w14:paraId="6129EE0B" w14:textId="77777777" w:rsidR="007840DE" w:rsidRPr="00324B27" w:rsidRDefault="007840DE" w:rsidP="007840DE">
            <w:pPr>
              <w:spacing w:before="0" w:line="240" w:lineRule="auto"/>
              <w:ind w:right="115"/>
              <w:jc w:val="left"/>
              <w:rPr>
                <w:rFonts w:cs="Calibri"/>
                <w:color w:val="000000"/>
                <w:sz w:val="18"/>
                <w:szCs w:val="18"/>
                <w:lang w:val="hy-AM" w:eastAsia="en-US"/>
              </w:rPr>
            </w:pPr>
            <w:r w:rsidRPr="00324B27">
              <w:rPr>
                <w:rFonts w:cs="Calibri"/>
                <w:b w:val="0"/>
                <w:color w:val="000000"/>
                <w:sz w:val="18"/>
                <w:szCs w:val="18"/>
                <w:lang w:val="en-US" w:eastAsia="en-US"/>
              </w:rPr>
              <w:t xml:space="preserve">Ֆիթչ (2023 </w:t>
            </w:r>
            <w:r w:rsidRPr="00324B27">
              <w:rPr>
                <w:rFonts w:cs="Calibri"/>
                <w:b w:val="0"/>
                <w:color w:val="000000"/>
                <w:sz w:val="18"/>
                <w:szCs w:val="18"/>
                <w:lang w:val="hy-AM" w:eastAsia="en-US"/>
              </w:rPr>
              <w:t>օգոստոս</w:t>
            </w:r>
            <w:r w:rsidRPr="00324B27">
              <w:rPr>
                <w:rFonts w:cs="Calibri"/>
                <w:b w:val="0"/>
                <w:color w:val="000000"/>
                <w:sz w:val="18"/>
                <w:szCs w:val="18"/>
                <w:lang w:val="en-US" w:eastAsia="en-US"/>
              </w:rPr>
              <w:t>)</w:t>
            </w:r>
          </w:p>
        </w:tc>
        <w:tc>
          <w:tcPr>
            <w:tcW w:w="1549" w:type="dxa"/>
            <w:tcBorders>
              <w:bottom w:val="nil"/>
            </w:tcBorders>
            <w:shd w:val="clear" w:color="auto" w:fill="auto"/>
            <w:noWrap/>
            <w:vAlign w:val="center"/>
          </w:tcPr>
          <w:p w14:paraId="209E15AF" w14:textId="77777777" w:rsidR="007840DE" w:rsidRPr="00324B27" w:rsidRDefault="007840DE" w:rsidP="007840DE">
            <w:pPr>
              <w:spacing w:before="0" w:line="240" w:lineRule="auto"/>
              <w:ind w:right="111"/>
              <w:jc w:val="center"/>
              <w:rPr>
                <w:rFonts w:cs="Calibri"/>
                <w:color w:val="000000"/>
                <w:sz w:val="18"/>
                <w:szCs w:val="18"/>
                <w:lang w:val="en-US" w:eastAsia="en-US"/>
              </w:rPr>
            </w:pPr>
            <w:r w:rsidRPr="00324B27">
              <w:rPr>
                <w:rFonts w:cs="Calibri"/>
                <w:b w:val="0"/>
                <w:color w:val="000000"/>
                <w:sz w:val="18"/>
                <w:szCs w:val="18"/>
                <w:lang w:val="en-US" w:eastAsia="en-US"/>
              </w:rPr>
              <w:t>7.2</w:t>
            </w:r>
          </w:p>
        </w:tc>
        <w:tc>
          <w:tcPr>
            <w:tcW w:w="1580" w:type="dxa"/>
            <w:tcBorders>
              <w:bottom w:val="nil"/>
            </w:tcBorders>
            <w:shd w:val="clear" w:color="auto" w:fill="auto"/>
            <w:noWrap/>
            <w:vAlign w:val="center"/>
          </w:tcPr>
          <w:p w14:paraId="6BB28D73" w14:textId="77777777" w:rsidR="007840DE" w:rsidRPr="00324B27" w:rsidRDefault="007840DE" w:rsidP="007840DE">
            <w:pPr>
              <w:spacing w:before="0" w:line="240" w:lineRule="auto"/>
              <w:ind w:right="111"/>
              <w:jc w:val="center"/>
              <w:rPr>
                <w:rFonts w:cs="Calibri"/>
                <w:color w:val="000000"/>
                <w:sz w:val="18"/>
                <w:szCs w:val="18"/>
                <w:lang w:val="en-US" w:eastAsia="en-US"/>
              </w:rPr>
            </w:pPr>
            <w:r w:rsidRPr="00324B27">
              <w:rPr>
                <w:rFonts w:cs="Calibri"/>
                <w:b w:val="0"/>
                <w:color w:val="000000"/>
                <w:sz w:val="18"/>
                <w:szCs w:val="18"/>
                <w:lang w:val="en-US" w:eastAsia="en-US"/>
              </w:rPr>
              <w:t>5.9</w:t>
            </w:r>
          </w:p>
        </w:tc>
      </w:tr>
      <w:tr w:rsidR="007840DE" w:rsidRPr="00324B27" w14:paraId="4F37A330" w14:textId="77777777" w:rsidTr="00E94C66">
        <w:trPr>
          <w:trHeight w:val="327"/>
          <w:jc w:val="center"/>
        </w:trPr>
        <w:tc>
          <w:tcPr>
            <w:tcW w:w="6377" w:type="dxa"/>
            <w:tcBorders>
              <w:bottom w:val="single" w:sz="4" w:space="0" w:color="auto"/>
            </w:tcBorders>
            <w:shd w:val="clear" w:color="auto" w:fill="auto"/>
            <w:noWrap/>
            <w:vAlign w:val="center"/>
          </w:tcPr>
          <w:p w14:paraId="02655F1C" w14:textId="77777777" w:rsidR="007840DE" w:rsidRPr="00324B27" w:rsidRDefault="007840DE" w:rsidP="007840DE">
            <w:pPr>
              <w:spacing w:before="0" w:line="240" w:lineRule="auto"/>
              <w:ind w:right="111"/>
              <w:jc w:val="left"/>
              <w:rPr>
                <w:rFonts w:cs="Calibri"/>
                <w:b w:val="0"/>
                <w:color w:val="000000"/>
                <w:sz w:val="18"/>
                <w:szCs w:val="18"/>
                <w:lang w:val="hy-AM" w:eastAsia="en-US"/>
              </w:rPr>
            </w:pPr>
            <w:r w:rsidRPr="00324B27">
              <w:rPr>
                <w:rFonts w:cs="Calibri"/>
                <w:b w:val="0"/>
                <w:color w:val="000000"/>
                <w:sz w:val="18"/>
                <w:szCs w:val="18"/>
                <w:lang w:val="en-US" w:eastAsia="en-US"/>
              </w:rPr>
              <w:t>Ֆիթչ (202</w:t>
            </w:r>
            <w:r w:rsidRPr="00324B27">
              <w:rPr>
                <w:rFonts w:cs="Calibri"/>
                <w:b w:val="0"/>
                <w:color w:val="000000"/>
                <w:sz w:val="18"/>
                <w:szCs w:val="18"/>
                <w:lang w:val="hy-AM" w:eastAsia="en-US"/>
              </w:rPr>
              <w:t>3</w:t>
            </w:r>
            <w:r w:rsidRPr="00324B27">
              <w:rPr>
                <w:rFonts w:cs="Calibri"/>
                <w:b w:val="0"/>
                <w:color w:val="000000"/>
                <w:sz w:val="18"/>
                <w:szCs w:val="18"/>
                <w:lang w:val="en-US" w:eastAsia="en-US"/>
              </w:rPr>
              <w:t xml:space="preserve"> </w:t>
            </w:r>
            <w:r w:rsidRPr="00324B27">
              <w:rPr>
                <w:rFonts w:cs="Calibri"/>
                <w:b w:val="0"/>
                <w:color w:val="000000"/>
                <w:sz w:val="18"/>
                <w:szCs w:val="18"/>
                <w:lang w:val="hy-AM" w:eastAsia="en-US"/>
              </w:rPr>
              <w:t>փետրվար</w:t>
            </w:r>
            <w:r w:rsidRPr="00324B27">
              <w:rPr>
                <w:rFonts w:cs="Calibri"/>
                <w:b w:val="0"/>
                <w:color w:val="000000"/>
                <w:sz w:val="18"/>
                <w:szCs w:val="18"/>
                <w:lang w:val="en-US" w:eastAsia="en-US"/>
              </w:rPr>
              <w:t>)</w:t>
            </w:r>
          </w:p>
        </w:tc>
        <w:tc>
          <w:tcPr>
            <w:tcW w:w="1549" w:type="dxa"/>
            <w:tcBorders>
              <w:bottom w:val="single" w:sz="4" w:space="0" w:color="auto"/>
            </w:tcBorders>
            <w:shd w:val="clear" w:color="auto" w:fill="auto"/>
            <w:noWrap/>
            <w:vAlign w:val="center"/>
          </w:tcPr>
          <w:p w14:paraId="05FE67FA" w14:textId="77777777" w:rsidR="007840DE" w:rsidRPr="00324B27" w:rsidRDefault="007840DE" w:rsidP="007840DE">
            <w:pPr>
              <w:spacing w:before="0" w:line="240" w:lineRule="auto"/>
              <w:ind w:right="111"/>
              <w:jc w:val="center"/>
              <w:rPr>
                <w:rFonts w:cs="Calibri"/>
                <w:b w:val="0"/>
                <w:color w:val="000000"/>
                <w:sz w:val="18"/>
                <w:szCs w:val="18"/>
                <w:lang w:val="en-US" w:eastAsia="en-US"/>
              </w:rPr>
            </w:pPr>
            <w:r w:rsidRPr="00324B27">
              <w:rPr>
                <w:rFonts w:cs="Calibri"/>
                <w:b w:val="0"/>
                <w:color w:val="000000"/>
                <w:sz w:val="18"/>
                <w:szCs w:val="18"/>
                <w:lang w:val="hy-AM" w:eastAsia="en-US"/>
              </w:rPr>
              <w:t>6</w:t>
            </w:r>
            <w:r w:rsidRPr="00324B27">
              <w:rPr>
                <w:rFonts w:cs="Calibri"/>
                <w:b w:val="0"/>
                <w:color w:val="000000"/>
                <w:sz w:val="18"/>
                <w:szCs w:val="18"/>
                <w:lang w:val="en-US" w:eastAsia="en-US"/>
              </w:rPr>
              <w:t>.</w:t>
            </w:r>
            <w:r w:rsidRPr="00324B27">
              <w:rPr>
                <w:rFonts w:cs="Calibri"/>
                <w:b w:val="0"/>
                <w:color w:val="000000"/>
                <w:sz w:val="18"/>
                <w:szCs w:val="18"/>
                <w:lang w:val="hy-AM" w:eastAsia="en-US"/>
              </w:rPr>
              <w:t>1</w:t>
            </w:r>
          </w:p>
        </w:tc>
        <w:tc>
          <w:tcPr>
            <w:tcW w:w="1580" w:type="dxa"/>
            <w:tcBorders>
              <w:bottom w:val="single" w:sz="4" w:space="0" w:color="auto"/>
            </w:tcBorders>
            <w:shd w:val="clear" w:color="auto" w:fill="auto"/>
            <w:noWrap/>
            <w:vAlign w:val="center"/>
          </w:tcPr>
          <w:p w14:paraId="0BE79B25" w14:textId="77777777" w:rsidR="007840DE" w:rsidRPr="00324B27" w:rsidRDefault="007840DE" w:rsidP="007840DE">
            <w:pPr>
              <w:spacing w:before="0" w:line="240" w:lineRule="auto"/>
              <w:ind w:right="111"/>
              <w:jc w:val="center"/>
              <w:rPr>
                <w:rFonts w:cs="Calibri"/>
                <w:b w:val="0"/>
                <w:color w:val="000000"/>
                <w:sz w:val="18"/>
                <w:szCs w:val="18"/>
                <w:lang w:val="en-US" w:eastAsia="en-US"/>
              </w:rPr>
            </w:pPr>
            <w:r w:rsidRPr="00324B27">
              <w:rPr>
                <w:rFonts w:cs="Calibri"/>
                <w:b w:val="0"/>
                <w:color w:val="000000"/>
                <w:sz w:val="18"/>
                <w:szCs w:val="18"/>
                <w:lang w:val="en-US" w:eastAsia="en-US"/>
              </w:rPr>
              <w:t>4.</w:t>
            </w:r>
            <w:r w:rsidRPr="00324B27">
              <w:rPr>
                <w:rFonts w:cs="Calibri"/>
                <w:b w:val="0"/>
                <w:color w:val="000000"/>
                <w:sz w:val="18"/>
                <w:szCs w:val="18"/>
                <w:lang w:val="hy-AM" w:eastAsia="en-US"/>
              </w:rPr>
              <w:t>7</w:t>
            </w:r>
          </w:p>
        </w:tc>
      </w:tr>
      <w:tr w:rsidR="007840DE" w:rsidRPr="00324B27" w14:paraId="690C57A9" w14:textId="77777777" w:rsidTr="00E94C66">
        <w:trPr>
          <w:trHeight w:val="327"/>
          <w:jc w:val="center"/>
        </w:trPr>
        <w:tc>
          <w:tcPr>
            <w:tcW w:w="6377" w:type="dxa"/>
            <w:tcBorders>
              <w:top w:val="single" w:sz="4" w:space="0" w:color="auto"/>
            </w:tcBorders>
            <w:shd w:val="clear" w:color="auto" w:fill="auto"/>
            <w:noWrap/>
            <w:vAlign w:val="center"/>
          </w:tcPr>
          <w:p w14:paraId="247C4155" w14:textId="77777777" w:rsidR="007840DE" w:rsidRPr="00324B27" w:rsidRDefault="007840DE" w:rsidP="007840DE">
            <w:pPr>
              <w:spacing w:before="0" w:line="240" w:lineRule="auto"/>
              <w:ind w:right="111"/>
              <w:jc w:val="left"/>
              <w:rPr>
                <w:rFonts w:cs="Calibri"/>
                <w:b w:val="0"/>
                <w:color w:val="000000"/>
                <w:sz w:val="18"/>
                <w:szCs w:val="18"/>
                <w:lang w:val="hy-AM" w:eastAsia="en-US"/>
              </w:rPr>
            </w:pPr>
          </w:p>
        </w:tc>
        <w:tc>
          <w:tcPr>
            <w:tcW w:w="1549" w:type="dxa"/>
            <w:tcBorders>
              <w:top w:val="single" w:sz="4" w:space="0" w:color="auto"/>
            </w:tcBorders>
            <w:shd w:val="clear" w:color="auto" w:fill="auto"/>
            <w:noWrap/>
            <w:vAlign w:val="center"/>
          </w:tcPr>
          <w:p w14:paraId="4DE3251B" w14:textId="77777777" w:rsidR="007840DE" w:rsidRPr="00324B27" w:rsidRDefault="007840DE" w:rsidP="007840DE">
            <w:pPr>
              <w:spacing w:before="0" w:line="240" w:lineRule="auto"/>
              <w:ind w:right="111"/>
              <w:jc w:val="center"/>
              <w:rPr>
                <w:rFonts w:cs="Calibri"/>
                <w:b w:val="0"/>
                <w:color w:val="000000"/>
                <w:sz w:val="18"/>
                <w:szCs w:val="18"/>
                <w:lang w:val="en-US" w:eastAsia="en-US"/>
              </w:rPr>
            </w:pPr>
          </w:p>
        </w:tc>
        <w:tc>
          <w:tcPr>
            <w:tcW w:w="1580" w:type="dxa"/>
            <w:tcBorders>
              <w:top w:val="single" w:sz="4" w:space="0" w:color="auto"/>
            </w:tcBorders>
            <w:shd w:val="clear" w:color="auto" w:fill="auto"/>
            <w:noWrap/>
            <w:vAlign w:val="center"/>
          </w:tcPr>
          <w:p w14:paraId="1E1364BD" w14:textId="77777777" w:rsidR="007840DE" w:rsidRPr="00324B27" w:rsidRDefault="007840DE" w:rsidP="007840DE">
            <w:pPr>
              <w:spacing w:before="0" w:line="240" w:lineRule="auto"/>
              <w:ind w:right="111"/>
              <w:jc w:val="center"/>
              <w:rPr>
                <w:rFonts w:cs="Calibri"/>
                <w:b w:val="0"/>
                <w:color w:val="000000"/>
                <w:sz w:val="18"/>
                <w:szCs w:val="18"/>
                <w:lang w:val="en-US" w:eastAsia="en-US"/>
              </w:rPr>
            </w:pPr>
          </w:p>
        </w:tc>
      </w:tr>
      <w:tr w:rsidR="007840DE" w:rsidRPr="00324B27" w14:paraId="1ED23719" w14:textId="77777777" w:rsidTr="00E94C66">
        <w:trPr>
          <w:trHeight w:val="327"/>
          <w:jc w:val="center"/>
        </w:trPr>
        <w:tc>
          <w:tcPr>
            <w:tcW w:w="6377" w:type="dxa"/>
            <w:tcBorders>
              <w:bottom w:val="nil"/>
            </w:tcBorders>
            <w:shd w:val="clear" w:color="auto" w:fill="auto"/>
            <w:noWrap/>
            <w:vAlign w:val="center"/>
          </w:tcPr>
          <w:p w14:paraId="198BE6A8" w14:textId="77777777" w:rsidR="007840DE" w:rsidRPr="00324B27" w:rsidRDefault="007840DE" w:rsidP="007840DE">
            <w:pPr>
              <w:spacing w:before="0" w:line="240" w:lineRule="auto"/>
              <w:ind w:right="111"/>
              <w:jc w:val="left"/>
              <w:rPr>
                <w:rFonts w:cs="Calibri"/>
                <w:b w:val="0"/>
                <w:color w:val="000000"/>
                <w:sz w:val="18"/>
                <w:szCs w:val="18"/>
                <w:lang w:val="hy-AM" w:eastAsia="en-US"/>
              </w:rPr>
            </w:pPr>
            <w:r w:rsidRPr="00324B27">
              <w:rPr>
                <w:rFonts w:cs="Calibri"/>
                <w:b w:val="0"/>
                <w:color w:val="000000"/>
                <w:sz w:val="18"/>
                <w:szCs w:val="18"/>
                <w:lang w:val="hy-AM" w:eastAsia="en-US"/>
              </w:rPr>
              <w:t>Համաշխարհային բանկ (</w:t>
            </w:r>
            <w:r w:rsidRPr="00324B27">
              <w:rPr>
                <w:rFonts w:cs="Calibri"/>
                <w:b w:val="0"/>
                <w:color w:val="000000"/>
                <w:sz w:val="18"/>
                <w:szCs w:val="18"/>
                <w:lang w:val="en-US" w:eastAsia="en-US"/>
              </w:rPr>
              <w:t xml:space="preserve">2023 </w:t>
            </w:r>
            <w:r w:rsidRPr="00324B27">
              <w:rPr>
                <w:rFonts w:cs="Calibri"/>
                <w:b w:val="0"/>
                <w:color w:val="000000"/>
                <w:sz w:val="18"/>
                <w:szCs w:val="18"/>
                <w:lang w:val="hy-AM" w:eastAsia="en-US"/>
              </w:rPr>
              <w:t>հունիս)</w:t>
            </w:r>
          </w:p>
        </w:tc>
        <w:tc>
          <w:tcPr>
            <w:tcW w:w="1549" w:type="dxa"/>
            <w:tcBorders>
              <w:bottom w:val="nil"/>
            </w:tcBorders>
            <w:shd w:val="clear" w:color="auto" w:fill="auto"/>
            <w:noWrap/>
          </w:tcPr>
          <w:p w14:paraId="271C82F7" w14:textId="77777777" w:rsidR="007840DE" w:rsidRPr="00324B27" w:rsidRDefault="007840DE" w:rsidP="007840DE">
            <w:pPr>
              <w:spacing w:before="0" w:line="240" w:lineRule="auto"/>
              <w:ind w:right="111"/>
              <w:jc w:val="center"/>
              <w:rPr>
                <w:rFonts w:cs="Calibri"/>
                <w:b w:val="0"/>
                <w:color w:val="000000"/>
                <w:sz w:val="18"/>
                <w:szCs w:val="18"/>
                <w:lang w:val="hy-AM" w:eastAsia="en-US"/>
              </w:rPr>
            </w:pPr>
            <w:r w:rsidRPr="00324B27">
              <w:rPr>
                <w:rFonts w:cs="Calibri"/>
                <w:b w:val="0"/>
                <w:color w:val="000000"/>
                <w:sz w:val="18"/>
                <w:szCs w:val="18"/>
                <w:lang w:val="en-US" w:eastAsia="en-US"/>
              </w:rPr>
              <w:t>4.4</w:t>
            </w:r>
          </w:p>
        </w:tc>
        <w:tc>
          <w:tcPr>
            <w:tcW w:w="1580" w:type="dxa"/>
            <w:tcBorders>
              <w:bottom w:val="nil"/>
            </w:tcBorders>
            <w:shd w:val="clear" w:color="auto" w:fill="auto"/>
            <w:noWrap/>
          </w:tcPr>
          <w:p w14:paraId="0BD8FF99" w14:textId="77777777" w:rsidR="007840DE" w:rsidRPr="00324B27" w:rsidRDefault="007840DE" w:rsidP="007840DE">
            <w:pPr>
              <w:spacing w:before="0" w:line="240" w:lineRule="auto"/>
              <w:ind w:right="111"/>
              <w:jc w:val="center"/>
              <w:rPr>
                <w:rFonts w:cs="Calibri"/>
                <w:b w:val="0"/>
                <w:color w:val="000000"/>
                <w:sz w:val="18"/>
                <w:szCs w:val="18"/>
                <w:lang w:val="en-US" w:eastAsia="en-US"/>
              </w:rPr>
            </w:pPr>
            <w:r w:rsidRPr="00324B27">
              <w:rPr>
                <w:rFonts w:cs="Calibri"/>
                <w:b w:val="0"/>
                <w:color w:val="000000"/>
                <w:sz w:val="18"/>
                <w:szCs w:val="18"/>
                <w:lang w:val="en-US" w:eastAsia="en-US"/>
              </w:rPr>
              <w:t>4.8</w:t>
            </w:r>
          </w:p>
        </w:tc>
      </w:tr>
      <w:tr w:rsidR="007840DE" w:rsidRPr="00324B27" w14:paraId="5A0E6892" w14:textId="77777777" w:rsidTr="00E94C66">
        <w:trPr>
          <w:trHeight w:val="327"/>
          <w:jc w:val="center"/>
        </w:trPr>
        <w:tc>
          <w:tcPr>
            <w:tcW w:w="6377" w:type="dxa"/>
            <w:tcBorders>
              <w:bottom w:val="single" w:sz="4" w:space="0" w:color="auto"/>
            </w:tcBorders>
            <w:shd w:val="clear" w:color="auto" w:fill="auto"/>
            <w:noWrap/>
            <w:vAlign w:val="center"/>
          </w:tcPr>
          <w:p w14:paraId="01987B80" w14:textId="77777777" w:rsidR="007840DE" w:rsidRPr="00324B27" w:rsidRDefault="007840DE" w:rsidP="007840DE">
            <w:pPr>
              <w:spacing w:before="0" w:line="240" w:lineRule="auto"/>
              <w:ind w:right="111"/>
              <w:jc w:val="left"/>
              <w:rPr>
                <w:rFonts w:cs="Calibri"/>
                <w:b w:val="0"/>
                <w:color w:val="000000"/>
                <w:sz w:val="18"/>
                <w:szCs w:val="18"/>
                <w:lang w:val="hy-AM" w:eastAsia="en-US"/>
              </w:rPr>
            </w:pPr>
            <w:r w:rsidRPr="00324B27">
              <w:rPr>
                <w:rFonts w:cs="Calibri"/>
                <w:b w:val="0"/>
                <w:color w:val="000000"/>
                <w:sz w:val="18"/>
                <w:szCs w:val="18"/>
                <w:lang w:val="hy-AM" w:eastAsia="en-US"/>
              </w:rPr>
              <w:t>Համաշխարհային բանկ (</w:t>
            </w:r>
            <w:r w:rsidRPr="00324B27">
              <w:rPr>
                <w:rFonts w:cs="Calibri"/>
                <w:b w:val="0"/>
                <w:color w:val="000000"/>
                <w:sz w:val="18"/>
                <w:szCs w:val="18"/>
                <w:lang w:val="en-US" w:eastAsia="en-US"/>
              </w:rPr>
              <w:t xml:space="preserve">2023 </w:t>
            </w:r>
            <w:r w:rsidRPr="00324B27">
              <w:rPr>
                <w:rFonts w:cs="Calibri"/>
                <w:b w:val="0"/>
                <w:color w:val="000000"/>
                <w:sz w:val="18"/>
                <w:szCs w:val="18"/>
                <w:lang w:val="hy-AM" w:eastAsia="en-US"/>
              </w:rPr>
              <w:t>հուն</w:t>
            </w:r>
            <w:r w:rsidRPr="00324B27">
              <w:rPr>
                <w:rFonts w:cs="Calibri"/>
                <w:b w:val="0"/>
                <w:color w:val="000000"/>
                <w:sz w:val="18"/>
                <w:szCs w:val="18"/>
                <w:lang w:val="en-US" w:eastAsia="en-US"/>
              </w:rPr>
              <w:t>վար</w:t>
            </w:r>
            <w:r w:rsidRPr="00324B27">
              <w:rPr>
                <w:rFonts w:cs="Calibri"/>
                <w:b w:val="0"/>
                <w:color w:val="000000"/>
                <w:sz w:val="18"/>
                <w:szCs w:val="18"/>
                <w:lang w:val="hy-AM" w:eastAsia="en-US"/>
              </w:rPr>
              <w:t>)</w:t>
            </w:r>
          </w:p>
        </w:tc>
        <w:tc>
          <w:tcPr>
            <w:tcW w:w="1549" w:type="dxa"/>
            <w:tcBorders>
              <w:bottom w:val="single" w:sz="4" w:space="0" w:color="auto"/>
            </w:tcBorders>
            <w:shd w:val="clear" w:color="auto" w:fill="auto"/>
            <w:noWrap/>
            <w:vAlign w:val="center"/>
          </w:tcPr>
          <w:p w14:paraId="51C68091" w14:textId="77777777" w:rsidR="007840DE" w:rsidRPr="00324B27" w:rsidRDefault="007840DE" w:rsidP="007840DE">
            <w:pPr>
              <w:spacing w:before="0" w:line="240" w:lineRule="auto"/>
              <w:ind w:right="111"/>
              <w:jc w:val="center"/>
              <w:rPr>
                <w:rFonts w:cs="Calibri"/>
                <w:b w:val="0"/>
                <w:color w:val="000000"/>
                <w:sz w:val="18"/>
                <w:szCs w:val="18"/>
                <w:lang w:val="hy-AM" w:eastAsia="en-US"/>
              </w:rPr>
            </w:pPr>
            <w:r w:rsidRPr="00324B27">
              <w:rPr>
                <w:rFonts w:cs="Calibri"/>
                <w:b w:val="0"/>
                <w:color w:val="000000"/>
                <w:sz w:val="18"/>
                <w:szCs w:val="18"/>
                <w:lang w:val="en-US" w:eastAsia="en-US"/>
              </w:rPr>
              <w:t>4.1</w:t>
            </w:r>
          </w:p>
        </w:tc>
        <w:tc>
          <w:tcPr>
            <w:tcW w:w="1580" w:type="dxa"/>
            <w:tcBorders>
              <w:bottom w:val="single" w:sz="4" w:space="0" w:color="auto"/>
            </w:tcBorders>
            <w:shd w:val="clear" w:color="auto" w:fill="auto"/>
            <w:noWrap/>
            <w:vAlign w:val="center"/>
          </w:tcPr>
          <w:p w14:paraId="473F14D1" w14:textId="77777777" w:rsidR="007840DE" w:rsidRPr="00324B27" w:rsidRDefault="007840DE" w:rsidP="007840DE">
            <w:pPr>
              <w:spacing w:before="0" w:line="240" w:lineRule="auto"/>
              <w:ind w:right="111"/>
              <w:jc w:val="center"/>
              <w:rPr>
                <w:rFonts w:cs="Calibri"/>
                <w:b w:val="0"/>
                <w:color w:val="000000"/>
                <w:sz w:val="18"/>
                <w:szCs w:val="18"/>
                <w:lang w:val="en-US" w:eastAsia="en-US"/>
              </w:rPr>
            </w:pPr>
            <w:r w:rsidRPr="00324B27">
              <w:rPr>
                <w:rFonts w:cs="Calibri"/>
                <w:b w:val="0"/>
                <w:color w:val="000000"/>
                <w:sz w:val="18"/>
                <w:szCs w:val="18"/>
                <w:lang w:val="en-US" w:eastAsia="en-US"/>
              </w:rPr>
              <w:t>4.8</w:t>
            </w:r>
          </w:p>
        </w:tc>
      </w:tr>
      <w:tr w:rsidR="007840DE" w:rsidRPr="00324B27" w14:paraId="33478629" w14:textId="77777777" w:rsidTr="00E94C66">
        <w:trPr>
          <w:trHeight w:val="327"/>
          <w:jc w:val="center"/>
        </w:trPr>
        <w:tc>
          <w:tcPr>
            <w:tcW w:w="6377" w:type="dxa"/>
            <w:tcBorders>
              <w:top w:val="single" w:sz="4" w:space="0" w:color="auto"/>
            </w:tcBorders>
            <w:shd w:val="clear" w:color="auto" w:fill="auto"/>
            <w:noWrap/>
            <w:vAlign w:val="center"/>
          </w:tcPr>
          <w:p w14:paraId="75CE904A" w14:textId="77777777" w:rsidR="007840DE" w:rsidRPr="00324B27" w:rsidRDefault="007840DE" w:rsidP="007840DE">
            <w:pPr>
              <w:spacing w:before="0" w:line="240" w:lineRule="auto"/>
              <w:ind w:right="111"/>
              <w:jc w:val="left"/>
              <w:rPr>
                <w:rFonts w:cs="Calibri"/>
                <w:b w:val="0"/>
                <w:color w:val="000000"/>
                <w:sz w:val="18"/>
                <w:szCs w:val="18"/>
                <w:lang w:val="hy-AM" w:eastAsia="en-US"/>
              </w:rPr>
            </w:pPr>
          </w:p>
        </w:tc>
        <w:tc>
          <w:tcPr>
            <w:tcW w:w="1549" w:type="dxa"/>
            <w:tcBorders>
              <w:top w:val="single" w:sz="4" w:space="0" w:color="auto"/>
            </w:tcBorders>
            <w:shd w:val="clear" w:color="auto" w:fill="auto"/>
            <w:noWrap/>
            <w:vAlign w:val="center"/>
          </w:tcPr>
          <w:p w14:paraId="10824C44" w14:textId="77777777" w:rsidR="007840DE" w:rsidRPr="00324B27" w:rsidRDefault="007840DE" w:rsidP="007840DE">
            <w:pPr>
              <w:spacing w:before="0" w:line="240" w:lineRule="auto"/>
              <w:ind w:right="111"/>
              <w:jc w:val="center"/>
              <w:rPr>
                <w:rFonts w:cs="Calibri"/>
                <w:b w:val="0"/>
                <w:color w:val="000000"/>
                <w:sz w:val="18"/>
                <w:szCs w:val="18"/>
                <w:lang w:val="hy-AM" w:eastAsia="en-US"/>
              </w:rPr>
            </w:pPr>
          </w:p>
        </w:tc>
        <w:tc>
          <w:tcPr>
            <w:tcW w:w="1580" w:type="dxa"/>
            <w:tcBorders>
              <w:top w:val="single" w:sz="4" w:space="0" w:color="auto"/>
            </w:tcBorders>
            <w:shd w:val="clear" w:color="auto" w:fill="auto"/>
            <w:noWrap/>
            <w:vAlign w:val="center"/>
          </w:tcPr>
          <w:p w14:paraId="71B47709" w14:textId="77777777" w:rsidR="007840DE" w:rsidRPr="00324B27" w:rsidRDefault="007840DE" w:rsidP="007840DE">
            <w:pPr>
              <w:spacing w:before="0" w:line="240" w:lineRule="auto"/>
              <w:ind w:right="111"/>
              <w:jc w:val="center"/>
              <w:rPr>
                <w:rFonts w:cs="Calibri"/>
                <w:b w:val="0"/>
                <w:color w:val="000000"/>
                <w:sz w:val="18"/>
                <w:szCs w:val="18"/>
                <w:lang w:val="en-US" w:eastAsia="en-US"/>
              </w:rPr>
            </w:pPr>
          </w:p>
        </w:tc>
      </w:tr>
      <w:tr w:rsidR="007840DE" w:rsidRPr="00324B27" w14:paraId="7C208500" w14:textId="77777777" w:rsidTr="00E94C66">
        <w:trPr>
          <w:trHeight w:val="327"/>
          <w:jc w:val="center"/>
        </w:trPr>
        <w:tc>
          <w:tcPr>
            <w:tcW w:w="6377" w:type="dxa"/>
            <w:shd w:val="clear" w:color="auto" w:fill="auto"/>
            <w:noWrap/>
            <w:vAlign w:val="center"/>
          </w:tcPr>
          <w:p w14:paraId="59F2B054" w14:textId="77777777" w:rsidR="007840DE" w:rsidRPr="00324B27" w:rsidRDefault="007840DE" w:rsidP="007840DE">
            <w:pPr>
              <w:spacing w:before="0" w:line="240" w:lineRule="auto"/>
              <w:ind w:right="111"/>
              <w:jc w:val="left"/>
              <w:rPr>
                <w:rFonts w:cs="Calibri"/>
                <w:b w:val="0"/>
                <w:color w:val="000000"/>
                <w:sz w:val="18"/>
                <w:szCs w:val="18"/>
                <w:lang w:val="hy-AM" w:eastAsia="en-US"/>
              </w:rPr>
            </w:pPr>
            <w:r w:rsidRPr="00324B27">
              <w:rPr>
                <w:rFonts w:cs="Calibri"/>
                <w:b w:val="0"/>
                <w:color w:val="000000"/>
                <w:sz w:val="18"/>
                <w:szCs w:val="18"/>
                <w:lang w:val="hy-AM" w:eastAsia="en-US"/>
              </w:rPr>
              <w:t>Մուդիս (202</w:t>
            </w:r>
            <w:r w:rsidRPr="00324B27">
              <w:rPr>
                <w:rFonts w:cs="Calibri"/>
                <w:b w:val="0"/>
                <w:color w:val="000000"/>
                <w:sz w:val="18"/>
                <w:szCs w:val="18"/>
                <w:lang w:eastAsia="en-US"/>
              </w:rPr>
              <w:t>3</w:t>
            </w:r>
            <w:r w:rsidRPr="00324B27">
              <w:rPr>
                <w:rFonts w:cs="Calibri"/>
                <w:b w:val="0"/>
                <w:color w:val="000000"/>
                <w:sz w:val="18"/>
                <w:szCs w:val="18"/>
                <w:lang w:val="hy-AM" w:eastAsia="en-US"/>
              </w:rPr>
              <w:t>թ. հունիս)</w:t>
            </w:r>
          </w:p>
        </w:tc>
        <w:tc>
          <w:tcPr>
            <w:tcW w:w="1549" w:type="dxa"/>
            <w:shd w:val="clear" w:color="auto" w:fill="auto"/>
            <w:noWrap/>
            <w:vAlign w:val="center"/>
          </w:tcPr>
          <w:p w14:paraId="4E6373C3" w14:textId="77777777" w:rsidR="007840DE" w:rsidRPr="00324B27" w:rsidRDefault="007840DE" w:rsidP="007840DE">
            <w:pPr>
              <w:spacing w:before="0" w:line="240" w:lineRule="auto"/>
              <w:ind w:right="111"/>
              <w:jc w:val="center"/>
              <w:rPr>
                <w:rFonts w:cs="Calibri"/>
                <w:b w:val="0"/>
                <w:color w:val="000000"/>
                <w:sz w:val="18"/>
                <w:szCs w:val="18"/>
                <w:lang w:val="en-US" w:eastAsia="en-US"/>
              </w:rPr>
            </w:pPr>
            <w:r w:rsidRPr="00324B27">
              <w:rPr>
                <w:rFonts w:cs="Calibri"/>
                <w:b w:val="0"/>
                <w:color w:val="000000"/>
                <w:sz w:val="18"/>
                <w:szCs w:val="18"/>
                <w:lang w:val="hy-AM" w:eastAsia="en-US"/>
              </w:rPr>
              <w:t>7</w:t>
            </w:r>
            <w:r w:rsidRPr="00324B27">
              <w:rPr>
                <w:rFonts w:cs="Calibri"/>
                <w:b w:val="0"/>
                <w:color w:val="000000"/>
                <w:sz w:val="18"/>
                <w:szCs w:val="18"/>
                <w:lang w:eastAsia="en-US"/>
              </w:rPr>
              <w:t>.</w:t>
            </w:r>
            <w:r w:rsidRPr="00324B27">
              <w:rPr>
                <w:rFonts w:cs="Calibri"/>
                <w:b w:val="0"/>
                <w:color w:val="000000"/>
                <w:sz w:val="18"/>
                <w:szCs w:val="18"/>
                <w:lang w:val="hy-AM" w:eastAsia="en-US"/>
              </w:rPr>
              <w:t>0</w:t>
            </w:r>
          </w:p>
        </w:tc>
        <w:tc>
          <w:tcPr>
            <w:tcW w:w="1580" w:type="dxa"/>
            <w:shd w:val="clear" w:color="auto" w:fill="auto"/>
            <w:noWrap/>
            <w:vAlign w:val="center"/>
          </w:tcPr>
          <w:p w14:paraId="585CD33C" w14:textId="77777777" w:rsidR="007840DE" w:rsidRPr="00324B27" w:rsidRDefault="007840DE" w:rsidP="007840DE">
            <w:pPr>
              <w:spacing w:before="0" w:line="240" w:lineRule="auto"/>
              <w:ind w:right="111"/>
              <w:jc w:val="center"/>
              <w:rPr>
                <w:rFonts w:cs="Calibri"/>
                <w:b w:val="0"/>
                <w:color w:val="000000"/>
                <w:sz w:val="18"/>
                <w:szCs w:val="18"/>
                <w:lang w:val="en-US" w:eastAsia="en-US"/>
              </w:rPr>
            </w:pPr>
            <w:r w:rsidRPr="00324B27">
              <w:rPr>
                <w:rFonts w:cs="Calibri"/>
                <w:b w:val="0"/>
                <w:color w:val="000000"/>
                <w:sz w:val="18"/>
                <w:szCs w:val="18"/>
                <w:lang w:val="hy-AM" w:eastAsia="en-US"/>
              </w:rPr>
              <w:t>5</w:t>
            </w:r>
            <w:r w:rsidRPr="00324B27">
              <w:rPr>
                <w:rFonts w:cs="Calibri"/>
                <w:b w:val="0"/>
                <w:color w:val="000000"/>
                <w:sz w:val="18"/>
                <w:szCs w:val="18"/>
                <w:lang w:eastAsia="en-US"/>
              </w:rPr>
              <w:t>.0</w:t>
            </w:r>
            <w:r w:rsidRPr="00324B27">
              <w:rPr>
                <w:rFonts w:cs="Calibri"/>
                <w:b w:val="0"/>
                <w:color w:val="000000"/>
                <w:sz w:val="18"/>
                <w:szCs w:val="18"/>
                <w:lang w:val="hy-AM" w:eastAsia="en-US"/>
              </w:rPr>
              <w:t>-6</w:t>
            </w:r>
            <w:r w:rsidRPr="00324B27">
              <w:rPr>
                <w:rFonts w:cs="Calibri"/>
                <w:b w:val="0"/>
                <w:color w:val="000000"/>
                <w:sz w:val="18"/>
                <w:szCs w:val="18"/>
                <w:lang w:val="en-GB" w:eastAsia="en-US"/>
              </w:rPr>
              <w:t>.</w:t>
            </w:r>
            <w:r w:rsidRPr="00324B27">
              <w:rPr>
                <w:rFonts w:cs="Calibri"/>
                <w:b w:val="0"/>
                <w:color w:val="000000"/>
                <w:sz w:val="18"/>
                <w:szCs w:val="18"/>
                <w:lang w:val="hy-AM" w:eastAsia="en-US"/>
              </w:rPr>
              <w:t>0</w:t>
            </w:r>
          </w:p>
        </w:tc>
      </w:tr>
      <w:tr w:rsidR="007840DE" w:rsidRPr="00324B27" w14:paraId="195D3308" w14:textId="77777777" w:rsidTr="00E94C66">
        <w:trPr>
          <w:trHeight w:val="327"/>
          <w:jc w:val="center"/>
        </w:trPr>
        <w:tc>
          <w:tcPr>
            <w:tcW w:w="6377" w:type="dxa"/>
            <w:shd w:val="clear" w:color="auto" w:fill="auto"/>
            <w:noWrap/>
            <w:vAlign w:val="center"/>
          </w:tcPr>
          <w:p w14:paraId="069B59E6" w14:textId="77777777" w:rsidR="007840DE" w:rsidRPr="00324B27" w:rsidRDefault="007840DE" w:rsidP="007840DE">
            <w:pPr>
              <w:spacing w:before="0" w:line="240" w:lineRule="auto"/>
              <w:ind w:right="111"/>
              <w:jc w:val="left"/>
              <w:rPr>
                <w:rFonts w:cs="Calibri"/>
                <w:b w:val="0"/>
                <w:color w:val="000000"/>
                <w:sz w:val="18"/>
                <w:szCs w:val="18"/>
                <w:lang w:val="hy-AM" w:eastAsia="en-US"/>
              </w:rPr>
            </w:pPr>
            <w:r w:rsidRPr="00324B27">
              <w:rPr>
                <w:rFonts w:cs="Calibri"/>
                <w:b w:val="0"/>
                <w:color w:val="000000"/>
                <w:sz w:val="18"/>
                <w:szCs w:val="18"/>
                <w:lang w:val="hy-AM" w:eastAsia="en-US"/>
              </w:rPr>
              <w:t>S&amp;P (2023թ. օգոստոս)</w:t>
            </w:r>
          </w:p>
        </w:tc>
        <w:tc>
          <w:tcPr>
            <w:tcW w:w="1549" w:type="dxa"/>
            <w:shd w:val="clear" w:color="auto" w:fill="auto"/>
            <w:noWrap/>
            <w:vAlign w:val="center"/>
          </w:tcPr>
          <w:p w14:paraId="10D47AA4" w14:textId="77777777" w:rsidR="007840DE" w:rsidRPr="00324B27" w:rsidRDefault="007840DE" w:rsidP="007840DE">
            <w:pPr>
              <w:spacing w:before="0" w:line="240" w:lineRule="auto"/>
              <w:ind w:right="111"/>
              <w:jc w:val="center"/>
              <w:rPr>
                <w:rFonts w:cs="Calibri"/>
                <w:b w:val="0"/>
                <w:color w:val="000000"/>
                <w:sz w:val="18"/>
                <w:szCs w:val="18"/>
                <w:lang w:val="en-US" w:eastAsia="en-US"/>
              </w:rPr>
            </w:pPr>
            <w:r w:rsidRPr="00324B27">
              <w:rPr>
                <w:rFonts w:cs="Calibri"/>
                <w:b w:val="0"/>
                <w:color w:val="000000"/>
                <w:sz w:val="18"/>
                <w:szCs w:val="18"/>
                <w:lang w:val="hy-AM" w:eastAsia="en-US"/>
              </w:rPr>
              <w:t>7</w:t>
            </w:r>
            <w:r w:rsidRPr="00324B27">
              <w:rPr>
                <w:rFonts w:cs="Calibri"/>
                <w:b w:val="0"/>
                <w:color w:val="000000"/>
                <w:sz w:val="18"/>
                <w:szCs w:val="18"/>
                <w:lang w:eastAsia="en-US"/>
              </w:rPr>
              <w:t>.</w:t>
            </w:r>
            <w:r w:rsidRPr="00324B27">
              <w:rPr>
                <w:rFonts w:cs="Calibri"/>
                <w:b w:val="0"/>
                <w:color w:val="000000"/>
                <w:sz w:val="18"/>
                <w:szCs w:val="18"/>
                <w:lang w:val="hy-AM" w:eastAsia="en-US"/>
              </w:rPr>
              <w:t>5</w:t>
            </w:r>
          </w:p>
        </w:tc>
        <w:tc>
          <w:tcPr>
            <w:tcW w:w="1580" w:type="dxa"/>
            <w:shd w:val="clear" w:color="auto" w:fill="auto"/>
            <w:noWrap/>
            <w:vAlign w:val="center"/>
          </w:tcPr>
          <w:p w14:paraId="42718DE4" w14:textId="77777777" w:rsidR="007840DE" w:rsidRPr="00324B27" w:rsidRDefault="007840DE" w:rsidP="007840DE">
            <w:pPr>
              <w:spacing w:before="0" w:line="240" w:lineRule="auto"/>
              <w:ind w:right="111"/>
              <w:jc w:val="center"/>
              <w:rPr>
                <w:rFonts w:cs="Calibri"/>
                <w:b w:val="0"/>
                <w:color w:val="000000"/>
                <w:sz w:val="18"/>
                <w:szCs w:val="18"/>
                <w:lang w:val="en-US" w:eastAsia="en-US"/>
              </w:rPr>
            </w:pPr>
            <w:r w:rsidRPr="00324B27">
              <w:rPr>
                <w:rFonts w:cs="Calibri"/>
                <w:b w:val="0"/>
                <w:color w:val="000000"/>
                <w:sz w:val="18"/>
                <w:szCs w:val="18"/>
                <w:lang w:val="hy-AM" w:eastAsia="en-US"/>
              </w:rPr>
              <w:t>4</w:t>
            </w:r>
            <w:r w:rsidRPr="00324B27">
              <w:rPr>
                <w:rFonts w:cs="Calibri"/>
                <w:b w:val="0"/>
                <w:color w:val="000000"/>
                <w:sz w:val="18"/>
                <w:szCs w:val="18"/>
                <w:lang w:eastAsia="en-US"/>
              </w:rPr>
              <w:t>.</w:t>
            </w:r>
            <w:r w:rsidRPr="00324B27">
              <w:rPr>
                <w:rFonts w:cs="Calibri"/>
                <w:b w:val="0"/>
                <w:color w:val="000000"/>
                <w:sz w:val="18"/>
                <w:szCs w:val="18"/>
                <w:lang w:val="hy-AM" w:eastAsia="en-US"/>
              </w:rPr>
              <w:t>5</w:t>
            </w:r>
          </w:p>
        </w:tc>
      </w:tr>
    </w:tbl>
    <w:p w14:paraId="277B6D29" w14:textId="70D05064" w:rsidR="007840DE" w:rsidRDefault="007840DE" w:rsidP="007840DE">
      <w:pPr>
        <w:spacing w:before="40" w:after="60" w:line="240" w:lineRule="auto"/>
        <w:ind w:right="115"/>
        <w:rPr>
          <w:b w:val="0"/>
          <w:sz w:val="18"/>
          <w:szCs w:val="18"/>
          <w:lang w:val="hy-AM"/>
        </w:rPr>
      </w:pPr>
      <w:r w:rsidRPr="00CB5EA7">
        <w:rPr>
          <w:b w:val="0"/>
          <w:sz w:val="18"/>
          <w:szCs w:val="18"/>
          <w:lang w:val="hy-AM"/>
        </w:rPr>
        <w:t>Աղբյուրը՝ համապատասխան կառույցների հրապարակումներ</w:t>
      </w:r>
    </w:p>
    <w:p w14:paraId="02A8FA54" w14:textId="77777777" w:rsidR="00001B7F" w:rsidRPr="00A83C94" w:rsidRDefault="00001B7F" w:rsidP="007840DE">
      <w:pPr>
        <w:spacing w:before="40" w:after="60" w:line="240" w:lineRule="auto"/>
        <w:ind w:right="115"/>
        <w:rPr>
          <w:b w:val="0"/>
          <w:bCs/>
          <w:color w:val="1F497D"/>
          <w:sz w:val="28"/>
          <w:szCs w:val="28"/>
        </w:rPr>
      </w:pPr>
    </w:p>
    <w:p w14:paraId="4B168535" w14:textId="4A67C6A3" w:rsidR="0087134D" w:rsidRPr="00290696" w:rsidRDefault="0087134D" w:rsidP="0009272D">
      <w:pPr>
        <w:pStyle w:val="Heading1"/>
      </w:pPr>
      <w:bookmarkStart w:id="142" w:name="_Toc153184520"/>
      <w:bookmarkStart w:id="143" w:name="_Toc165901467"/>
      <w:r w:rsidRPr="00290696">
        <w:t xml:space="preserve">4. </w:t>
      </w:r>
      <w:bookmarkEnd w:id="129"/>
      <w:bookmarkEnd w:id="130"/>
      <w:r w:rsidR="004644E7" w:rsidRPr="00290696">
        <w:t>ԵՆԹԱԿԱՌՈՒՑՎԱԾՔԱՅԻՆ ԵՎ ԱՅԼ ՈԼՈՐՏՆԵՐՈՒՄ ԳՈՐԾՈՂ ԿԱԶՄԱԿԵՐՊՈՒԹՅՈՒՆՆԵՐԻ ԳՈՐԾՈՒՆԵՈՒԹՅԱՆՆ ԱՌՆՉՎՈՂ ՀԱՐԿԱԲՅՈՒՋԵՏԱՅԻՆ ՌԻՍԿԵՐԻ ԳՆԱՀԱՏԱԿԱՆԸ</w:t>
      </w:r>
      <w:bookmarkEnd w:id="142"/>
      <w:bookmarkEnd w:id="143"/>
    </w:p>
    <w:p w14:paraId="5449E537" w14:textId="77777777" w:rsidR="0078250D" w:rsidRDefault="0078250D" w:rsidP="0078250D">
      <w:pPr>
        <w:tabs>
          <w:tab w:val="left" w:pos="0"/>
        </w:tabs>
        <w:jc w:val="center"/>
        <w:rPr>
          <w:b w:val="0"/>
          <w:lang w:val="hy-AM"/>
        </w:rPr>
      </w:pPr>
      <w:bookmarkStart w:id="144" w:name="_Toc45838554"/>
    </w:p>
    <w:p w14:paraId="31EB5FE6" w14:textId="77777777" w:rsidR="0078250D" w:rsidRPr="0078250D" w:rsidRDefault="0078250D" w:rsidP="0078250D">
      <w:pPr>
        <w:tabs>
          <w:tab w:val="left" w:pos="0"/>
        </w:tabs>
        <w:rPr>
          <w:b w:val="0"/>
          <w:bCs/>
          <w:lang w:val="hy-AM"/>
        </w:rPr>
      </w:pPr>
      <w:bookmarkStart w:id="145" w:name="_Hlk152262316"/>
      <w:r w:rsidRPr="0078250D">
        <w:rPr>
          <w:b w:val="0"/>
          <w:bCs/>
          <w:lang w:val="hy-AM"/>
        </w:rPr>
        <w:t xml:space="preserve">2023 թվականին Լաչինի միջանցքի ավելի քան 9-ամսյա արգելափակումը, ինչպես նաև 2023 թվականի սեպտեմբերի 19-ին Ադրբեջանի կողմից Լեռնային Ղարաբաղի ժողովրդի դեմ սանձազերծված ռազմական հարձակումը հանգեցրել են ԼՂ բնակչության զանգվածային բռնի տեղահանման: </w:t>
      </w:r>
    </w:p>
    <w:p w14:paraId="4DDE5C6E" w14:textId="2F7E785B" w:rsidR="008B76F4" w:rsidRPr="00D51898" w:rsidRDefault="0078250D" w:rsidP="00096B34">
      <w:pPr>
        <w:tabs>
          <w:tab w:val="left" w:pos="0"/>
        </w:tabs>
        <w:rPr>
          <w:rFonts w:eastAsia="Calibri" w:cs="Times Armenian"/>
          <w:b w:val="0"/>
          <w:bCs/>
          <w:szCs w:val="22"/>
          <w:lang w:val="hy-AM" w:eastAsia="en-US"/>
        </w:rPr>
      </w:pPr>
      <w:r w:rsidRPr="0078250D">
        <w:rPr>
          <w:b w:val="0"/>
          <w:bCs/>
          <w:lang w:val="hy-AM"/>
        </w:rPr>
        <w:t>Հաշվի առնելով վերջին ժամանակներում ստեղծված իրավիճակը և վերջինիս ազդեցությունը ֆիսկալ ռիսկերի գնահատման համատեքստում՝  դրամական արտահայտությամբ հասցված վնասների գնահատումն այժմ գտնվում է նախնական գործընթացում: Իսկ հաշվետու ժամանակահատվածի համար՝ ֆիսկալ կայունությունը վտանգող դիսկրետ բացահայտված ռիսկերը ներկայանում ենք ստորև։</w:t>
      </w:r>
      <w:bookmarkEnd w:id="144"/>
      <w:bookmarkEnd w:id="145"/>
    </w:p>
    <w:sectPr w:rsidR="008B76F4" w:rsidRPr="00D51898" w:rsidSect="0078250D">
      <w:footerReference w:type="default" r:id="rId68"/>
      <w:pgSz w:w="11906" w:h="16838" w:code="9"/>
      <w:pgMar w:top="1134" w:right="1015" w:bottom="425" w:left="1134"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C9B22" w14:textId="77777777" w:rsidR="00083152" w:rsidRDefault="00083152" w:rsidP="00F52B25">
      <w:r>
        <w:separator/>
      </w:r>
    </w:p>
  </w:endnote>
  <w:endnote w:type="continuationSeparator" w:id="0">
    <w:p w14:paraId="7BCAE056" w14:textId="77777777" w:rsidR="00083152" w:rsidRDefault="00083152" w:rsidP="00F52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auto"/>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imes LatArm">
    <w:panose1 w:val="00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AMU">
    <w:charset w:val="00"/>
    <w:family w:val="swiss"/>
    <w:pitch w:val="variable"/>
    <w:sig w:usb0="800006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LatArm">
    <w:panose1 w:val="020B0604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w:charset w:val="00"/>
    <w:family w:val="auto"/>
    <w:pitch w:val="variable"/>
    <w:sig w:usb0="80000267" w:usb1="00000000" w:usb2="00000000" w:usb3="00000000" w:csb0="000001F7" w:csb1="00000000"/>
  </w:font>
  <w:font w:name="MS Mincho">
    <w:altName w:val="Yu Gothic UI"/>
    <w:panose1 w:val="02020609040205080304"/>
    <w:charset w:val="80"/>
    <w:family w:val="modern"/>
    <w:pitch w:val="fixed"/>
    <w:sig w:usb0="E00002FF" w:usb1="6AC7FDFB" w:usb2="08000012" w:usb3="00000000" w:csb0="0002009F" w:csb1="00000000"/>
  </w:font>
  <w:font w:name="Baltica">
    <w:panose1 w:val="00000000000000000000"/>
    <w:charset w:val="00"/>
    <w:family w:val="auto"/>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Russian Baltica">
    <w:charset w:val="00"/>
    <w:family w:val="roman"/>
    <w:pitch w:val="variable"/>
    <w:sig w:usb0="00000003" w:usb1="00000000" w:usb2="00000000" w:usb3="00000000" w:csb0="00000001" w:csb1="00000000"/>
  </w:font>
  <w:font w:name="Dallak Helv">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GHEA Mariam">
    <w:panose1 w:val="02000503080000020003"/>
    <w:charset w:val="00"/>
    <w:family w:val="modern"/>
    <w:notTrueType/>
    <w:pitch w:val="variable"/>
    <w:sig w:usb0="A00006AF" w:usb1="5000204B" w:usb2="00000000" w:usb3="00000000" w:csb0="0000009F" w:csb1="00000000"/>
  </w:font>
  <w:font w:name="Liberation Sans">
    <w:altName w:val="Arial"/>
    <w:charset w:val="01"/>
    <w:family w:val="roman"/>
    <w:pitch w:val="variable"/>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Unicode">
    <w:panose1 w:val="0202060305040502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erriweather">
    <w:altName w:val="Courier New"/>
    <w:charset w:val="00"/>
    <w:family w:val="auto"/>
    <w:pitch w:val="variable"/>
    <w:sig w:usb0="20000207" w:usb1="00000002"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FB1EB" w14:textId="18706D38" w:rsidR="00522278" w:rsidRPr="00E37514" w:rsidRDefault="00522278">
    <w:pPr>
      <w:pStyle w:val="Footer"/>
      <w:jc w:val="right"/>
      <w:rPr>
        <w:szCs w:val="22"/>
      </w:rPr>
    </w:pPr>
    <w:r w:rsidRPr="00E37514">
      <w:rPr>
        <w:szCs w:val="22"/>
      </w:rPr>
      <w:fldChar w:fldCharType="begin"/>
    </w:r>
    <w:r w:rsidRPr="00E37514">
      <w:rPr>
        <w:szCs w:val="22"/>
      </w:rPr>
      <w:instrText xml:space="preserve"> PAGE   \* MERGEFORMAT </w:instrText>
    </w:r>
    <w:r w:rsidRPr="00E37514">
      <w:rPr>
        <w:szCs w:val="22"/>
      </w:rPr>
      <w:fldChar w:fldCharType="separate"/>
    </w:r>
    <w:r>
      <w:rPr>
        <w:noProof/>
        <w:szCs w:val="22"/>
      </w:rPr>
      <w:t>2</w:t>
    </w:r>
    <w:r w:rsidRPr="00E37514">
      <w:rPr>
        <w:noProof/>
        <w:szCs w:val="22"/>
      </w:rPr>
      <w:fldChar w:fldCharType="end"/>
    </w:r>
  </w:p>
  <w:p w14:paraId="01B9663B" w14:textId="77777777" w:rsidR="00522278" w:rsidRDefault="0052227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3810316"/>
      <w:docPartObj>
        <w:docPartGallery w:val="Page Numbers (Bottom of Page)"/>
        <w:docPartUnique/>
      </w:docPartObj>
    </w:sdtPr>
    <w:sdtEndPr>
      <w:rPr>
        <w:b w:val="0"/>
        <w:bCs/>
        <w:noProof/>
        <w:sz w:val="20"/>
        <w:szCs w:val="20"/>
      </w:rPr>
    </w:sdtEndPr>
    <w:sdtContent>
      <w:p w14:paraId="520AED34" w14:textId="0ED4CA1F" w:rsidR="00083152" w:rsidRPr="005A7BCD" w:rsidRDefault="00083152">
        <w:pPr>
          <w:pStyle w:val="Footer"/>
          <w:jc w:val="right"/>
          <w:rPr>
            <w:b w:val="0"/>
            <w:bCs/>
            <w:sz w:val="20"/>
            <w:szCs w:val="20"/>
          </w:rPr>
        </w:pPr>
        <w:r w:rsidRPr="005A7BCD">
          <w:rPr>
            <w:b w:val="0"/>
            <w:bCs/>
            <w:sz w:val="20"/>
            <w:szCs w:val="20"/>
          </w:rPr>
          <w:fldChar w:fldCharType="begin"/>
        </w:r>
        <w:r w:rsidRPr="005A7BCD">
          <w:rPr>
            <w:b w:val="0"/>
            <w:bCs/>
            <w:sz w:val="20"/>
            <w:szCs w:val="20"/>
          </w:rPr>
          <w:instrText xml:space="preserve"> PAGE   \* MERGEFORMAT </w:instrText>
        </w:r>
        <w:r w:rsidRPr="005A7BCD">
          <w:rPr>
            <w:b w:val="0"/>
            <w:bCs/>
            <w:sz w:val="20"/>
            <w:szCs w:val="20"/>
          </w:rPr>
          <w:fldChar w:fldCharType="separate"/>
        </w:r>
        <w:r w:rsidR="00522278">
          <w:rPr>
            <w:b w:val="0"/>
            <w:bCs/>
            <w:noProof/>
            <w:sz w:val="20"/>
            <w:szCs w:val="20"/>
          </w:rPr>
          <w:t>37</w:t>
        </w:r>
        <w:r w:rsidRPr="005A7BCD">
          <w:rPr>
            <w:b w:val="0"/>
            <w:bCs/>
            <w:noProof/>
            <w:sz w:val="20"/>
            <w:szCs w:val="20"/>
          </w:rPr>
          <w:fldChar w:fldCharType="end"/>
        </w:r>
      </w:p>
    </w:sdtContent>
  </w:sdt>
  <w:p w14:paraId="04266363" w14:textId="77777777" w:rsidR="00083152" w:rsidRDefault="0008315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B275E" w14:textId="77777777" w:rsidR="00083152" w:rsidRDefault="00083152" w:rsidP="00F52B25">
      <w:r>
        <w:separator/>
      </w:r>
    </w:p>
  </w:footnote>
  <w:footnote w:type="continuationSeparator" w:id="0">
    <w:p w14:paraId="5807B769" w14:textId="77777777" w:rsidR="00083152" w:rsidRDefault="00083152" w:rsidP="00F52B25">
      <w:r>
        <w:continuationSeparator/>
      </w:r>
    </w:p>
  </w:footnote>
  <w:footnote w:id="1">
    <w:p w14:paraId="5DB8780D" w14:textId="77777777" w:rsidR="00083152" w:rsidRPr="002D6400" w:rsidRDefault="00083152" w:rsidP="005D1807">
      <w:pPr>
        <w:rPr>
          <w:b w:val="0"/>
          <w:bCs/>
          <w:sz w:val="16"/>
          <w:szCs w:val="16"/>
        </w:rPr>
      </w:pPr>
      <w:r w:rsidRPr="002D6400">
        <w:rPr>
          <w:b w:val="0"/>
          <w:bCs/>
          <w:sz w:val="16"/>
          <w:szCs w:val="16"/>
        </w:rPr>
        <w:footnoteRef/>
      </w:r>
      <w:r w:rsidRPr="002D6400">
        <w:rPr>
          <w:b w:val="0"/>
          <w:bCs/>
          <w:sz w:val="16"/>
          <w:szCs w:val="16"/>
        </w:rPr>
        <w:t>Կապիտալ ներդրումներում ներառված չէ պաշարների փոփոխությունը, ներկայացված են միայն հիմնական միջոցներում կատարված կապիտալ ներդրումները, քանի որ 2019</w:t>
      </w:r>
      <w:proofErr w:type="gramStart"/>
      <w:r w:rsidRPr="002D6400">
        <w:rPr>
          <w:b w:val="0"/>
          <w:bCs/>
          <w:sz w:val="16"/>
          <w:szCs w:val="16"/>
        </w:rPr>
        <w:t>թ.-</w:t>
      </w:r>
      <w:proofErr w:type="gramEnd"/>
      <w:r w:rsidRPr="002D6400">
        <w:rPr>
          <w:b w:val="0"/>
          <w:bCs/>
          <w:sz w:val="16"/>
          <w:szCs w:val="16"/>
        </w:rPr>
        <w:t xml:space="preserve">ից ՀՀ ՎԿ կողմից պաշարների փոփոխությունը հաշվառվում է որպես հաշվեկշռող գործոն կամ այլ կերպ՝ վիճակագրական սխալները ներառվում են դրա մեջ: </w:t>
      </w:r>
    </w:p>
  </w:footnote>
  <w:footnote w:id="2">
    <w:p w14:paraId="08E278CC" w14:textId="77777777" w:rsidR="00083152" w:rsidRPr="005D1807" w:rsidRDefault="00083152" w:rsidP="005D1807">
      <w:pPr>
        <w:rPr>
          <w:b w:val="0"/>
          <w:bCs/>
          <w:sz w:val="16"/>
          <w:szCs w:val="16"/>
          <w:lang w:val="en-US"/>
        </w:rPr>
      </w:pPr>
      <w:r w:rsidRPr="005D1807">
        <w:rPr>
          <w:b w:val="0"/>
          <w:bCs/>
          <w:sz w:val="16"/>
          <w:szCs w:val="16"/>
        </w:rPr>
        <w:footnoteRef/>
      </w:r>
      <w:r w:rsidRPr="005D1807">
        <w:rPr>
          <w:b w:val="0"/>
          <w:bCs/>
          <w:sz w:val="16"/>
          <w:szCs w:val="16"/>
          <w:lang w:val="en-US"/>
        </w:rPr>
        <w:t xml:space="preserve"> </w:t>
      </w:r>
      <w:r w:rsidRPr="005D1807">
        <w:rPr>
          <w:b w:val="0"/>
          <w:bCs/>
          <w:sz w:val="16"/>
          <w:szCs w:val="16"/>
        </w:rPr>
        <w:t>Աղբյուրը՝</w:t>
      </w:r>
      <w:r w:rsidRPr="005D1807">
        <w:rPr>
          <w:b w:val="0"/>
          <w:bCs/>
          <w:sz w:val="16"/>
          <w:szCs w:val="16"/>
          <w:lang w:val="en-US"/>
        </w:rPr>
        <w:t xml:space="preserve"> PMI by S&amp;P Global, </w:t>
      </w:r>
      <w:hyperlink r:id="rId1" w:history="1">
        <w:r w:rsidRPr="005D1807">
          <w:rPr>
            <w:b w:val="0"/>
            <w:bCs/>
            <w:sz w:val="16"/>
            <w:szCs w:val="16"/>
            <w:lang w:val="en-US"/>
          </w:rPr>
          <w:t>https://www.pmi.spglobal.com/Public/Release/PressReleases?language=en</w:t>
        </w:r>
      </w:hyperlink>
      <w:r w:rsidRPr="005D1807">
        <w:rPr>
          <w:b w:val="0"/>
          <w:bCs/>
          <w:sz w:val="16"/>
          <w:szCs w:val="16"/>
          <w:lang w:val="en-US"/>
        </w:rPr>
        <w:t xml:space="preserve"> </w:t>
      </w:r>
    </w:p>
  </w:footnote>
  <w:footnote w:id="3">
    <w:p w14:paraId="7340D710" w14:textId="77777777" w:rsidR="00083152" w:rsidRPr="005D1807" w:rsidRDefault="00083152" w:rsidP="005D1807">
      <w:pPr>
        <w:rPr>
          <w:b w:val="0"/>
          <w:bCs/>
          <w:sz w:val="16"/>
          <w:szCs w:val="16"/>
          <w:lang w:val="en-US"/>
        </w:rPr>
      </w:pPr>
      <w:r w:rsidRPr="005D1807">
        <w:rPr>
          <w:b w:val="0"/>
          <w:bCs/>
          <w:sz w:val="16"/>
          <w:szCs w:val="16"/>
        </w:rPr>
        <w:footnoteRef/>
      </w:r>
      <w:r w:rsidRPr="005D1807">
        <w:rPr>
          <w:b w:val="0"/>
          <w:bCs/>
          <w:sz w:val="16"/>
          <w:szCs w:val="16"/>
          <w:lang w:val="en-US"/>
        </w:rPr>
        <w:t xml:space="preserve"> </w:t>
      </w:r>
      <w:r w:rsidRPr="005D1807">
        <w:rPr>
          <w:b w:val="0"/>
          <w:bCs/>
          <w:sz w:val="16"/>
          <w:szCs w:val="16"/>
        </w:rPr>
        <w:t>Աղբյուրը՝</w:t>
      </w:r>
      <w:r w:rsidRPr="005D1807">
        <w:rPr>
          <w:b w:val="0"/>
          <w:bCs/>
          <w:sz w:val="16"/>
          <w:szCs w:val="16"/>
          <w:lang w:val="en-US"/>
        </w:rPr>
        <w:t xml:space="preserve"> </w:t>
      </w:r>
      <w:r w:rsidRPr="005D1807">
        <w:rPr>
          <w:b w:val="0"/>
          <w:bCs/>
          <w:sz w:val="16"/>
          <w:szCs w:val="16"/>
        </w:rPr>
        <w:t>Տնտեսական</w:t>
      </w:r>
      <w:r w:rsidRPr="005D1807">
        <w:rPr>
          <w:b w:val="0"/>
          <w:bCs/>
          <w:sz w:val="16"/>
          <w:szCs w:val="16"/>
          <w:lang w:val="en-US"/>
        </w:rPr>
        <w:t xml:space="preserve"> </w:t>
      </w:r>
      <w:r w:rsidRPr="005D1807">
        <w:rPr>
          <w:b w:val="0"/>
          <w:bCs/>
          <w:sz w:val="16"/>
          <w:szCs w:val="16"/>
        </w:rPr>
        <w:t>վերլուծությունների</w:t>
      </w:r>
      <w:r w:rsidRPr="005D1807">
        <w:rPr>
          <w:b w:val="0"/>
          <w:bCs/>
          <w:sz w:val="16"/>
          <w:szCs w:val="16"/>
          <w:lang w:val="en-US"/>
        </w:rPr>
        <w:t xml:space="preserve"> </w:t>
      </w:r>
      <w:r w:rsidRPr="005D1807">
        <w:rPr>
          <w:b w:val="0"/>
          <w:bCs/>
          <w:sz w:val="16"/>
          <w:szCs w:val="16"/>
        </w:rPr>
        <w:t>բյուրո</w:t>
      </w:r>
      <w:r w:rsidRPr="005D1807">
        <w:rPr>
          <w:b w:val="0"/>
          <w:bCs/>
          <w:sz w:val="16"/>
          <w:szCs w:val="16"/>
          <w:lang w:val="en-US"/>
        </w:rPr>
        <w:t xml:space="preserve">, </w:t>
      </w:r>
      <w:hyperlink r:id="rId2" w:history="1">
        <w:r w:rsidRPr="005D1807">
          <w:rPr>
            <w:b w:val="0"/>
            <w:bCs/>
            <w:sz w:val="16"/>
            <w:szCs w:val="16"/>
            <w:lang w:val="en-US"/>
          </w:rPr>
          <w:t>https://www.bea.gov/</w:t>
        </w:r>
      </w:hyperlink>
      <w:r w:rsidRPr="005D1807">
        <w:rPr>
          <w:b w:val="0"/>
          <w:bCs/>
          <w:sz w:val="16"/>
          <w:szCs w:val="16"/>
          <w:lang w:val="en-US"/>
        </w:rPr>
        <w:t xml:space="preserve"> </w:t>
      </w:r>
    </w:p>
  </w:footnote>
  <w:footnote w:id="4">
    <w:p w14:paraId="1987806B" w14:textId="77777777" w:rsidR="00083152" w:rsidRPr="005D1807" w:rsidRDefault="00083152" w:rsidP="005D1807">
      <w:pPr>
        <w:rPr>
          <w:b w:val="0"/>
          <w:bCs/>
          <w:sz w:val="16"/>
          <w:szCs w:val="16"/>
          <w:lang w:val="en-US"/>
        </w:rPr>
      </w:pPr>
      <w:r w:rsidRPr="005D1807">
        <w:rPr>
          <w:b w:val="0"/>
          <w:bCs/>
          <w:sz w:val="16"/>
          <w:szCs w:val="16"/>
        </w:rPr>
        <w:footnoteRef/>
      </w:r>
      <w:r w:rsidRPr="005D1807">
        <w:rPr>
          <w:b w:val="0"/>
          <w:bCs/>
          <w:sz w:val="16"/>
          <w:szCs w:val="16"/>
          <w:lang w:val="en-US"/>
        </w:rPr>
        <w:t xml:space="preserve"> </w:t>
      </w:r>
      <w:r w:rsidRPr="005D1807">
        <w:rPr>
          <w:b w:val="0"/>
          <w:bCs/>
          <w:sz w:val="16"/>
          <w:szCs w:val="16"/>
        </w:rPr>
        <w:t>Աղբյուրը՝</w:t>
      </w:r>
      <w:r w:rsidRPr="005D1807">
        <w:rPr>
          <w:b w:val="0"/>
          <w:bCs/>
          <w:sz w:val="16"/>
          <w:szCs w:val="16"/>
          <w:lang w:val="en-US"/>
        </w:rPr>
        <w:t xml:space="preserve"> </w:t>
      </w:r>
      <w:r w:rsidRPr="005D1807">
        <w:rPr>
          <w:b w:val="0"/>
          <w:bCs/>
          <w:sz w:val="16"/>
          <w:szCs w:val="16"/>
        </w:rPr>
        <w:t>Եվրոստատ</w:t>
      </w:r>
      <w:r w:rsidRPr="005D1807">
        <w:rPr>
          <w:b w:val="0"/>
          <w:bCs/>
          <w:sz w:val="16"/>
          <w:szCs w:val="16"/>
          <w:lang w:val="en-US"/>
        </w:rPr>
        <w:t xml:space="preserve">, </w:t>
      </w:r>
      <w:hyperlink r:id="rId3" w:history="1">
        <w:r w:rsidRPr="005D1807">
          <w:rPr>
            <w:b w:val="0"/>
            <w:bCs/>
            <w:sz w:val="16"/>
            <w:szCs w:val="16"/>
            <w:lang w:val="en-US"/>
          </w:rPr>
          <w:t>https://ec.europa.eu/eurostat/</w:t>
        </w:r>
      </w:hyperlink>
      <w:r w:rsidRPr="005D1807">
        <w:rPr>
          <w:b w:val="0"/>
          <w:bCs/>
          <w:sz w:val="16"/>
          <w:szCs w:val="16"/>
          <w:lang w:val="en-US"/>
        </w:rPr>
        <w:t xml:space="preserve"> </w:t>
      </w:r>
    </w:p>
  </w:footnote>
  <w:footnote w:id="5">
    <w:p w14:paraId="7E56493B" w14:textId="77777777" w:rsidR="00083152" w:rsidRPr="005D1807" w:rsidRDefault="00083152" w:rsidP="005D1807">
      <w:pPr>
        <w:rPr>
          <w:b w:val="0"/>
          <w:bCs/>
          <w:sz w:val="16"/>
          <w:szCs w:val="16"/>
          <w:lang w:val="en-US"/>
        </w:rPr>
      </w:pPr>
      <w:r w:rsidRPr="005D1807">
        <w:rPr>
          <w:b w:val="0"/>
          <w:bCs/>
          <w:sz w:val="16"/>
          <w:szCs w:val="16"/>
        </w:rPr>
        <w:footnoteRef/>
      </w:r>
      <w:r w:rsidRPr="005D1807">
        <w:rPr>
          <w:b w:val="0"/>
          <w:bCs/>
          <w:sz w:val="16"/>
          <w:szCs w:val="16"/>
          <w:lang w:val="en-US"/>
        </w:rPr>
        <w:t xml:space="preserve"> </w:t>
      </w:r>
      <w:r w:rsidRPr="005D1807">
        <w:rPr>
          <w:b w:val="0"/>
          <w:bCs/>
          <w:sz w:val="16"/>
          <w:szCs w:val="16"/>
        </w:rPr>
        <w:t>Աղբյուրը՝</w:t>
      </w:r>
      <w:r w:rsidRPr="005D1807">
        <w:rPr>
          <w:b w:val="0"/>
          <w:bCs/>
          <w:sz w:val="16"/>
          <w:szCs w:val="16"/>
          <w:lang w:val="en-US"/>
        </w:rPr>
        <w:t xml:space="preserve"> </w:t>
      </w:r>
      <w:r w:rsidRPr="005D1807">
        <w:rPr>
          <w:b w:val="0"/>
          <w:bCs/>
          <w:sz w:val="16"/>
          <w:szCs w:val="16"/>
        </w:rPr>
        <w:t>Չինաստանի</w:t>
      </w:r>
      <w:r w:rsidRPr="005D1807">
        <w:rPr>
          <w:b w:val="0"/>
          <w:bCs/>
          <w:sz w:val="16"/>
          <w:szCs w:val="16"/>
          <w:lang w:val="en-US"/>
        </w:rPr>
        <w:t xml:space="preserve"> </w:t>
      </w:r>
      <w:r w:rsidRPr="005D1807">
        <w:rPr>
          <w:b w:val="0"/>
          <w:bCs/>
          <w:sz w:val="16"/>
          <w:szCs w:val="16"/>
        </w:rPr>
        <w:t>վիճակագրության</w:t>
      </w:r>
      <w:r w:rsidRPr="005D1807">
        <w:rPr>
          <w:b w:val="0"/>
          <w:bCs/>
          <w:sz w:val="16"/>
          <w:szCs w:val="16"/>
          <w:lang w:val="en-US"/>
        </w:rPr>
        <w:t xml:space="preserve"> </w:t>
      </w:r>
      <w:r w:rsidRPr="005D1807">
        <w:rPr>
          <w:b w:val="0"/>
          <w:bCs/>
          <w:sz w:val="16"/>
          <w:szCs w:val="16"/>
        </w:rPr>
        <w:t>ազգային</w:t>
      </w:r>
      <w:r w:rsidRPr="005D1807">
        <w:rPr>
          <w:b w:val="0"/>
          <w:bCs/>
          <w:sz w:val="16"/>
          <w:szCs w:val="16"/>
          <w:lang w:val="en-US"/>
        </w:rPr>
        <w:t xml:space="preserve"> </w:t>
      </w:r>
      <w:r w:rsidRPr="005D1807">
        <w:rPr>
          <w:b w:val="0"/>
          <w:bCs/>
          <w:sz w:val="16"/>
          <w:szCs w:val="16"/>
        </w:rPr>
        <w:t>բյուրո</w:t>
      </w:r>
      <w:r w:rsidRPr="005D1807">
        <w:rPr>
          <w:b w:val="0"/>
          <w:bCs/>
          <w:sz w:val="16"/>
          <w:szCs w:val="16"/>
          <w:lang w:val="en-US"/>
        </w:rPr>
        <w:t xml:space="preserve">, </w:t>
      </w:r>
      <w:hyperlink r:id="rId4" w:history="1">
        <w:r w:rsidRPr="005D1807">
          <w:rPr>
            <w:b w:val="0"/>
            <w:bCs/>
            <w:sz w:val="16"/>
            <w:szCs w:val="16"/>
            <w:lang w:val="en-US"/>
          </w:rPr>
          <w:t>http://www.stats.gov.cn/</w:t>
        </w:r>
      </w:hyperlink>
      <w:r w:rsidRPr="005D1807">
        <w:rPr>
          <w:b w:val="0"/>
          <w:bCs/>
          <w:sz w:val="16"/>
          <w:szCs w:val="16"/>
          <w:lang w:val="en-US"/>
        </w:rPr>
        <w:t xml:space="preserve"> </w:t>
      </w:r>
    </w:p>
  </w:footnote>
  <w:footnote w:id="6">
    <w:p w14:paraId="4F445DC2" w14:textId="77777777" w:rsidR="00083152" w:rsidRPr="005D1807" w:rsidRDefault="00083152" w:rsidP="005D1807">
      <w:pPr>
        <w:rPr>
          <w:b w:val="0"/>
          <w:bCs/>
          <w:sz w:val="16"/>
          <w:szCs w:val="16"/>
          <w:lang w:val="en-US"/>
        </w:rPr>
      </w:pPr>
      <w:r w:rsidRPr="005D1807">
        <w:rPr>
          <w:b w:val="0"/>
          <w:bCs/>
          <w:sz w:val="16"/>
          <w:szCs w:val="16"/>
        </w:rPr>
        <w:footnoteRef/>
      </w:r>
      <w:r w:rsidRPr="005D1807">
        <w:rPr>
          <w:b w:val="0"/>
          <w:bCs/>
          <w:sz w:val="16"/>
          <w:szCs w:val="16"/>
          <w:lang w:val="en-US"/>
        </w:rPr>
        <w:t xml:space="preserve"> </w:t>
      </w:r>
      <w:r w:rsidRPr="005D1807">
        <w:rPr>
          <w:b w:val="0"/>
          <w:bCs/>
          <w:sz w:val="16"/>
          <w:szCs w:val="16"/>
        </w:rPr>
        <w:t>Աղբյուրը՝</w:t>
      </w:r>
      <w:r w:rsidRPr="005D1807">
        <w:rPr>
          <w:b w:val="0"/>
          <w:bCs/>
          <w:sz w:val="16"/>
          <w:szCs w:val="16"/>
          <w:lang w:val="en-US"/>
        </w:rPr>
        <w:t xml:space="preserve"> </w:t>
      </w:r>
      <w:r w:rsidRPr="005D1807">
        <w:rPr>
          <w:b w:val="0"/>
          <w:bCs/>
          <w:sz w:val="16"/>
          <w:szCs w:val="16"/>
        </w:rPr>
        <w:t>ՌԴ</w:t>
      </w:r>
      <w:r w:rsidRPr="005D1807">
        <w:rPr>
          <w:b w:val="0"/>
          <w:bCs/>
          <w:sz w:val="16"/>
          <w:szCs w:val="16"/>
          <w:lang w:val="en-US"/>
        </w:rPr>
        <w:t xml:space="preserve"> </w:t>
      </w:r>
      <w:r w:rsidRPr="005D1807">
        <w:rPr>
          <w:b w:val="0"/>
          <w:bCs/>
          <w:sz w:val="16"/>
          <w:szCs w:val="16"/>
        </w:rPr>
        <w:t>տնտեսական</w:t>
      </w:r>
      <w:r w:rsidRPr="005D1807">
        <w:rPr>
          <w:b w:val="0"/>
          <w:bCs/>
          <w:sz w:val="16"/>
          <w:szCs w:val="16"/>
          <w:lang w:val="en-US"/>
        </w:rPr>
        <w:t xml:space="preserve"> </w:t>
      </w:r>
      <w:r w:rsidRPr="005D1807">
        <w:rPr>
          <w:b w:val="0"/>
          <w:bCs/>
          <w:sz w:val="16"/>
          <w:szCs w:val="16"/>
        </w:rPr>
        <w:t>զարգացման</w:t>
      </w:r>
      <w:r w:rsidRPr="005D1807">
        <w:rPr>
          <w:b w:val="0"/>
          <w:bCs/>
          <w:sz w:val="16"/>
          <w:szCs w:val="16"/>
          <w:lang w:val="en-US"/>
        </w:rPr>
        <w:t xml:space="preserve"> </w:t>
      </w:r>
      <w:r w:rsidRPr="005D1807">
        <w:rPr>
          <w:b w:val="0"/>
          <w:bCs/>
          <w:sz w:val="16"/>
          <w:szCs w:val="16"/>
        </w:rPr>
        <w:t>նախարարություն</w:t>
      </w:r>
      <w:r w:rsidRPr="005D1807">
        <w:rPr>
          <w:b w:val="0"/>
          <w:bCs/>
          <w:sz w:val="16"/>
          <w:szCs w:val="16"/>
          <w:lang w:val="en-US"/>
        </w:rPr>
        <w:t xml:space="preserve">, </w:t>
      </w:r>
      <w:hyperlink r:id="rId5" w:history="1">
        <w:r w:rsidRPr="005D1807">
          <w:rPr>
            <w:b w:val="0"/>
            <w:bCs/>
            <w:sz w:val="16"/>
            <w:szCs w:val="16"/>
            <w:lang w:val="en-US"/>
          </w:rPr>
          <w:t>https://economy.gov.ru/</w:t>
        </w:r>
      </w:hyperlink>
    </w:p>
  </w:footnote>
  <w:footnote w:id="7">
    <w:p w14:paraId="0CCDC91A" w14:textId="77777777" w:rsidR="00083152" w:rsidRPr="005D1807" w:rsidRDefault="00083152" w:rsidP="005D1807">
      <w:pPr>
        <w:rPr>
          <w:lang w:val="en-US"/>
        </w:rPr>
      </w:pPr>
      <w:r w:rsidRPr="005D1807">
        <w:rPr>
          <w:b w:val="0"/>
          <w:bCs/>
          <w:sz w:val="16"/>
          <w:szCs w:val="16"/>
        </w:rPr>
        <w:footnoteRef/>
      </w:r>
      <w:r w:rsidRPr="005D1807">
        <w:rPr>
          <w:b w:val="0"/>
          <w:bCs/>
          <w:sz w:val="16"/>
          <w:szCs w:val="16"/>
          <w:lang w:val="en-US"/>
        </w:rPr>
        <w:t xml:space="preserve"> </w:t>
      </w:r>
      <w:r w:rsidRPr="005D1807">
        <w:rPr>
          <w:b w:val="0"/>
          <w:bCs/>
          <w:sz w:val="16"/>
          <w:szCs w:val="16"/>
        </w:rPr>
        <w:t>ՌԴ</w:t>
      </w:r>
      <w:r w:rsidRPr="005D1807">
        <w:rPr>
          <w:b w:val="0"/>
          <w:bCs/>
          <w:sz w:val="16"/>
          <w:szCs w:val="16"/>
          <w:lang w:val="en-US"/>
        </w:rPr>
        <w:t xml:space="preserve"> 2023 </w:t>
      </w:r>
      <w:r w:rsidRPr="005D1807">
        <w:rPr>
          <w:b w:val="0"/>
          <w:bCs/>
          <w:sz w:val="16"/>
          <w:szCs w:val="16"/>
        </w:rPr>
        <w:t>թ</w:t>
      </w:r>
      <w:r w:rsidRPr="005D1807">
        <w:rPr>
          <w:b w:val="0"/>
          <w:bCs/>
          <w:sz w:val="16"/>
          <w:szCs w:val="16"/>
          <w:lang w:val="en-US"/>
        </w:rPr>
        <w:t xml:space="preserve">. </w:t>
      </w:r>
      <w:r w:rsidRPr="005D1807">
        <w:rPr>
          <w:b w:val="0"/>
          <w:bCs/>
          <w:sz w:val="16"/>
          <w:szCs w:val="16"/>
        </w:rPr>
        <w:t>երկրորդ</w:t>
      </w:r>
      <w:r w:rsidRPr="005D1807">
        <w:rPr>
          <w:b w:val="0"/>
          <w:bCs/>
          <w:sz w:val="16"/>
          <w:szCs w:val="16"/>
          <w:lang w:val="en-US"/>
        </w:rPr>
        <w:t xml:space="preserve"> </w:t>
      </w:r>
      <w:r w:rsidRPr="005D1807">
        <w:rPr>
          <w:b w:val="0"/>
          <w:bCs/>
          <w:sz w:val="16"/>
          <w:szCs w:val="16"/>
        </w:rPr>
        <w:t>եռամսյակի</w:t>
      </w:r>
      <w:r w:rsidRPr="005D1807">
        <w:rPr>
          <w:b w:val="0"/>
          <w:bCs/>
          <w:sz w:val="16"/>
          <w:szCs w:val="16"/>
          <w:lang w:val="en-US"/>
        </w:rPr>
        <w:t xml:space="preserve"> </w:t>
      </w:r>
      <w:r w:rsidRPr="005D1807">
        <w:rPr>
          <w:b w:val="0"/>
          <w:bCs/>
          <w:sz w:val="16"/>
          <w:szCs w:val="16"/>
        </w:rPr>
        <w:t>տնտեսական</w:t>
      </w:r>
      <w:r w:rsidRPr="005D1807">
        <w:rPr>
          <w:b w:val="0"/>
          <w:bCs/>
          <w:sz w:val="16"/>
          <w:szCs w:val="16"/>
          <w:lang w:val="en-US"/>
        </w:rPr>
        <w:t xml:space="preserve"> </w:t>
      </w:r>
      <w:r w:rsidRPr="005D1807">
        <w:rPr>
          <w:b w:val="0"/>
          <w:bCs/>
          <w:sz w:val="16"/>
          <w:szCs w:val="16"/>
        </w:rPr>
        <w:t>աճի</w:t>
      </w:r>
      <w:r w:rsidRPr="005D1807">
        <w:rPr>
          <w:b w:val="0"/>
          <w:bCs/>
          <w:sz w:val="16"/>
          <w:szCs w:val="16"/>
          <w:lang w:val="en-US"/>
        </w:rPr>
        <w:t xml:space="preserve"> </w:t>
      </w:r>
      <w:r w:rsidRPr="005D1807">
        <w:rPr>
          <w:b w:val="0"/>
          <w:bCs/>
          <w:sz w:val="16"/>
          <w:szCs w:val="16"/>
        </w:rPr>
        <w:t>ցուցանիշը</w:t>
      </w:r>
      <w:r w:rsidRPr="005D1807">
        <w:rPr>
          <w:b w:val="0"/>
          <w:bCs/>
          <w:sz w:val="16"/>
          <w:szCs w:val="16"/>
          <w:lang w:val="en-US"/>
        </w:rPr>
        <w:t xml:space="preserve"> </w:t>
      </w:r>
      <w:r w:rsidRPr="005D1807">
        <w:rPr>
          <w:b w:val="0"/>
          <w:bCs/>
          <w:sz w:val="16"/>
          <w:szCs w:val="16"/>
        </w:rPr>
        <w:t>նախնական</w:t>
      </w:r>
      <w:r w:rsidRPr="005D1807">
        <w:rPr>
          <w:b w:val="0"/>
          <w:bCs/>
          <w:sz w:val="16"/>
          <w:szCs w:val="16"/>
          <w:lang w:val="en-US"/>
        </w:rPr>
        <w:t xml:space="preserve"> </w:t>
      </w:r>
      <w:r w:rsidRPr="005D1807">
        <w:rPr>
          <w:b w:val="0"/>
          <w:bCs/>
          <w:sz w:val="16"/>
          <w:szCs w:val="16"/>
        </w:rPr>
        <w:t>գնահատական</w:t>
      </w:r>
      <w:r w:rsidRPr="005D1807">
        <w:rPr>
          <w:b w:val="0"/>
          <w:bCs/>
          <w:sz w:val="16"/>
          <w:szCs w:val="16"/>
          <w:lang w:val="en-US"/>
        </w:rPr>
        <w:t xml:space="preserve"> </w:t>
      </w:r>
      <w:r w:rsidRPr="005D1807">
        <w:rPr>
          <w:b w:val="0"/>
          <w:bCs/>
          <w:sz w:val="16"/>
          <w:szCs w:val="16"/>
        </w:rPr>
        <w:t>է՝</w:t>
      </w:r>
      <w:r w:rsidRPr="005D1807">
        <w:rPr>
          <w:b w:val="0"/>
          <w:bCs/>
          <w:sz w:val="16"/>
          <w:szCs w:val="16"/>
          <w:lang w:val="en-US"/>
        </w:rPr>
        <w:t xml:space="preserve"> </w:t>
      </w:r>
      <w:r w:rsidRPr="005D1807">
        <w:rPr>
          <w:b w:val="0"/>
          <w:bCs/>
          <w:sz w:val="16"/>
          <w:szCs w:val="16"/>
        </w:rPr>
        <w:t>հիմնված</w:t>
      </w:r>
      <w:r w:rsidRPr="005D1807">
        <w:rPr>
          <w:b w:val="0"/>
          <w:bCs/>
          <w:sz w:val="16"/>
          <w:szCs w:val="16"/>
          <w:lang w:val="en-US"/>
        </w:rPr>
        <w:t xml:space="preserve"> </w:t>
      </w:r>
      <w:r w:rsidRPr="005D1807">
        <w:rPr>
          <w:b w:val="0"/>
          <w:bCs/>
          <w:sz w:val="16"/>
          <w:szCs w:val="16"/>
        </w:rPr>
        <w:t>տնտեսական</w:t>
      </w:r>
      <w:r w:rsidRPr="005D1807">
        <w:rPr>
          <w:b w:val="0"/>
          <w:bCs/>
          <w:sz w:val="16"/>
          <w:szCs w:val="16"/>
          <w:lang w:val="en-US"/>
        </w:rPr>
        <w:t xml:space="preserve"> </w:t>
      </w:r>
      <w:r w:rsidRPr="005D1807">
        <w:rPr>
          <w:b w:val="0"/>
          <w:bCs/>
          <w:sz w:val="16"/>
          <w:szCs w:val="16"/>
        </w:rPr>
        <w:t>ակտիվության</w:t>
      </w:r>
      <w:r w:rsidRPr="005D1807">
        <w:rPr>
          <w:b w:val="0"/>
          <w:bCs/>
          <w:sz w:val="16"/>
          <w:szCs w:val="16"/>
          <w:lang w:val="en-US"/>
        </w:rPr>
        <w:t xml:space="preserve"> </w:t>
      </w:r>
      <w:r w:rsidRPr="005D1807">
        <w:rPr>
          <w:b w:val="0"/>
          <w:bCs/>
          <w:sz w:val="16"/>
          <w:szCs w:val="16"/>
        </w:rPr>
        <w:t>ցուցանիշի</w:t>
      </w:r>
      <w:r w:rsidRPr="005D1807">
        <w:rPr>
          <w:b w:val="0"/>
          <w:bCs/>
          <w:sz w:val="16"/>
          <w:szCs w:val="16"/>
          <w:lang w:val="en-US"/>
        </w:rPr>
        <w:t xml:space="preserve"> </w:t>
      </w:r>
      <w:r w:rsidRPr="005D1807">
        <w:rPr>
          <w:b w:val="0"/>
          <w:bCs/>
          <w:sz w:val="16"/>
          <w:szCs w:val="16"/>
        </w:rPr>
        <w:t>վրա</w:t>
      </w:r>
      <w:r w:rsidRPr="005D1807">
        <w:rPr>
          <w:b w:val="0"/>
          <w:bCs/>
          <w:sz w:val="16"/>
          <w:szCs w:val="16"/>
          <w:lang w:val="en-US"/>
        </w:rPr>
        <w:t>:</w:t>
      </w:r>
    </w:p>
  </w:footnote>
  <w:footnote w:id="8">
    <w:p w14:paraId="4DA893F5" w14:textId="77777777" w:rsidR="00083152" w:rsidRPr="00CC7087" w:rsidRDefault="00083152" w:rsidP="005D1807">
      <w:pPr>
        <w:rPr>
          <w:b w:val="0"/>
          <w:bCs/>
          <w:sz w:val="16"/>
          <w:szCs w:val="16"/>
          <w:lang w:val="en-US"/>
        </w:rPr>
      </w:pPr>
      <w:r w:rsidRPr="00CC7087">
        <w:rPr>
          <w:b w:val="0"/>
          <w:bCs/>
          <w:sz w:val="16"/>
          <w:szCs w:val="16"/>
        </w:rPr>
        <w:footnoteRef/>
      </w:r>
      <w:r w:rsidRPr="00CC7087">
        <w:rPr>
          <w:b w:val="0"/>
          <w:bCs/>
          <w:sz w:val="16"/>
          <w:szCs w:val="16"/>
          <w:lang w:val="en-US"/>
        </w:rPr>
        <w:t xml:space="preserve"> </w:t>
      </w:r>
      <w:r w:rsidRPr="00CC7087">
        <w:rPr>
          <w:b w:val="0"/>
          <w:bCs/>
          <w:sz w:val="16"/>
          <w:szCs w:val="16"/>
        </w:rPr>
        <w:t>ԱՄՆ</w:t>
      </w:r>
      <w:r w:rsidRPr="00CC7087">
        <w:rPr>
          <w:b w:val="0"/>
          <w:bCs/>
          <w:sz w:val="16"/>
          <w:szCs w:val="16"/>
          <w:lang w:val="en-US"/>
        </w:rPr>
        <w:t xml:space="preserve"> </w:t>
      </w:r>
      <w:r w:rsidRPr="00CC7087">
        <w:rPr>
          <w:b w:val="0"/>
          <w:bCs/>
          <w:sz w:val="16"/>
          <w:szCs w:val="16"/>
        </w:rPr>
        <w:t>համար</w:t>
      </w:r>
      <w:r w:rsidRPr="00CC7087">
        <w:rPr>
          <w:b w:val="0"/>
          <w:bCs/>
          <w:sz w:val="16"/>
          <w:szCs w:val="16"/>
          <w:lang w:val="en-US"/>
        </w:rPr>
        <w:t xml:space="preserve"> </w:t>
      </w:r>
      <w:r w:rsidRPr="00CC7087">
        <w:rPr>
          <w:b w:val="0"/>
          <w:bCs/>
          <w:sz w:val="16"/>
          <w:szCs w:val="16"/>
        </w:rPr>
        <w:t>դիտարկվել</w:t>
      </w:r>
      <w:r w:rsidRPr="00CC7087">
        <w:rPr>
          <w:b w:val="0"/>
          <w:bCs/>
          <w:sz w:val="16"/>
          <w:szCs w:val="16"/>
          <w:lang w:val="en-US"/>
        </w:rPr>
        <w:t xml:space="preserve"> </w:t>
      </w:r>
      <w:r w:rsidRPr="00CC7087">
        <w:rPr>
          <w:b w:val="0"/>
          <w:bCs/>
          <w:sz w:val="16"/>
          <w:szCs w:val="16"/>
        </w:rPr>
        <w:t>է</w:t>
      </w:r>
      <w:r w:rsidRPr="00CC7087">
        <w:rPr>
          <w:b w:val="0"/>
          <w:bCs/>
          <w:sz w:val="16"/>
          <w:szCs w:val="16"/>
          <w:lang w:val="en-US"/>
        </w:rPr>
        <w:t xml:space="preserve"> </w:t>
      </w:r>
      <w:r w:rsidRPr="00CC7087">
        <w:rPr>
          <w:b w:val="0"/>
          <w:bCs/>
          <w:sz w:val="16"/>
          <w:szCs w:val="16"/>
        </w:rPr>
        <w:t>դաշնային</w:t>
      </w:r>
      <w:r w:rsidRPr="00CC7087">
        <w:rPr>
          <w:b w:val="0"/>
          <w:bCs/>
          <w:sz w:val="16"/>
          <w:szCs w:val="16"/>
          <w:lang w:val="en-US"/>
        </w:rPr>
        <w:t xml:space="preserve"> </w:t>
      </w:r>
      <w:r w:rsidRPr="00CC7087">
        <w:rPr>
          <w:b w:val="0"/>
          <w:bCs/>
          <w:sz w:val="16"/>
          <w:szCs w:val="16"/>
        </w:rPr>
        <w:t>ֆոնդերի</w:t>
      </w:r>
      <w:r w:rsidRPr="00CC7087">
        <w:rPr>
          <w:b w:val="0"/>
          <w:bCs/>
          <w:sz w:val="16"/>
          <w:szCs w:val="16"/>
          <w:lang w:val="en-US"/>
        </w:rPr>
        <w:t xml:space="preserve"> </w:t>
      </w:r>
      <w:r w:rsidRPr="00CC7087">
        <w:rPr>
          <w:b w:val="0"/>
          <w:bCs/>
          <w:sz w:val="16"/>
          <w:szCs w:val="16"/>
        </w:rPr>
        <w:t>արդյունավետ</w:t>
      </w:r>
      <w:r w:rsidRPr="00CC7087">
        <w:rPr>
          <w:b w:val="0"/>
          <w:bCs/>
          <w:sz w:val="16"/>
          <w:szCs w:val="16"/>
          <w:lang w:val="en-US"/>
        </w:rPr>
        <w:t xml:space="preserve"> </w:t>
      </w:r>
      <w:r w:rsidRPr="00CC7087">
        <w:rPr>
          <w:b w:val="0"/>
          <w:bCs/>
          <w:sz w:val="16"/>
          <w:szCs w:val="16"/>
        </w:rPr>
        <w:t>տոկոսադրույքը</w:t>
      </w:r>
      <w:r w:rsidRPr="00CC7087">
        <w:rPr>
          <w:b w:val="0"/>
          <w:bCs/>
          <w:sz w:val="16"/>
          <w:szCs w:val="16"/>
          <w:lang w:val="en-US"/>
        </w:rPr>
        <w:t xml:space="preserve">, </w:t>
      </w:r>
      <w:r w:rsidRPr="00CC7087">
        <w:rPr>
          <w:b w:val="0"/>
          <w:bCs/>
          <w:sz w:val="16"/>
          <w:szCs w:val="16"/>
        </w:rPr>
        <w:t>ԵԳ՝</w:t>
      </w:r>
      <w:r w:rsidRPr="00CC7087">
        <w:rPr>
          <w:b w:val="0"/>
          <w:bCs/>
          <w:sz w:val="16"/>
          <w:szCs w:val="16"/>
          <w:lang w:val="en-US"/>
        </w:rPr>
        <w:t xml:space="preserve"> </w:t>
      </w:r>
      <w:r w:rsidRPr="00CC7087">
        <w:rPr>
          <w:b w:val="0"/>
          <w:bCs/>
          <w:sz w:val="16"/>
          <w:szCs w:val="16"/>
        </w:rPr>
        <w:t>հիմնական</w:t>
      </w:r>
      <w:r w:rsidRPr="00CC7087">
        <w:rPr>
          <w:b w:val="0"/>
          <w:bCs/>
          <w:sz w:val="16"/>
          <w:szCs w:val="16"/>
          <w:lang w:val="en-US"/>
        </w:rPr>
        <w:t xml:space="preserve"> </w:t>
      </w:r>
      <w:r w:rsidRPr="00CC7087">
        <w:rPr>
          <w:b w:val="0"/>
          <w:bCs/>
          <w:sz w:val="16"/>
          <w:szCs w:val="16"/>
        </w:rPr>
        <w:t>վերաֆինանսավորման</w:t>
      </w:r>
      <w:r w:rsidRPr="00CC7087">
        <w:rPr>
          <w:b w:val="0"/>
          <w:bCs/>
          <w:sz w:val="16"/>
          <w:szCs w:val="16"/>
          <w:lang w:val="en-US"/>
        </w:rPr>
        <w:t xml:space="preserve"> </w:t>
      </w:r>
      <w:r w:rsidRPr="00CC7087">
        <w:rPr>
          <w:b w:val="0"/>
          <w:bCs/>
          <w:sz w:val="16"/>
          <w:szCs w:val="16"/>
        </w:rPr>
        <w:t>տոկոսադրույքը</w:t>
      </w:r>
      <w:r w:rsidRPr="00CC7087">
        <w:rPr>
          <w:b w:val="0"/>
          <w:bCs/>
          <w:sz w:val="16"/>
          <w:szCs w:val="16"/>
          <w:lang w:val="en-US"/>
        </w:rPr>
        <w:t xml:space="preserve">, </w:t>
      </w:r>
      <w:r w:rsidRPr="00CC7087">
        <w:rPr>
          <w:b w:val="0"/>
          <w:bCs/>
          <w:sz w:val="16"/>
          <w:szCs w:val="16"/>
        </w:rPr>
        <w:t>Չինաստան՝</w:t>
      </w:r>
      <w:r w:rsidRPr="00CC7087">
        <w:rPr>
          <w:b w:val="0"/>
          <w:bCs/>
          <w:sz w:val="16"/>
          <w:szCs w:val="16"/>
          <w:lang w:val="en-US"/>
        </w:rPr>
        <w:t xml:space="preserve"> </w:t>
      </w:r>
      <w:r w:rsidRPr="00CC7087">
        <w:rPr>
          <w:b w:val="0"/>
          <w:bCs/>
          <w:sz w:val="16"/>
          <w:szCs w:val="16"/>
        </w:rPr>
        <w:t>վարկավորման</w:t>
      </w:r>
      <w:r w:rsidRPr="00CC7087">
        <w:rPr>
          <w:b w:val="0"/>
          <w:bCs/>
          <w:sz w:val="16"/>
          <w:szCs w:val="16"/>
          <w:lang w:val="en-US"/>
        </w:rPr>
        <w:t xml:space="preserve"> </w:t>
      </w:r>
      <w:r w:rsidRPr="00CC7087">
        <w:rPr>
          <w:b w:val="0"/>
          <w:bCs/>
          <w:sz w:val="16"/>
          <w:szCs w:val="16"/>
        </w:rPr>
        <w:t>մեկ</w:t>
      </w:r>
      <w:r w:rsidRPr="00CC7087">
        <w:rPr>
          <w:b w:val="0"/>
          <w:bCs/>
          <w:sz w:val="16"/>
          <w:szCs w:val="16"/>
          <w:lang w:val="en-US"/>
        </w:rPr>
        <w:t xml:space="preserve"> </w:t>
      </w:r>
      <w:r w:rsidRPr="00CC7087">
        <w:rPr>
          <w:b w:val="0"/>
          <w:bCs/>
          <w:sz w:val="16"/>
          <w:szCs w:val="16"/>
        </w:rPr>
        <w:t>տարվա</w:t>
      </w:r>
      <w:r w:rsidRPr="00CC7087">
        <w:rPr>
          <w:b w:val="0"/>
          <w:bCs/>
          <w:sz w:val="16"/>
          <w:szCs w:val="16"/>
          <w:lang w:val="en-US"/>
        </w:rPr>
        <w:t xml:space="preserve"> </w:t>
      </w:r>
      <w:r w:rsidRPr="00CC7087">
        <w:rPr>
          <w:b w:val="0"/>
          <w:bCs/>
          <w:sz w:val="16"/>
          <w:szCs w:val="16"/>
        </w:rPr>
        <w:t>տոկոսադրույք</w:t>
      </w:r>
      <w:r w:rsidRPr="00CC7087">
        <w:rPr>
          <w:b w:val="0"/>
          <w:bCs/>
          <w:sz w:val="16"/>
          <w:szCs w:val="16"/>
          <w:lang w:val="en-US"/>
        </w:rPr>
        <w:t xml:space="preserve"> (one-year loan prime rate), </w:t>
      </w:r>
      <w:r w:rsidRPr="00CC7087">
        <w:rPr>
          <w:b w:val="0"/>
          <w:bCs/>
          <w:sz w:val="16"/>
          <w:szCs w:val="16"/>
        </w:rPr>
        <w:t>ՌԴ՝</w:t>
      </w:r>
      <w:r w:rsidRPr="00CC7087">
        <w:rPr>
          <w:b w:val="0"/>
          <w:bCs/>
          <w:sz w:val="16"/>
          <w:szCs w:val="16"/>
          <w:lang w:val="en-US"/>
        </w:rPr>
        <w:t xml:space="preserve"> </w:t>
      </w:r>
      <w:r w:rsidRPr="00CC7087">
        <w:rPr>
          <w:b w:val="0"/>
          <w:bCs/>
          <w:sz w:val="16"/>
          <w:szCs w:val="16"/>
        </w:rPr>
        <w:t>հիմնական</w:t>
      </w:r>
      <w:r w:rsidRPr="00CC7087">
        <w:rPr>
          <w:b w:val="0"/>
          <w:bCs/>
          <w:sz w:val="16"/>
          <w:szCs w:val="16"/>
          <w:lang w:val="en-US"/>
        </w:rPr>
        <w:t xml:space="preserve"> </w:t>
      </w:r>
      <w:r w:rsidRPr="00CC7087">
        <w:rPr>
          <w:b w:val="0"/>
          <w:bCs/>
          <w:sz w:val="16"/>
          <w:szCs w:val="16"/>
        </w:rPr>
        <w:t>տոկոսադրույքը</w:t>
      </w:r>
      <w:r w:rsidRPr="00CC7087">
        <w:rPr>
          <w:b w:val="0"/>
          <w:bCs/>
          <w:sz w:val="16"/>
          <w:szCs w:val="16"/>
          <w:lang w:val="en-US"/>
        </w:rPr>
        <w:t>:</w:t>
      </w:r>
    </w:p>
  </w:footnote>
  <w:footnote w:id="9">
    <w:p w14:paraId="5740E99B" w14:textId="77777777" w:rsidR="00083152" w:rsidRPr="00CC7087" w:rsidRDefault="00083152" w:rsidP="005D1807">
      <w:pPr>
        <w:rPr>
          <w:b w:val="0"/>
          <w:bCs/>
          <w:sz w:val="16"/>
          <w:szCs w:val="16"/>
          <w:lang w:val="en-US"/>
        </w:rPr>
      </w:pPr>
      <w:r w:rsidRPr="00CC7087">
        <w:rPr>
          <w:b w:val="0"/>
          <w:bCs/>
          <w:sz w:val="16"/>
          <w:szCs w:val="16"/>
        </w:rPr>
        <w:footnoteRef/>
      </w:r>
      <w:r w:rsidRPr="00CC7087">
        <w:rPr>
          <w:b w:val="0"/>
          <w:bCs/>
          <w:sz w:val="16"/>
          <w:szCs w:val="16"/>
          <w:lang w:val="en-US"/>
        </w:rPr>
        <w:t xml:space="preserve"> </w:t>
      </w:r>
      <w:r w:rsidRPr="00CC7087">
        <w:rPr>
          <w:b w:val="0"/>
          <w:bCs/>
          <w:sz w:val="16"/>
          <w:szCs w:val="16"/>
        </w:rPr>
        <w:t>Աղբյուրը՝</w:t>
      </w:r>
      <w:r w:rsidRPr="00CC7087">
        <w:rPr>
          <w:b w:val="0"/>
          <w:bCs/>
          <w:sz w:val="16"/>
          <w:szCs w:val="16"/>
          <w:lang w:val="en-US"/>
        </w:rPr>
        <w:t xml:space="preserve"> </w:t>
      </w:r>
      <w:r w:rsidRPr="00CC7087">
        <w:rPr>
          <w:b w:val="0"/>
          <w:bCs/>
          <w:sz w:val="16"/>
          <w:szCs w:val="16"/>
        </w:rPr>
        <w:t>Համաշխարհային</w:t>
      </w:r>
      <w:r w:rsidRPr="00CC7087">
        <w:rPr>
          <w:b w:val="0"/>
          <w:bCs/>
          <w:sz w:val="16"/>
          <w:szCs w:val="16"/>
          <w:lang w:val="en-US"/>
        </w:rPr>
        <w:t xml:space="preserve"> </w:t>
      </w:r>
      <w:r w:rsidRPr="00CC7087">
        <w:rPr>
          <w:b w:val="0"/>
          <w:bCs/>
          <w:sz w:val="16"/>
          <w:szCs w:val="16"/>
        </w:rPr>
        <w:t>բանկ</w:t>
      </w:r>
      <w:r w:rsidRPr="00CC7087">
        <w:rPr>
          <w:b w:val="0"/>
          <w:bCs/>
          <w:sz w:val="16"/>
          <w:szCs w:val="16"/>
          <w:lang w:val="en-US"/>
        </w:rPr>
        <w:t xml:space="preserve">, </w:t>
      </w:r>
      <w:hyperlink r:id="rId6" w:history="1">
        <w:r w:rsidRPr="00CC7087">
          <w:rPr>
            <w:b w:val="0"/>
            <w:bCs/>
            <w:sz w:val="16"/>
            <w:szCs w:val="16"/>
            <w:lang w:val="en-US"/>
          </w:rPr>
          <w:t>https://www.worldbank.org/en/research/commodity-markets</w:t>
        </w:r>
      </w:hyperlink>
      <w:r w:rsidRPr="00CC7087">
        <w:rPr>
          <w:b w:val="0"/>
          <w:bCs/>
          <w:sz w:val="16"/>
          <w:szCs w:val="16"/>
          <w:lang w:val="en-US"/>
        </w:rPr>
        <w:t xml:space="preserve"> </w:t>
      </w:r>
    </w:p>
  </w:footnote>
  <w:footnote w:id="10">
    <w:p w14:paraId="704EC3B6" w14:textId="77777777" w:rsidR="00083152" w:rsidRPr="00CC7087" w:rsidRDefault="00083152" w:rsidP="005D1807">
      <w:pPr>
        <w:rPr>
          <w:b w:val="0"/>
          <w:bCs/>
          <w:sz w:val="16"/>
          <w:szCs w:val="16"/>
          <w:lang w:val="en-US"/>
        </w:rPr>
      </w:pPr>
      <w:r w:rsidRPr="00CC7087">
        <w:rPr>
          <w:b w:val="0"/>
          <w:bCs/>
          <w:sz w:val="16"/>
          <w:szCs w:val="16"/>
        </w:rPr>
        <w:footnoteRef/>
      </w:r>
      <w:r w:rsidRPr="00CC7087">
        <w:rPr>
          <w:b w:val="0"/>
          <w:bCs/>
          <w:sz w:val="16"/>
          <w:szCs w:val="16"/>
          <w:lang w:val="en-US"/>
        </w:rPr>
        <w:t xml:space="preserve"> </w:t>
      </w:r>
      <w:r w:rsidRPr="00CC7087">
        <w:rPr>
          <w:b w:val="0"/>
          <w:bCs/>
          <w:sz w:val="16"/>
          <w:szCs w:val="16"/>
        </w:rPr>
        <w:t>Աղբյուրը՝</w:t>
      </w:r>
      <w:r w:rsidRPr="00CC7087">
        <w:rPr>
          <w:b w:val="0"/>
          <w:bCs/>
          <w:sz w:val="16"/>
          <w:szCs w:val="16"/>
          <w:lang w:val="en-US"/>
        </w:rPr>
        <w:t xml:space="preserve"> </w:t>
      </w:r>
      <w:r w:rsidRPr="00CC7087">
        <w:rPr>
          <w:b w:val="0"/>
          <w:bCs/>
          <w:sz w:val="16"/>
          <w:szCs w:val="16"/>
        </w:rPr>
        <w:t>ՄԱԿ</w:t>
      </w:r>
      <w:r w:rsidRPr="00CC7087">
        <w:rPr>
          <w:b w:val="0"/>
          <w:bCs/>
          <w:sz w:val="16"/>
          <w:szCs w:val="16"/>
          <w:lang w:val="en-US"/>
        </w:rPr>
        <w:t xml:space="preserve"> – </w:t>
      </w:r>
      <w:r w:rsidRPr="00CC7087">
        <w:rPr>
          <w:b w:val="0"/>
          <w:bCs/>
          <w:sz w:val="16"/>
          <w:szCs w:val="16"/>
        </w:rPr>
        <w:t>ի</w:t>
      </w:r>
      <w:r w:rsidRPr="00CC7087">
        <w:rPr>
          <w:b w:val="0"/>
          <w:bCs/>
          <w:sz w:val="16"/>
          <w:szCs w:val="16"/>
          <w:lang w:val="en-US"/>
        </w:rPr>
        <w:t xml:space="preserve"> </w:t>
      </w:r>
      <w:r w:rsidRPr="00CC7087">
        <w:rPr>
          <w:b w:val="0"/>
          <w:bCs/>
          <w:sz w:val="16"/>
          <w:szCs w:val="16"/>
        </w:rPr>
        <w:t>պարենի</w:t>
      </w:r>
      <w:r w:rsidRPr="00CC7087">
        <w:rPr>
          <w:b w:val="0"/>
          <w:bCs/>
          <w:sz w:val="16"/>
          <w:szCs w:val="16"/>
          <w:lang w:val="en-US"/>
        </w:rPr>
        <w:t xml:space="preserve"> </w:t>
      </w:r>
      <w:r w:rsidRPr="00CC7087">
        <w:rPr>
          <w:b w:val="0"/>
          <w:bCs/>
          <w:sz w:val="16"/>
          <w:szCs w:val="16"/>
        </w:rPr>
        <w:t>և</w:t>
      </w:r>
      <w:r w:rsidRPr="00CC7087">
        <w:rPr>
          <w:b w:val="0"/>
          <w:bCs/>
          <w:sz w:val="16"/>
          <w:szCs w:val="16"/>
          <w:lang w:val="en-US"/>
        </w:rPr>
        <w:t xml:space="preserve"> </w:t>
      </w:r>
      <w:r w:rsidRPr="00CC7087">
        <w:rPr>
          <w:b w:val="0"/>
          <w:bCs/>
          <w:sz w:val="16"/>
          <w:szCs w:val="16"/>
        </w:rPr>
        <w:t>գյուղատնտեսության</w:t>
      </w:r>
      <w:r w:rsidRPr="00CC7087">
        <w:rPr>
          <w:b w:val="0"/>
          <w:bCs/>
          <w:sz w:val="16"/>
          <w:szCs w:val="16"/>
          <w:lang w:val="en-US"/>
        </w:rPr>
        <w:t xml:space="preserve"> </w:t>
      </w:r>
      <w:r w:rsidRPr="00CC7087">
        <w:rPr>
          <w:b w:val="0"/>
          <w:bCs/>
          <w:sz w:val="16"/>
          <w:szCs w:val="16"/>
        </w:rPr>
        <w:t>կազմակերպություն</w:t>
      </w:r>
      <w:r w:rsidRPr="00CC7087">
        <w:rPr>
          <w:b w:val="0"/>
          <w:bCs/>
          <w:sz w:val="16"/>
          <w:szCs w:val="16"/>
          <w:lang w:val="en-US"/>
        </w:rPr>
        <w:t xml:space="preserve"> </w:t>
      </w:r>
      <w:hyperlink r:id="rId7" w:history="1">
        <w:r w:rsidRPr="00CC7087">
          <w:rPr>
            <w:b w:val="0"/>
            <w:bCs/>
            <w:sz w:val="16"/>
            <w:szCs w:val="16"/>
            <w:lang w:val="en-US"/>
          </w:rPr>
          <w:t>https://www.fao.org/worldfoodsituation/foodpricesindex/en/</w:t>
        </w:r>
      </w:hyperlink>
      <w:r w:rsidRPr="00CC7087">
        <w:rPr>
          <w:b w:val="0"/>
          <w:bCs/>
          <w:sz w:val="16"/>
          <w:szCs w:val="16"/>
          <w:lang w:val="en-US"/>
        </w:rPr>
        <w:t xml:space="preserve"> </w:t>
      </w:r>
    </w:p>
  </w:footnote>
  <w:footnote w:id="11">
    <w:p w14:paraId="18B7063F" w14:textId="77777777" w:rsidR="00083152" w:rsidRPr="00CC7087" w:rsidRDefault="00083152" w:rsidP="005D1807">
      <w:pPr>
        <w:rPr>
          <w:b w:val="0"/>
          <w:bCs/>
          <w:sz w:val="16"/>
          <w:szCs w:val="16"/>
          <w:lang w:val="en-US"/>
        </w:rPr>
      </w:pPr>
      <w:r w:rsidRPr="00CC7087">
        <w:rPr>
          <w:b w:val="0"/>
          <w:bCs/>
          <w:sz w:val="16"/>
          <w:szCs w:val="16"/>
        </w:rPr>
        <w:footnoteRef/>
      </w:r>
      <w:r w:rsidRPr="00CC7087">
        <w:rPr>
          <w:b w:val="0"/>
          <w:bCs/>
          <w:sz w:val="16"/>
          <w:szCs w:val="16"/>
          <w:lang w:val="en-US"/>
        </w:rPr>
        <w:t xml:space="preserve"> </w:t>
      </w:r>
      <w:r w:rsidRPr="00CC7087">
        <w:rPr>
          <w:b w:val="0"/>
          <w:bCs/>
          <w:sz w:val="16"/>
          <w:szCs w:val="16"/>
        </w:rPr>
        <w:t>Դոլարի</w:t>
      </w:r>
      <w:r w:rsidRPr="00CC7087">
        <w:rPr>
          <w:b w:val="0"/>
          <w:bCs/>
          <w:sz w:val="16"/>
          <w:szCs w:val="16"/>
          <w:lang w:val="en-US"/>
        </w:rPr>
        <w:t xml:space="preserve"> </w:t>
      </w:r>
      <w:r w:rsidRPr="00CC7087">
        <w:rPr>
          <w:b w:val="0"/>
          <w:bCs/>
          <w:sz w:val="16"/>
          <w:szCs w:val="16"/>
        </w:rPr>
        <w:t>ինդեքսը</w:t>
      </w:r>
      <w:r w:rsidRPr="00CC7087">
        <w:rPr>
          <w:b w:val="0"/>
          <w:bCs/>
          <w:sz w:val="16"/>
          <w:szCs w:val="16"/>
          <w:lang w:val="en-US"/>
        </w:rPr>
        <w:t xml:space="preserve"> </w:t>
      </w:r>
      <w:r w:rsidRPr="00CC7087">
        <w:rPr>
          <w:b w:val="0"/>
          <w:bCs/>
          <w:sz w:val="16"/>
          <w:szCs w:val="16"/>
        </w:rPr>
        <w:t>հաշվարկվում</w:t>
      </w:r>
      <w:r w:rsidRPr="00CC7087">
        <w:rPr>
          <w:b w:val="0"/>
          <w:bCs/>
          <w:sz w:val="16"/>
          <w:szCs w:val="16"/>
          <w:lang w:val="en-US"/>
        </w:rPr>
        <w:t xml:space="preserve"> </w:t>
      </w:r>
      <w:r w:rsidRPr="00CC7087">
        <w:rPr>
          <w:b w:val="0"/>
          <w:bCs/>
          <w:sz w:val="16"/>
          <w:szCs w:val="16"/>
        </w:rPr>
        <w:t>է</w:t>
      </w:r>
      <w:r w:rsidRPr="00CC7087">
        <w:rPr>
          <w:b w:val="0"/>
          <w:bCs/>
          <w:sz w:val="16"/>
          <w:szCs w:val="16"/>
          <w:lang w:val="en-US"/>
        </w:rPr>
        <w:t xml:space="preserve"> </w:t>
      </w:r>
      <w:r w:rsidRPr="00CC7087">
        <w:rPr>
          <w:b w:val="0"/>
          <w:bCs/>
          <w:sz w:val="16"/>
          <w:szCs w:val="16"/>
        </w:rPr>
        <w:t>որպես</w:t>
      </w:r>
      <w:r w:rsidRPr="00CC7087">
        <w:rPr>
          <w:b w:val="0"/>
          <w:bCs/>
          <w:sz w:val="16"/>
          <w:szCs w:val="16"/>
          <w:lang w:val="en-US"/>
        </w:rPr>
        <w:t xml:space="preserve"> </w:t>
      </w:r>
      <w:r w:rsidRPr="00CC7087">
        <w:rPr>
          <w:b w:val="0"/>
          <w:bCs/>
          <w:sz w:val="16"/>
          <w:szCs w:val="16"/>
        </w:rPr>
        <w:t>կշռված</w:t>
      </w:r>
      <w:r w:rsidRPr="00CC7087">
        <w:rPr>
          <w:b w:val="0"/>
          <w:bCs/>
          <w:sz w:val="16"/>
          <w:szCs w:val="16"/>
          <w:lang w:val="en-US"/>
        </w:rPr>
        <w:t xml:space="preserve"> </w:t>
      </w:r>
      <w:r w:rsidRPr="00CC7087">
        <w:rPr>
          <w:b w:val="0"/>
          <w:bCs/>
          <w:sz w:val="16"/>
          <w:szCs w:val="16"/>
        </w:rPr>
        <w:t>երկրաչափական</w:t>
      </w:r>
      <w:r w:rsidRPr="00CC7087">
        <w:rPr>
          <w:b w:val="0"/>
          <w:bCs/>
          <w:sz w:val="16"/>
          <w:szCs w:val="16"/>
          <w:lang w:val="en-US"/>
        </w:rPr>
        <w:t xml:space="preserve"> </w:t>
      </w:r>
      <w:r w:rsidRPr="00CC7087">
        <w:rPr>
          <w:b w:val="0"/>
          <w:bCs/>
          <w:sz w:val="16"/>
          <w:szCs w:val="16"/>
        </w:rPr>
        <w:t>միջին՝</w:t>
      </w:r>
      <w:r w:rsidRPr="00CC7087">
        <w:rPr>
          <w:b w:val="0"/>
          <w:bCs/>
          <w:sz w:val="16"/>
          <w:szCs w:val="16"/>
          <w:lang w:val="en-US"/>
        </w:rPr>
        <w:t xml:space="preserve"> </w:t>
      </w:r>
      <w:r w:rsidRPr="00CC7087">
        <w:rPr>
          <w:b w:val="0"/>
          <w:bCs/>
          <w:sz w:val="16"/>
          <w:szCs w:val="16"/>
        </w:rPr>
        <w:t>հետևյալ</w:t>
      </w:r>
      <w:r w:rsidRPr="00CC7087">
        <w:rPr>
          <w:b w:val="0"/>
          <w:bCs/>
          <w:sz w:val="16"/>
          <w:szCs w:val="16"/>
          <w:lang w:val="en-US"/>
        </w:rPr>
        <w:t xml:space="preserve"> </w:t>
      </w:r>
      <w:r w:rsidRPr="00CC7087">
        <w:rPr>
          <w:b w:val="0"/>
          <w:bCs/>
          <w:sz w:val="16"/>
          <w:szCs w:val="16"/>
        </w:rPr>
        <w:t>արժույթների</w:t>
      </w:r>
      <w:r w:rsidRPr="00CC7087">
        <w:rPr>
          <w:b w:val="0"/>
          <w:bCs/>
          <w:sz w:val="16"/>
          <w:szCs w:val="16"/>
          <w:lang w:val="en-US"/>
        </w:rPr>
        <w:t xml:space="preserve"> </w:t>
      </w:r>
      <w:r w:rsidRPr="00CC7087">
        <w:rPr>
          <w:b w:val="0"/>
          <w:bCs/>
          <w:sz w:val="16"/>
          <w:szCs w:val="16"/>
        </w:rPr>
        <w:t>նկատմամբ</w:t>
      </w:r>
      <w:r w:rsidRPr="00CC7087">
        <w:rPr>
          <w:b w:val="0"/>
          <w:bCs/>
          <w:sz w:val="16"/>
          <w:szCs w:val="16"/>
          <w:lang w:val="en-US"/>
        </w:rPr>
        <w:t xml:space="preserve">. </w:t>
      </w:r>
      <w:r w:rsidRPr="00CC7087">
        <w:rPr>
          <w:b w:val="0"/>
          <w:bCs/>
          <w:sz w:val="16"/>
          <w:szCs w:val="16"/>
        </w:rPr>
        <w:t>Եվրո</w:t>
      </w:r>
      <w:r w:rsidRPr="00CC7087">
        <w:rPr>
          <w:b w:val="0"/>
          <w:bCs/>
          <w:sz w:val="16"/>
          <w:szCs w:val="16"/>
          <w:lang w:val="en-US"/>
        </w:rPr>
        <w:t xml:space="preserve">, </w:t>
      </w:r>
      <w:r w:rsidRPr="00CC7087">
        <w:rPr>
          <w:b w:val="0"/>
          <w:bCs/>
          <w:sz w:val="16"/>
          <w:szCs w:val="16"/>
        </w:rPr>
        <w:t>Ճապոնական</w:t>
      </w:r>
      <w:r w:rsidRPr="00CC7087">
        <w:rPr>
          <w:b w:val="0"/>
          <w:bCs/>
          <w:sz w:val="16"/>
          <w:szCs w:val="16"/>
          <w:lang w:val="en-US"/>
        </w:rPr>
        <w:t xml:space="preserve"> </w:t>
      </w:r>
      <w:r w:rsidRPr="00CC7087">
        <w:rPr>
          <w:b w:val="0"/>
          <w:bCs/>
          <w:sz w:val="16"/>
          <w:szCs w:val="16"/>
        </w:rPr>
        <w:t>յեն</w:t>
      </w:r>
      <w:r w:rsidRPr="00CC7087">
        <w:rPr>
          <w:b w:val="0"/>
          <w:bCs/>
          <w:sz w:val="16"/>
          <w:szCs w:val="16"/>
          <w:lang w:val="en-US"/>
        </w:rPr>
        <w:t xml:space="preserve">, </w:t>
      </w:r>
      <w:r w:rsidRPr="00CC7087">
        <w:rPr>
          <w:b w:val="0"/>
          <w:bCs/>
          <w:sz w:val="16"/>
          <w:szCs w:val="16"/>
        </w:rPr>
        <w:t>Բրիտանական</w:t>
      </w:r>
      <w:r w:rsidRPr="00CC7087">
        <w:rPr>
          <w:b w:val="0"/>
          <w:bCs/>
          <w:sz w:val="16"/>
          <w:szCs w:val="16"/>
          <w:lang w:val="en-US"/>
        </w:rPr>
        <w:t xml:space="preserve"> </w:t>
      </w:r>
      <w:r w:rsidRPr="00CC7087">
        <w:rPr>
          <w:b w:val="0"/>
          <w:bCs/>
          <w:sz w:val="16"/>
          <w:szCs w:val="16"/>
        </w:rPr>
        <w:t>ֆունտ</w:t>
      </w:r>
      <w:r w:rsidRPr="00CC7087">
        <w:rPr>
          <w:b w:val="0"/>
          <w:bCs/>
          <w:sz w:val="16"/>
          <w:szCs w:val="16"/>
          <w:lang w:val="en-US"/>
        </w:rPr>
        <w:t xml:space="preserve">, </w:t>
      </w:r>
      <w:r w:rsidRPr="00CC7087">
        <w:rPr>
          <w:b w:val="0"/>
          <w:bCs/>
          <w:sz w:val="16"/>
          <w:szCs w:val="16"/>
        </w:rPr>
        <w:t>Կանադական</w:t>
      </w:r>
      <w:r w:rsidRPr="00CC7087">
        <w:rPr>
          <w:b w:val="0"/>
          <w:bCs/>
          <w:sz w:val="16"/>
          <w:szCs w:val="16"/>
          <w:lang w:val="en-US"/>
        </w:rPr>
        <w:t xml:space="preserve"> </w:t>
      </w:r>
      <w:r w:rsidRPr="00CC7087">
        <w:rPr>
          <w:b w:val="0"/>
          <w:bCs/>
          <w:sz w:val="16"/>
          <w:szCs w:val="16"/>
        </w:rPr>
        <w:t>դոլար</w:t>
      </w:r>
      <w:r w:rsidRPr="00CC7087">
        <w:rPr>
          <w:b w:val="0"/>
          <w:bCs/>
          <w:sz w:val="16"/>
          <w:szCs w:val="16"/>
          <w:lang w:val="en-US"/>
        </w:rPr>
        <w:t xml:space="preserve">, </w:t>
      </w:r>
      <w:r w:rsidRPr="00CC7087">
        <w:rPr>
          <w:b w:val="0"/>
          <w:bCs/>
          <w:sz w:val="16"/>
          <w:szCs w:val="16"/>
        </w:rPr>
        <w:t>Շվեդական</w:t>
      </w:r>
      <w:r w:rsidRPr="00CC7087">
        <w:rPr>
          <w:b w:val="0"/>
          <w:bCs/>
          <w:sz w:val="16"/>
          <w:szCs w:val="16"/>
          <w:lang w:val="en-US"/>
        </w:rPr>
        <w:t xml:space="preserve"> </w:t>
      </w:r>
      <w:r w:rsidRPr="00CC7087">
        <w:rPr>
          <w:b w:val="0"/>
          <w:bCs/>
          <w:sz w:val="16"/>
          <w:szCs w:val="16"/>
        </w:rPr>
        <w:t>կրոն</w:t>
      </w:r>
      <w:r w:rsidRPr="00CC7087">
        <w:rPr>
          <w:b w:val="0"/>
          <w:bCs/>
          <w:sz w:val="16"/>
          <w:szCs w:val="16"/>
          <w:lang w:val="en-US"/>
        </w:rPr>
        <w:t xml:space="preserve">, </w:t>
      </w:r>
      <w:r w:rsidRPr="00CC7087">
        <w:rPr>
          <w:b w:val="0"/>
          <w:bCs/>
          <w:sz w:val="16"/>
          <w:szCs w:val="16"/>
        </w:rPr>
        <w:t>Շվեյցարական</w:t>
      </w:r>
      <w:r w:rsidRPr="00CC7087">
        <w:rPr>
          <w:b w:val="0"/>
          <w:bCs/>
          <w:sz w:val="16"/>
          <w:szCs w:val="16"/>
          <w:lang w:val="en-US"/>
        </w:rPr>
        <w:t xml:space="preserve"> </w:t>
      </w:r>
      <w:r w:rsidRPr="00CC7087">
        <w:rPr>
          <w:b w:val="0"/>
          <w:bCs/>
          <w:sz w:val="16"/>
          <w:szCs w:val="16"/>
        </w:rPr>
        <w:t>ֆրանկ։</w:t>
      </w:r>
    </w:p>
  </w:footnote>
  <w:footnote w:id="12">
    <w:p w14:paraId="40774C5E" w14:textId="77777777" w:rsidR="00083152" w:rsidRPr="00CC7087" w:rsidRDefault="00083152" w:rsidP="005D1807">
      <w:pPr>
        <w:rPr>
          <w:b w:val="0"/>
          <w:bCs/>
          <w:sz w:val="16"/>
          <w:szCs w:val="16"/>
          <w:lang w:val="en-US"/>
        </w:rPr>
      </w:pPr>
      <w:r w:rsidRPr="00CC7087">
        <w:rPr>
          <w:b w:val="0"/>
          <w:bCs/>
          <w:sz w:val="16"/>
          <w:szCs w:val="16"/>
        </w:rPr>
        <w:footnoteRef/>
      </w:r>
      <w:r w:rsidRPr="00CC7087">
        <w:rPr>
          <w:b w:val="0"/>
          <w:bCs/>
          <w:sz w:val="16"/>
          <w:szCs w:val="16"/>
          <w:lang w:val="en-US"/>
        </w:rPr>
        <w:t xml:space="preserve"> </w:t>
      </w:r>
      <w:r w:rsidRPr="00CC7087">
        <w:rPr>
          <w:b w:val="0"/>
          <w:bCs/>
          <w:sz w:val="16"/>
          <w:szCs w:val="16"/>
        </w:rPr>
        <w:t>Երկրի</w:t>
      </w:r>
      <w:r w:rsidRPr="00CC7087">
        <w:rPr>
          <w:b w:val="0"/>
          <w:bCs/>
          <w:sz w:val="16"/>
          <w:szCs w:val="16"/>
          <w:lang w:val="en-US"/>
        </w:rPr>
        <w:t xml:space="preserve"> </w:t>
      </w:r>
      <w:r w:rsidRPr="00CC7087">
        <w:rPr>
          <w:b w:val="0"/>
          <w:bCs/>
          <w:sz w:val="16"/>
          <w:szCs w:val="16"/>
        </w:rPr>
        <w:t>ռիսկի</w:t>
      </w:r>
      <w:r w:rsidRPr="00CC7087">
        <w:rPr>
          <w:b w:val="0"/>
          <w:bCs/>
          <w:sz w:val="16"/>
          <w:szCs w:val="16"/>
          <w:lang w:val="en-US"/>
        </w:rPr>
        <w:t xml:space="preserve"> </w:t>
      </w:r>
      <w:r w:rsidRPr="00CC7087">
        <w:rPr>
          <w:b w:val="0"/>
          <w:bCs/>
          <w:sz w:val="16"/>
          <w:szCs w:val="16"/>
        </w:rPr>
        <w:t>հավելավճարները</w:t>
      </w:r>
      <w:r w:rsidRPr="00CC7087">
        <w:rPr>
          <w:b w:val="0"/>
          <w:bCs/>
          <w:sz w:val="16"/>
          <w:szCs w:val="16"/>
          <w:lang w:val="en-US"/>
        </w:rPr>
        <w:t xml:space="preserve"> </w:t>
      </w:r>
      <w:r w:rsidRPr="00CC7087">
        <w:rPr>
          <w:b w:val="0"/>
          <w:bCs/>
          <w:sz w:val="16"/>
          <w:szCs w:val="16"/>
        </w:rPr>
        <w:t>հաշվարկված</w:t>
      </w:r>
      <w:r w:rsidRPr="00CC7087">
        <w:rPr>
          <w:b w:val="0"/>
          <w:bCs/>
          <w:sz w:val="16"/>
          <w:szCs w:val="16"/>
          <w:lang w:val="en-US"/>
        </w:rPr>
        <w:t xml:space="preserve"> </w:t>
      </w:r>
      <w:r w:rsidRPr="00CC7087">
        <w:rPr>
          <w:b w:val="0"/>
          <w:bCs/>
          <w:sz w:val="16"/>
          <w:szCs w:val="16"/>
        </w:rPr>
        <w:t>են</w:t>
      </w:r>
      <w:r w:rsidRPr="00CC7087">
        <w:rPr>
          <w:b w:val="0"/>
          <w:bCs/>
          <w:sz w:val="16"/>
          <w:szCs w:val="16"/>
          <w:lang w:val="en-US"/>
        </w:rPr>
        <w:t xml:space="preserve"> </w:t>
      </w:r>
      <w:r w:rsidRPr="00CC7087">
        <w:rPr>
          <w:b w:val="0"/>
          <w:bCs/>
          <w:sz w:val="16"/>
          <w:szCs w:val="16"/>
        </w:rPr>
        <w:t>որպես</w:t>
      </w:r>
      <w:r w:rsidRPr="00CC7087">
        <w:rPr>
          <w:b w:val="0"/>
          <w:bCs/>
          <w:sz w:val="16"/>
          <w:szCs w:val="16"/>
          <w:lang w:val="en-US"/>
        </w:rPr>
        <w:t xml:space="preserve"> </w:t>
      </w:r>
      <w:r w:rsidRPr="00CC7087">
        <w:rPr>
          <w:b w:val="0"/>
          <w:bCs/>
          <w:sz w:val="16"/>
          <w:szCs w:val="16"/>
        </w:rPr>
        <w:t>տվյալ</w:t>
      </w:r>
      <w:r w:rsidRPr="00CC7087">
        <w:rPr>
          <w:b w:val="0"/>
          <w:bCs/>
          <w:sz w:val="16"/>
          <w:szCs w:val="16"/>
          <w:lang w:val="en-US"/>
        </w:rPr>
        <w:t xml:space="preserve"> </w:t>
      </w:r>
      <w:r w:rsidRPr="00CC7087">
        <w:rPr>
          <w:b w:val="0"/>
          <w:bCs/>
          <w:sz w:val="16"/>
          <w:szCs w:val="16"/>
        </w:rPr>
        <w:t>երկրի</w:t>
      </w:r>
      <w:r w:rsidRPr="00CC7087">
        <w:rPr>
          <w:b w:val="0"/>
          <w:bCs/>
          <w:sz w:val="16"/>
          <w:szCs w:val="16"/>
          <w:lang w:val="en-US"/>
        </w:rPr>
        <w:t xml:space="preserve"> </w:t>
      </w:r>
      <w:r w:rsidRPr="00CC7087">
        <w:rPr>
          <w:b w:val="0"/>
          <w:bCs/>
          <w:sz w:val="16"/>
          <w:szCs w:val="16"/>
        </w:rPr>
        <w:t>եվրոպարտատոմսերի</w:t>
      </w:r>
      <w:r w:rsidRPr="00CC7087">
        <w:rPr>
          <w:b w:val="0"/>
          <w:bCs/>
          <w:sz w:val="16"/>
          <w:szCs w:val="16"/>
          <w:lang w:val="en-US"/>
        </w:rPr>
        <w:t xml:space="preserve"> (</w:t>
      </w:r>
      <w:r w:rsidRPr="00CC7087">
        <w:rPr>
          <w:b w:val="0"/>
          <w:bCs/>
          <w:sz w:val="16"/>
          <w:szCs w:val="16"/>
        </w:rPr>
        <w:t>դոլարային</w:t>
      </w:r>
      <w:r w:rsidRPr="00CC7087">
        <w:rPr>
          <w:b w:val="0"/>
          <w:bCs/>
          <w:sz w:val="16"/>
          <w:szCs w:val="16"/>
          <w:lang w:val="en-US"/>
        </w:rPr>
        <w:t xml:space="preserve"> </w:t>
      </w:r>
      <w:r w:rsidRPr="00CC7087">
        <w:rPr>
          <w:b w:val="0"/>
          <w:bCs/>
          <w:sz w:val="16"/>
          <w:szCs w:val="16"/>
        </w:rPr>
        <w:t>արժույթով</w:t>
      </w:r>
      <w:r w:rsidRPr="00CC7087">
        <w:rPr>
          <w:b w:val="0"/>
          <w:bCs/>
          <w:sz w:val="16"/>
          <w:szCs w:val="16"/>
          <w:lang w:val="en-US"/>
        </w:rPr>
        <w:t xml:space="preserve">) </w:t>
      </w:r>
      <w:r w:rsidRPr="00CC7087">
        <w:rPr>
          <w:b w:val="0"/>
          <w:bCs/>
          <w:sz w:val="16"/>
          <w:szCs w:val="16"/>
        </w:rPr>
        <w:t>և</w:t>
      </w:r>
      <w:r w:rsidRPr="00CC7087">
        <w:rPr>
          <w:b w:val="0"/>
          <w:bCs/>
          <w:sz w:val="16"/>
          <w:szCs w:val="16"/>
          <w:lang w:val="en-US"/>
        </w:rPr>
        <w:t xml:space="preserve"> </w:t>
      </w:r>
      <w:r w:rsidRPr="00CC7087">
        <w:rPr>
          <w:b w:val="0"/>
          <w:bCs/>
          <w:sz w:val="16"/>
          <w:szCs w:val="16"/>
        </w:rPr>
        <w:t>ԱՄՆ</w:t>
      </w:r>
      <w:r w:rsidRPr="00CC7087">
        <w:rPr>
          <w:b w:val="0"/>
          <w:bCs/>
          <w:sz w:val="16"/>
          <w:szCs w:val="16"/>
          <w:lang w:val="en-US"/>
        </w:rPr>
        <w:t xml:space="preserve"> </w:t>
      </w:r>
      <w:r w:rsidRPr="00CC7087">
        <w:rPr>
          <w:b w:val="0"/>
          <w:bCs/>
          <w:sz w:val="16"/>
          <w:szCs w:val="16"/>
        </w:rPr>
        <w:t>համապատասխան</w:t>
      </w:r>
      <w:r w:rsidRPr="00CC7087">
        <w:rPr>
          <w:b w:val="0"/>
          <w:bCs/>
          <w:sz w:val="16"/>
          <w:szCs w:val="16"/>
          <w:lang w:val="en-US"/>
        </w:rPr>
        <w:t xml:space="preserve"> </w:t>
      </w:r>
      <w:r w:rsidRPr="00CC7087">
        <w:rPr>
          <w:b w:val="0"/>
          <w:bCs/>
          <w:sz w:val="16"/>
          <w:szCs w:val="16"/>
        </w:rPr>
        <w:t>ժամկետայնությամբ</w:t>
      </w:r>
      <w:r w:rsidRPr="00CC7087">
        <w:rPr>
          <w:b w:val="0"/>
          <w:bCs/>
          <w:sz w:val="16"/>
          <w:szCs w:val="16"/>
          <w:lang w:val="en-US"/>
        </w:rPr>
        <w:t xml:space="preserve"> </w:t>
      </w:r>
      <w:r w:rsidRPr="00CC7087">
        <w:rPr>
          <w:b w:val="0"/>
          <w:bCs/>
          <w:sz w:val="16"/>
          <w:szCs w:val="16"/>
        </w:rPr>
        <w:t>գանձապետական</w:t>
      </w:r>
      <w:r w:rsidRPr="00CC7087">
        <w:rPr>
          <w:b w:val="0"/>
          <w:bCs/>
          <w:sz w:val="16"/>
          <w:szCs w:val="16"/>
          <w:lang w:val="en-US"/>
        </w:rPr>
        <w:t xml:space="preserve"> </w:t>
      </w:r>
      <w:r w:rsidRPr="00CC7087">
        <w:rPr>
          <w:b w:val="0"/>
          <w:bCs/>
          <w:sz w:val="16"/>
          <w:szCs w:val="16"/>
        </w:rPr>
        <w:t>պարտատոմսերի</w:t>
      </w:r>
      <w:r w:rsidRPr="00CC7087">
        <w:rPr>
          <w:b w:val="0"/>
          <w:bCs/>
          <w:sz w:val="16"/>
          <w:szCs w:val="16"/>
          <w:lang w:val="en-US"/>
        </w:rPr>
        <w:t xml:space="preserve"> </w:t>
      </w:r>
      <w:r w:rsidRPr="00CC7087">
        <w:rPr>
          <w:b w:val="0"/>
          <w:bCs/>
          <w:sz w:val="16"/>
          <w:szCs w:val="16"/>
        </w:rPr>
        <w:t>եկամտաբերությունների</w:t>
      </w:r>
      <w:r w:rsidRPr="00CC7087">
        <w:rPr>
          <w:b w:val="0"/>
          <w:bCs/>
          <w:sz w:val="16"/>
          <w:szCs w:val="16"/>
          <w:lang w:val="en-US"/>
        </w:rPr>
        <w:t xml:space="preserve"> </w:t>
      </w:r>
      <w:r w:rsidRPr="00CC7087">
        <w:rPr>
          <w:b w:val="0"/>
          <w:bCs/>
          <w:sz w:val="16"/>
          <w:szCs w:val="16"/>
        </w:rPr>
        <w:t>տարբերություն</w:t>
      </w:r>
      <w:r w:rsidRPr="00CC7087">
        <w:rPr>
          <w:b w:val="0"/>
          <w:bCs/>
          <w:sz w:val="16"/>
          <w:szCs w:val="16"/>
          <w:lang w:val="en-US"/>
        </w:rPr>
        <w:t xml:space="preserve"> (</w:t>
      </w:r>
      <w:r w:rsidRPr="00CC7087">
        <w:rPr>
          <w:b w:val="0"/>
          <w:bCs/>
          <w:sz w:val="16"/>
          <w:szCs w:val="16"/>
        </w:rPr>
        <w:t>պարտատոմսերի</w:t>
      </w:r>
      <w:r w:rsidRPr="00CC7087">
        <w:rPr>
          <w:b w:val="0"/>
          <w:bCs/>
          <w:sz w:val="16"/>
          <w:szCs w:val="16"/>
          <w:lang w:val="en-US"/>
        </w:rPr>
        <w:t xml:space="preserve"> </w:t>
      </w:r>
      <w:r w:rsidRPr="00CC7087">
        <w:rPr>
          <w:b w:val="0"/>
          <w:bCs/>
          <w:sz w:val="16"/>
          <w:szCs w:val="16"/>
        </w:rPr>
        <w:t>մարման</w:t>
      </w:r>
      <w:r w:rsidRPr="00CC7087">
        <w:rPr>
          <w:b w:val="0"/>
          <w:bCs/>
          <w:sz w:val="16"/>
          <w:szCs w:val="16"/>
          <w:lang w:val="en-US"/>
        </w:rPr>
        <w:t xml:space="preserve"> </w:t>
      </w:r>
      <w:r w:rsidRPr="00CC7087">
        <w:rPr>
          <w:b w:val="0"/>
          <w:bCs/>
          <w:sz w:val="16"/>
          <w:szCs w:val="16"/>
        </w:rPr>
        <w:t>ժամկետները</w:t>
      </w:r>
      <w:r w:rsidRPr="00CC7087">
        <w:rPr>
          <w:b w:val="0"/>
          <w:bCs/>
          <w:sz w:val="16"/>
          <w:szCs w:val="16"/>
          <w:lang w:val="en-US"/>
        </w:rPr>
        <w:t xml:space="preserve"> </w:t>
      </w:r>
      <w:r w:rsidRPr="00CC7087">
        <w:rPr>
          <w:b w:val="0"/>
          <w:bCs/>
          <w:sz w:val="16"/>
          <w:szCs w:val="16"/>
        </w:rPr>
        <w:t>նշված</w:t>
      </w:r>
      <w:r w:rsidRPr="00CC7087">
        <w:rPr>
          <w:b w:val="0"/>
          <w:bCs/>
          <w:sz w:val="16"/>
          <w:szCs w:val="16"/>
          <w:lang w:val="en-US"/>
        </w:rPr>
        <w:t xml:space="preserve"> </w:t>
      </w:r>
      <w:r w:rsidRPr="00CC7087">
        <w:rPr>
          <w:b w:val="0"/>
          <w:bCs/>
          <w:sz w:val="16"/>
          <w:szCs w:val="16"/>
        </w:rPr>
        <w:t>են</w:t>
      </w:r>
      <w:r w:rsidRPr="00CC7087">
        <w:rPr>
          <w:b w:val="0"/>
          <w:bCs/>
          <w:sz w:val="16"/>
          <w:szCs w:val="16"/>
          <w:lang w:val="en-US"/>
        </w:rPr>
        <w:t xml:space="preserve"> </w:t>
      </w:r>
      <w:r w:rsidRPr="00CC7087">
        <w:rPr>
          <w:b w:val="0"/>
          <w:bCs/>
          <w:sz w:val="16"/>
          <w:szCs w:val="16"/>
        </w:rPr>
        <w:t>երկրների</w:t>
      </w:r>
      <w:r w:rsidRPr="00CC7087">
        <w:rPr>
          <w:b w:val="0"/>
          <w:bCs/>
          <w:sz w:val="16"/>
          <w:szCs w:val="16"/>
          <w:lang w:val="en-US"/>
        </w:rPr>
        <w:t xml:space="preserve"> </w:t>
      </w:r>
      <w:r w:rsidRPr="00CC7087">
        <w:rPr>
          <w:b w:val="0"/>
          <w:bCs/>
          <w:sz w:val="16"/>
          <w:szCs w:val="16"/>
        </w:rPr>
        <w:t>անվանումների</w:t>
      </w:r>
      <w:r w:rsidRPr="00CC7087">
        <w:rPr>
          <w:b w:val="0"/>
          <w:bCs/>
          <w:sz w:val="16"/>
          <w:szCs w:val="16"/>
          <w:lang w:val="en-US"/>
        </w:rPr>
        <w:t xml:space="preserve"> </w:t>
      </w:r>
      <w:r w:rsidRPr="00CC7087">
        <w:rPr>
          <w:b w:val="0"/>
          <w:bCs/>
          <w:sz w:val="16"/>
          <w:szCs w:val="16"/>
        </w:rPr>
        <w:t>կողքը՝</w:t>
      </w:r>
      <w:r w:rsidRPr="00CC7087">
        <w:rPr>
          <w:b w:val="0"/>
          <w:bCs/>
          <w:sz w:val="16"/>
          <w:szCs w:val="16"/>
          <w:lang w:val="en-US"/>
        </w:rPr>
        <w:t xml:space="preserve"> </w:t>
      </w:r>
      <w:r w:rsidRPr="00CC7087">
        <w:rPr>
          <w:b w:val="0"/>
          <w:bCs/>
          <w:sz w:val="16"/>
          <w:szCs w:val="16"/>
        </w:rPr>
        <w:t>փակագծերում</w:t>
      </w:r>
      <w:r w:rsidRPr="00CC7087">
        <w:rPr>
          <w:b w:val="0"/>
          <w:bCs/>
          <w:sz w:val="16"/>
          <w:szCs w:val="16"/>
          <w:lang w:val="en-US"/>
        </w:rPr>
        <w:t xml:space="preserve">): </w:t>
      </w:r>
    </w:p>
  </w:footnote>
  <w:footnote w:id="13">
    <w:p w14:paraId="3BB995CE" w14:textId="77777777" w:rsidR="00083152" w:rsidRPr="00CC7087" w:rsidRDefault="00083152" w:rsidP="005D1807">
      <w:pPr>
        <w:rPr>
          <w:b w:val="0"/>
          <w:bCs/>
          <w:sz w:val="16"/>
          <w:szCs w:val="16"/>
          <w:lang w:val="en-US"/>
        </w:rPr>
      </w:pPr>
      <w:r w:rsidRPr="00CC7087">
        <w:rPr>
          <w:b w:val="0"/>
          <w:bCs/>
          <w:sz w:val="16"/>
          <w:szCs w:val="16"/>
        </w:rPr>
        <w:footnoteRef/>
      </w:r>
      <w:r w:rsidRPr="00CC7087">
        <w:rPr>
          <w:b w:val="0"/>
          <w:bCs/>
          <w:sz w:val="16"/>
          <w:szCs w:val="16"/>
        </w:rPr>
        <w:t>ՏԱՑ</w:t>
      </w:r>
      <w:r w:rsidRPr="00CC7087">
        <w:rPr>
          <w:b w:val="0"/>
          <w:bCs/>
          <w:sz w:val="16"/>
          <w:szCs w:val="16"/>
          <w:lang w:val="en-US"/>
        </w:rPr>
        <w:t>-</w:t>
      </w:r>
      <w:r w:rsidRPr="00CC7087">
        <w:rPr>
          <w:b w:val="0"/>
          <w:bCs/>
          <w:sz w:val="16"/>
          <w:szCs w:val="16"/>
        </w:rPr>
        <w:t>ի</w:t>
      </w:r>
      <w:r w:rsidRPr="00CC7087">
        <w:rPr>
          <w:b w:val="0"/>
          <w:bCs/>
          <w:sz w:val="16"/>
          <w:szCs w:val="16"/>
          <w:lang w:val="en-US"/>
        </w:rPr>
        <w:t xml:space="preserve"> </w:t>
      </w:r>
      <w:r w:rsidRPr="00CC7087">
        <w:rPr>
          <w:b w:val="0"/>
          <w:bCs/>
          <w:sz w:val="16"/>
          <w:szCs w:val="16"/>
        </w:rPr>
        <w:t>աճին</w:t>
      </w:r>
      <w:r w:rsidRPr="00CC7087">
        <w:rPr>
          <w:b w:val="0"/>
          <w:bCs/>
          <w:sz w:val="16"/>
          <w:szCs w:val="16"/>
          <w:lang w:val="en-US"/>
        </w:rPr>
        <w:t xml:space="preserve"> </w:t>
      </w:r>
      <w:r w:rsidRPr="00CC7087">
        <w:rPr>
          <w:b w:val="0"/>
          <w:bCs/>
          <w:sz w:val="16"/>
          <w:szCs w:val="16"/>
        </w:rPr>
        <w:t>ճյուղերի</w:t>
      </w:r>
      <w:r w:rsidRPr="00CC7087">
        <w:rPr>
          <w:b w:val="0"/>
          <w:bCs/>
          <w:sz w:val="16"/>
          <w:szCs w:val="16"/>
          <w:lang w:val="en-US"/>
        </w:rPr>
        <w:t xml:space="preserve"> </w:t>
      </w:r>
      <w:r w:rsidRPr="00CC7087">
        <w:rPr>
          <w:b w:val="0"/>
          <w:bCs/>
          <w:sz w:val="16"/>
          <w:szCs w:val="16"/>
        </w:rPr>
        <w:t>նպաստումները</w:t>
      </w:r>
      <w:r w:rsidRPr="00CC7087">
        <w:rPr>
          <w:b w:val="0"/>
          <w:bCs/>
          <w:sz w:val="16"/>
          <w:szCs w:val="16"/>
          <w:lang w:val="en-US"/>
        </w:rPr>
        <w:t xml:space="preserve"> </w:t>
      </w:r>
      <w:r w:rsidRPr="00CC7087">
        <w:rPr>
          <w:b w:val="0"/>
          <w:bCs/>
          <w:sz w:val="16"/>
          <w:szCs w:val="16"/>
        </w:rPr>
        <w:t>ՀՀ</w:t>
      </w:r>
      <w:r w:rsidRPr="00CC7087">
        <w:rPr>
          <w:b w:val="0"/>
          <w:bCs/>
          <w:sz w:val="16"/>
          <w:szCs w:val="16"/>
          <w:lang w:val="en-US"/>
        </w:rPr>
        <w:t xml:space="preserve"> </w:t>
      </w:r>
      <w:r w:rsidRPr="00CC7087">
        <w:rPr>
          <w:b w:val="0"/>
          <w:bCs/>
          <w:sz w:val="16"/>
          <w:szCs w:val="16"/>
        </w:rPr>
        <w:t>ֆինանսների</w:t>
      </w:r>
      <w:r w:rsidRPr="00CC7087">
        <w:rPr>
          <w:b w:val="0"/>
          <w:bCs/>
          <w:sz w:val="16"/>
          <w:szCs w:val="16"/>
          <w:lang w:val="en-US"/>
        </w:rPr>
        <w:t xml:space="preserve"> </w:t>
      </w:r>
      <w:r w:rsidRPr="00CC7087">
        <w:rPr>
          <w:b w:val="0"/>
          <w:bCs/>
          <w:sz w:val="16"/>
          <w:szCs w:val="16"/>
        </w:rPr>
        <w:t>նախարարության</w:t>
      </w:r>
      <w:r w:rsidRPr="00CC7087">
        <w:rPr>
          <w:b w:val="0"/>
          <w:bCs/>
          <w:sz w:val="16"/>
          <w:szCs w:val="16"/>
          <w:lang w:val="en-US"/>
        </w:rPr>
        <w:t xml:space="preserve"> </w:t>
      </w:r>
      <w:r w:rsidRPr="00CC7087">
        <w:rPr>
          <w:b w:val="0"/>
          <w:bCs/>
          <w:sz w:val="16"/>
          <w:szCs w:val="16"/>
        </w:rPr>
        <w:t>գնահատականներն</w:t>
      </w:r>
      <w:r w:rsidRPr="00CC7087">
        <w:rPr>
          <w:b w:val="0"/>
          <w:bCs/>
          <w:sz w:val="16"/>
          <w:szCs w:val="16"/>
          <w:lang w:val="en-US"/>
        </w:rPr>
        <w:t xml:space="preserve"> </w:t>
      </w:r>
      <w:r w:rsidRPr="00CC7087">
        <w:rPr>
          <w:b w:val="0"/>
          <w:bCs/>
          <w:sz w:val="16"/>
          <w:szCs w:val="16"/>
        </w:rPr>
        <w:t>են</w:t>
      </w:r>
      <w:r w:rsidRPr="00CC7087">
        <w:rPr>
          <w:b w:val="0"/>
          <w:bCs/>
          <w:sz w:val="16"/>
          <w:szCs w:val="16"/>
          <w:lang w:val="en-US"/>
        </w:rPr>
        <w:t xml:space="preserve">: </w:t>
      </w:r>
      <w:r w:rsidRPr="00CC7087">
        <w:rPr>
          <w:b w:val="0"/>
          <w:bCs/>
          <w:sz w:val="16"/>
          <w:szCs w:val="16"/>
        </w:rPr>
        <w:t>Գյուղատնտեսության</w:t>
      </w:r>
      <w:r w:rsidRPr="00CC7087">
        <w:rPr>
          <w:b w:val="0"/>
          <w:bCs/>
          <w:sz w:val="16"/>
          <w:szCs w:val="16"/>
          <w:lang w:val="en-US"/>
        </w:rPr>
        <w:t xml:space="preserve"> </w:t>
      </w:r>
      <w:r w:rsidRPr="00CC7087">
        <w:rPr>
          <w:b w:val="0"/>
          <w:bCs/>
          <w:sz w:val="16"/>
          <w:szCs w:val="16"/>
        </w:rPr>
        <w:t>ցուցանիշը</w:t>
      </w:r>
      <w:r w:rsidRPr="00CC7087">
        <w:rPr>
          <w:b w:val="0"/>
          <w:bCs/>
          <w:sz w:val="16"/>
          <w:szCs w:val="16"/>
          <w:lang w:val="en-US"/>
        </w:rPr>
        <w:t xml:space="preserve"> </w:t>
      </w:r>
      <w:r w:rsidRPr="00CC7087">
        <w:rPr>
          <w:b w:val="0"/>
          <w:bCs/>
          <w:sz w:val="16"/>
          <w:szCs w:val="16"/>
        </w:rPr>
        <w:t>ոչ</w:t>
      </w:r>
      <w:r w:rsidRPr="00CC7087">
        <w:rPr>
          <w:b w:val="0"/>
          <w:bCs/>
          <w:sz w:val="16"/>
          <w:szCs w:val="16"/>
          <w:lang w:val="en-US"/>
        </w:rPr>
        <w:t xml:space="preserve"> </w:t>
      </w:r>
      <w:r w:rsidRPr="00CC7087">
        <w:rPr>
          <w:b w:val="0"/>
          <w:bCs/>
          <w:sz w:val="16"/>
          <w:szCs w:val="16"/>
        </w:rPr>
        <w:t>բոլոր</w:t>
      </w:r>
      <w:r w:rsidRPr="00CC7087">
        <w:rPr>
          <w:b w:val="0"/>
          <w:bCs/>
          <w:sz w:val="16"/>
          <w:szCs w:val="16"/>
          <w:lang w:val="en-US"/>
        </w:rPr>
        <w:t xml:space="preserve"> </w:t>
      </w:r>
      <w:r w:rsidRPr="00CC7087">
        <w:rPr>
          <w:b w:val="0"/>
          <w:bCs/>
          <w:sz w:val="16"/>
          <w:szCs w:val="16"/>
        </w:rPr>
        <w:t>տեղերում</w:t>
      </w:r>
      <w:r w:rsidRPr="00CC7087">
        <w:rPr>
          <w:b w:val="0"/>
          <w:bCs/>
          <w:sz w:val="16"/>
          <w:szCs w:val="16"/>
          <w:lang w:val="en-US"/>
        </w:rPr>
        <w:t xml:space="preserve"> </w:t>
      </w:r>
      <w:r w:rsidRPr="00CC7087">
        <w:rPr>
          <w:b w:val="0"/>
          <w:bCs/>
          <w:sz w:val="16"/>
          <w:szCs w:val="16"/>
        </w:rPr>
        <w:t>է</w:t>
      </w:r>
      <w:r w:rsidRPr="00CC7087">
        <w:rPr>
          <w:b w:val="0"/>
          <w:bCs/>
          <w:sz w:val="16"/>
          <w:szCs w:val="16"/>
          <w:lang w:val="en-US"/>
        </w:rPr>
        <w:t xml:space="preserve"> </w:t>
      </w:r>
      <w:r w:rsidRPr="00CC7087">
        <w:rPr>
          <w:b w:val="0"/>
          <w:bCs/>
          <w:sz w:val="16"/>
          <w:szCs w:val="16"/>
        </w:rPr>
        <w:t>ներառված</w:t>
      </w:r>
      <w:r w:rsidRPr="00CC7087">
        <w:rPr>
          <w:b w:val="0"/>
          <w:bCs/>
          <w:sz w:val="16"/>
          <w:szCs w:val="16"/>
          <w:lang w:val="en-US"/>
        </w:rPr>
        <w:t xml:space="preserve"> </w:t>
      </w:r>
      <w:r w:rsidRPr="00CC7087">
        <w:rPr>
          <w:b w:val="0"/>
          <w:bCs/>
          <w:sz w:val="16"/>
          <w:szCs w:val="16"/>
        </w:rPr>
        <w:t>հաշվարկներում</w:t>
      </w:r>
      <w:r w:rsidRPr="00CC7087">
        <w:rPr>
          <w:b w:val="0"/>
          <w:bCs/>
          <w:sz w:val="16"/>
          <w:szCs w:val="16"/>
          <w:lang w:val="en-US"/>
        </w:rPr>
        <w:t xml:space="preserve">, </w:t>
      </w:r>
      <w:r w:rsidRPr="00CC7087">
        <w:rPr>
          <w:b w:val="0"/>
          <w:bCs/>
          <w:sz w:val="16"/>
          <w:szCs w:val="16"/>
        </w:rPr>
        <w:t>քանի</w:t>
      </w:r>
      <w:r w:rsidRPr="00CC7087">
        <w:rPr>
          <w:b w:val="0"/>
          <w:bCs/>
          <w:sz w:val="16"/>
          <w:szCs w:val="16"/>
          <w:lang w:val="en-US"/>
        </w:rPr>
        <w:t xml:space="preserve"> </w:t>
      </w:r>
      <w:r w:rsidRPr="00CC7087">
        <w:rPr>
          <w:b w:val="0"/>
          <w:bCs/>
          <w:sz w:val="16"/>
          <w:szCs w:val="16"/>
        </w:rPr>
        <w:t>որ</w:t>
      </w:r>
      <w:r w:rsidRPr="00CC7087">
        <w:rPr>
          <w:b w:val="0"/>
          <w:bCs/>
          <w:sz w:val="16"/>
          <w:szCs w:val="16"/>
          <w:lang w:val="en-US"/>
        </w:rPr>
        <w:t xml:space="preserve"> </w:t>
      </w:r>
      <w:r w:rsidRPr="00CC7087">
        <w:rPr>
          <w:b w:val="0"/>
          <w:bCs/>
          <w:sz w:val="16"/>
          <w:szCs w:val="16"/>
        </w:rPr>
        <w:t>հրապարակվում</w:t>
      </w:r>
      <w:r w:rsidRPr="00CC7087">
        <w:rPr>
          <w:b w:val="0"/>
          <w:bCs/>
          <w:sz w:val="16"/>
          <w:szCs w:val="16"/>
          <w:lang w:val="en-US"/>
        </w:rPr>
        <w:t xml:space="preserve"> </w:t>
      </w:r>
      <w:r w:rsidRPr="00CC7087">
        <w:rPr>
          <w:b w:val="0"/>
          <w:bCs/>
          <w:sz w:val="16"/>
          <w:szCs w:val="16"/>
        </w:rPr>
        <w:t>է</w:t>
      </w:r>
      <w:r w:rsidRPr="00CC7087">
        <w:rPr>
          <w:b w:val="0"/>
          <w:bCs/>
          <w:sz w:val="16"/>
          <w:szCs w:val="16"/>
          <w:lang w:val="en-US"/>
        </w:rPr>
        <w:t xml:space="preserve"> </w:t>
      </w:r>
      <w:r w:rsidRPr="00CC7087">
        <w:rPr>
          <w:b w:val="0"/>
          <w:bCs/>
          <w:sz w:val="16"/>
          <w:szCs w:val="16"/>
        </w:rPr>
        <w:t>եռամսյակային</w:t>
      </w:r>
      <w:r w:rsidRPr="00CC7087">
        <w:rPr>
          <w:b w:val="0"/>
          <w:bCs/>
          <w:sz w:val="16"/>
          <w:szCs w:val="16"/>
          <w:lang w:val="en-US"/>
        </w:rPr>
        <w:t xml:space="preserve"> </w:t>
      </w:r>
      <w:r w:rsidRPr="00CC7087">
        <w:rPr>
          <w:b w:val="0"/>
          <w:bCs/>
          <w:sz w:val="16"/>
          <w:szCs w:val="16"/>
        </w:rPr>
        <w:t>պարբերականությամբ՝</w:t>
      </w:r>
      <w:r w:rsidRPr="00CC7087">
        <w:rPr>
          <w:b w:val="0"/>
          <w:bCs/>
          <w:sz w:val="16"/>
          <w:szCs w:val="16"/>
          <w:lang w:val="en-US"/>
        </w:rPr>
        <w:t xml:space="preserve"> </w:t>
      </w:r>
      <w:r w:rsidRPr="00CC7087">
        <w:rPr>
          <w:b w:val="0"/>
          <w:bCs/>
          <w:sz w:val="16"/>
          <w:szCs w:val="16"/>
        </w:rPr>
        <w:t>պայմանավորված</w:t>
      </w:r>
      <w:r w:rsidRPr="00CC7087">
        <w:rPr>
          <w:b w:val="0"/>
          <w:bCs/>
          <w:sz w:val="16"/>
          <w:szCs w:val="16"/>
          <w:lang w:val="en-US"/>
        </w:rPr>
        <w:t xml:space="preserve"> </w:t>
      </w:r>
      <w:r w:rsidRPr="00CC7087">
        <w:rPr>
          <w:b w:val="0"/>
          <w:bCs/>
          <w:sz w:val="16"/>
          <w:szCs w:val="16"/>
        </w:rPr>
        <w:t>գյուղատնտեսության</w:t>
      </w:r>
      <w:r w:rsidRPr="00CC7087">
        <w:rPr>
          <w:b w:val="0"/>
          <w:bCs/>
          <w:sz w:val="16"/>
          <w:szCs w:val="16"/>
          <w:lang w:val="en-US"/>
        </w:rPr>
        <w:t xml:space="preserve"> </w:t>
      </w:r>
      <w:r w:rsidRPr="00CC7087">
        <w:rPr>
          <w:b w:val="0"/>
          <w:bCs/>
          <w:sz w:val="16"/>
          <w:szCs w:val="16"/>
        </w:rPr>
        <w:t>սեզոնայնությամբ</w:t>
      </w:r>
      <w:r w:rsidRPr="00CC7087">
        <w:rPr>
          <w:b w:val="0"/>
          <w:bCs/>
          <w:sz w:val="16"/>
          <w:szCs w:val="16"/>
          <w:lang w:val="en-US"/>
        </w:rPr>
        <w:t xml:space="preserve"> </w:t>
      </w:r>
      <w:r w:rsidRPr="00CC7087">
        <w:rPr>
          <w:b w:val="0"/>
          <w:bCs/>
          <w:sz w:val="16"/>
          <w:szCs w:val="16"/>
        </w:rPr>
        <w:t>և</w:t>
      </w:r>
      <w:r w:rsidRPr="00CC7087">
        <w:rPr>
          <w:b w:val="0"/>
          <w:bCs/>
          <w:sz w:val="16"/>
          <w:szCs w:val="16"/>
          <w:lang w:val="en-US"/>
        </w:rPr>
        <w:t xml:space="preserve"> </w:t>
      </w:r>
      <w:r w:rsidRPr="00CC7087">
        <w:rPr>
          <w:b w:val="0"/>
          <w:bCs/>
          <w:sz w:val="16"/>
          <w:szCs w:val="16"/>
        </w:rPr>
        <w:t>բնակլիմայական</w:t>
      </w:r>
      <w:r w:rsidRPr="00CC7087">
        <w:rPr>
          <w:b w:val="0"/>
          <w:bCs/>
          <w:sz w:val="16"/>
          <w:szCs w:val="16"/>
          <w:lang w:val="en-US"/>
        </w:rPr>
        <w:t xml:space="preserve"> </w:t>
      </w:r>
      <w:r w:rsidRPr="00CC7087">
        <w:rPr>
          <w:b w:val="0"/>
          <w:bCs/>
          <w:sz w:val="16"/>
          <w:szCs w:val="16"/>
        </w:rPr>
        <w:t>ոչ</w:t>
      </w:r>
      <w:r w:rsidRPr="00CC7087">
        <w:rPr>
          <w:b w:val="0"/>
          <w:bCs/>
          <w:sz w:val="16"/>
          <w:szCs w:val="16"/>
          <w:lang w:val="en-US"/>
        </w:rPr>
        <w:t xml:space="preserve"> </w:t>
      </w:r>
      <w:r w:rsidRPr="00CC7087">
        <w:rPr>
          <w:b w:val="0"/>
          <w:bCs/>
          <w:sz w:val="16"/>
          <w:szCs w:val="16"/>
        </w:rPr>
        <w:t>կայուն</w:t>
      </w:r>
      <w:r w:rsidRPr="00CC7087">
        <w:rPr>
          <w:b w:val="0"/>
          <w:bCs/>
          <w:sz w:val="16"/>
          <w:szCs w:val="16"/>
          <w:lang w:val="en-US"/>
        </w:rPr>
        <w:t xml:space="preserve"> </w:t>
      </w:r>
      <w:r w:rsidRPr="00CC7087">
        <w:rPr>
          <w:b w:val="0"/>
          <w:bCs/>
          <w:sz w:val="16"/>
          <w:szCs w:val="16"/>
        </w:rPr>
        <w:t>պայմաններից</w:t>
      </w:r>
      <w:r w:rsidRPr="00CC7087">
        <w:rPr>
          <w:b w:val="0"/>
          <w:bCs/>
          <w:sz w:val="16"/>
          <w:szCs w:val="16"/>
          <w:lang w:val="en-US"/>
        </w:rPr>
        <w:t xml:space="preserve"> </w:t>
      </w:r>
      <w:r w:rsidRPr="00CC7087">
        <w:rPr>
          <w:b w:val="0"/>
          <w:bCs/>
          <w:sz w:val="16"/>
          <w:szCs w:val="16"/>
        </w:rPr>
        <w:t>կախված</w:t>
      </w:r>
      <w:r w:rsidRPr="00CC7087">
        <w:rPr>
          <w:b w:val="0"/>
          <w:bCs/>
          <w:sz w:val="16"/>
          <w:szCs w:val="16"/>
          <w:lang w:val="en-US"/>
        </w:rPr>
        <w:t xml:space="preserve"> </w:t>
      </w:r>
      <w:r w:rsidRPr="00CC7087">
        <w:rPr>
          <w:b w:val="0"/>
          <w:bCs/>
          <w:sz w:val="16"/>
          <w:szCs w:val="16"/>
        </w:rPr>
        <w:t>ամսական</w:t>
      </w:r>
      <w:r w:rsidRPr="00CC7087">
        <w:rPr>
          <w:b w:val="0"/>
          <w:bCs/>
          <w:sz w:val="16"/>
          <w:szCs w:val="16"/>
          <w:lang w:val="en-US"/>
        </w:rPr>
        <w:t xml:space="preserve"> </w:t>
      </w:r>
      <w:r w:rsidRPr="00CC7087">
        <w:rPr>
          <w:b w:val="0"/>
          <w:bCs/>
          <w:sz w:val="16"/>
          <w:szCs w:val="16"/>
        </w:rPr>
        <w:t>արտադրության</w:t>
      </w:r>
      <w:r w:rsidRPr="00CC7087">
        <w:rPr>
          <w:b w:val="0"/>
          <w:bCs/>
          <w:sz w:val="16"/>
          <w:szCs w:val="16"/>
          <w:lang w:val="en-US"/>
        </w:rPr>
        <w:t xml:space="preserve"> </w:t>
      </w:r>
      <w:r w:rsidRPr="00CC7087">
        <w:rPr>
          <w:b w:val="0"/>
          <w:bCs/>
          <w:sz w:val="16"/>
          <w:szCs w:val="16"/>
        </w:rPr>
        <w:t>տատանողականության</w:t>
      </w:r>
      <w:r w:rsidRPr="00CC7087">
        <w:rPr>
          <w:b w:val="0"/>
          <w:bCs/>
          <w:sz w:val="16"/>
          <w:szCs w:val="16"/>
          <w:lang w:val="en-US"/>
        </w:rPr>
        <w:t xml:space="preserve"> </w:t>
      </w:r>
      <w:r w:rsidRPr="00CC7087">
        <w:rPr>
          <w:b w:val="0"/>
          <w:bCs/>
          <w:sz w:val="16"/>
          <w:szCs w:val="16"/>
        </w:rPr>
        <w:t>հարթեցման</w:t>
      </w:r>
      <w:r w:rsidRPr="00CC7087">
        <w:rPr>
          <w:b w:val="0"/>
          <w:bCs/>
          <w:sz w:val="16"/>
          <w:szCs w:val="16"/>
          <w:lang w:val="en-US"/>
        </w:rPr>
        <w:t xml:space="preserve"> </w:t>
      </w:r>
      <w:r w:rsidRPr="00CC7087">
        <w:rPr>
          <w:b w:val="0"/>
          <w:bCs/>
          <w:sz w:val="16"/>
          <w:szCs w:val="16"/>
        </w:rPr>
        <w:t>անհրաժեշտությամբ</w:t>
      </w:r>
      <w:r w:rsidRPr="00CC7087">
        <w:rPr>
          <w:b w:val="0"/>
          <w:bCs/>
          <w:sz w:val="16"/>
          <w:szCs w:val="16"/>
          <w:lang w:val="en-US"/>
        </w:rPr>
        <w:t>:</w:t>
      </w:r>
    </w:p>
  </w:footnote>
  <w:footnote w:id="14">
    <w:p w14:paraId="59B4C9A4" w14:textId="77777777" w:rsidR="00083152" w:rsidRPr="00CC7087" w:rsidRDefault="00083152" w:rsidP="005D1807">
      <w:pPr>
        <w:rPr>
          <w:b w:val="0"/>
          <w:bCs/>
          <w:sz w:val="16"/>
          <w:szCs w:val="16"/>
          <w:lang w:val="en-US"/>
        </w:rPr>
      </w:pPr>
      <w:r w:rsidRPr="00CC7087">
        <w:rPr>
          <w:b w:val="0"/>
          <w:bCs/>
          <w:sz w:val="16"/>
          <w:szCs w:val="16"/>
        </w:rPr>
        <w:footnoteRef/>
      </w:r>
      <w:r w:rsidRPr="00CC7087">
        <w:rPr>
          <w:b w:val="0"/>
          <w:bCs/>
          <w:sz w:val="16"/>
          <w:szCs w:val="16"/>
        </w:rPr>
        <w:t>ՏԱՑ</w:t>
      </w:r>
      <w:r w:rsidRPr="00CC7087">
        <w:rPr>
          <w:b w:val="0"/>
          <w:bCs/>
          <w:sz w:val="16"/>
          <w:szCs w:val="16"/>
          <w:lang w:val="en-US"/>
        </w:rPr>
        <w:t>-</w:t>
      </w:r>
      <w:r w:rsidRPr="00CC7087">
        <w:rPr>
          <w:b w:val="0"/>
          <w:bCs/>
          <w:sz w:val="16"/>
          <w:szCs w:val="16"/>
        </w:rPr>
        <w:t>ի</w:t>
      </w:r>
      <w:r w:rsidRPr="00CC7087">
        <w:rPr>
          <w:b w:val="0"/>
          <w:bCs/>
          <w:sz w:val="16"/>
          <w:szCs w:val="16"/>
          <w:lang w:val="en-US"/>
        </w:rPr>
        <w:t xml:space="preserve"> </w:t>
      </w:r>
      <w:r w:rsidRPr="00CC7087">
        <w:rPr>
          <w:b w:val="0"/>
          <w:bCs/>
          <w:sz w:val="16"/>
          <w:szCs w:val="16"/>
        </w:rPr>
        <w:t>նպաստումների</w:t>
      </w:r>
      <w:r w:rsidRPr="00CC7087">
        <w:rPr>
          <w:b w:val="0"/>
          <w:bCs/>
          <w:sz w:val="16"/>
          <w:szCs w:val="16"/>
          <w:lang w:val="en-US"/>
        </w:rPr>
        <w:t xml:space="preserve"> «</w:t>
      </w:r>
      <w:r w:rsidRPr="00CC7087">
        <w:rPr>
          <w:b w:val="0"/>
          <w:bCs/>
          <w:sz w:val="16"/>
          <w:szCs w:val="16"/>
        </w:rPr>
        <w:t>այլ</w:t>
      </w:r>
      <w:r w:rsidRPr="00CC7087">
        <w:rPr>
          <w:b w:val="0"/>
          <w:bCs/>
          <w:sz w:val="16"/>
          <w:szCs w:val="16"/>
          <w:lang w:val="en-US"/>
        </w:rPr>
        <w:t xml:space="preserve">» </w:t>
      </w:r>
      <w:r w:rsidRPr="00CC7087">
        <w:rPr>
          <w:b w:val="0"/>
          <w:bCs/>
          <w:sz w:val="16"/>
          <w:szCs w:val="16"/>
        </w:rPr>
        <w:t>բաղադրիչի</w:t>
      </w:r>
      <w:r w:rsidRPr="00CC7087">
        <w:rPr>
          <w:b w:val="0"/>
          <w:bCs/>
          <w:sz w:val="16"/>
          <w:szCs w:val="16"/>
          <w:lang w:val="en-US"/>
        </w:rPr>
        <w:t xml:space="preserve"> </w:t>
      </w:r>
      <w:r w:rsidRPr="00CC7087">
        <w:rPr>
          <w:b w:val="0"/>
          <w:bCs/>
          <w:sz w:val="16"/>
          <w:szCs w:val="16"/>
        </w:rPr>
        <w:t>մեջ</w:t>
      </w:r>
      <w:r w:rsidRPr="00CC7087">
        <w:rPr>
          <w:b w:val="0"/>
          <w:bCs/>
          <w:sz w:val="16"/>
          <w:szCs w:val="16"/>
          <w:lang w:val="en-US"/>
        </w:rPr>
        <w:t xml:space="preserve"> </w:t>
      </w:r>
      <w:r w:rsidRPr="00CC7087">
        <w:rPr>
          <w:b w:val="0"/>
          <w:bCs/>
          <w:sz w:val="16"/>
          <w:szCs w:val="16"/>
        </w:rPr>
        <w:t>ներառված</w:t>
      </w:r>
      <w:r w:rsidRPr="00CC7087">
        <w:rPr>
          <w:b w:val="0"/>
          <w:bCs/>
          <w:sz w:val="16"/>
          <w:szCs w:val="16"/>
          <w:lang w:val="en-US"/>
        </w:rPr>
        <w:t xml:space="preserve"> </w:t>
      </w:r>
      <w:r w:rsidRPr="00CC7087">
        <w:rPr>
          <w:b w:val="0"/>
          <w:bCs/>
          <w:sz w:val="16"/>
          <w:szCs w:val="16"/>
        </w:rPr>
        <w:t>են</w:t>
      </w:r>
      <w:r w:rsidRPr="00CC7087">
        <w:rPr>
          <w:b w:val="0"/>
          <w:bCs/>
          <w:sz w:val="16"/>
          <w:szCs w:val="16"/>
          <w:lang w:val="en-US"/>
        </w:rPr>
        <w:t xml:space="preserve"> </w:t>
      </w:r>
      <w:r w:rsidRPr="00CC7087">
        <w:rPr>
          <w:b w:val="0"/>
          <w:bCs/>
          <w:sz w:val="16"/>
          <w:szCs w:val="16"/>
        </w:rPr>
        <w:t>գյուղատնտեսության</w:t>
      </w:r>
      <w:r w:rsidRPr="00CC7087">
        <w:rPr>
          <w:b w:val="0"/>
          <w:bCs/>
          <w:sz w:val="16"/>
          <w:szCs w:val="16"/>
          <w:lang w:val="en-US"/>
        </w:rPr>
        <w:t xml:space="preserve"> (</w:t>
      </w:r>
      <w:r w:rsidRPr="00CC7087">
        <w:rPr>
          <w:b w:val="0"/>
          <w:bCs/>
          <w:sz w:val="16"/>
          <w:szCs w:val="16"/>
        </w:rPr>
        <w:t>բացառությամբ՝</w:t>
      </w:r>
      <w:r w:rsidRPr="00CC7087">
        <w:rPr>
          <w:b w:val="0"/>
          <w:bCs/>
          <w:sz w:val="16"/>
          <w:szCs w:val="16"/>
          <w:lang w:val="en-US"/>
        </w:rPr>
        <w:t xml:space="preserve"> </w:t>
      </w:r>
      <w:r w:rsidRPr="00CC7087">
        <w:rPr>
          <w:b w:val="0"/>
          <w:bCs/>
          <w:sz w:val="16"/>
          <w:szCs w:val="16"/>
        </w:rPr>
        <w:t>հունվար</w:t>
      </w:r>
      <w:r w:rsidRPr="00CC7087">
        <w:rPr>
          <w:b w:val="0"/>
          <w:bCs/>
          <w:sz w:val="16"/>
          <w:szCs w:val="16"/>
          <w:lang w:val="en-US"/>
        </w:rPr>
        <w:t>-</w:t>
      </w:r>
      <w:r w:rsidRPr="00CC7087">
        <w:rPr>
          <w:b w:val="0"/>
          <w:bCs/>
          <w:sz w:val="16"/>
          <w:szCs w:val="16"/>
        </w:rPr>
        <w:t>մարտի</w:t>
      </w:r>
      <w:r w:rsidRPr="00CC7087">
        <w:rPr>
          <w:b w:val="0"/>
          <w:bCs/>
          <w:sz w:val="16"/>
          <w:szCs w:val="16"/>
          <w:lang w:val="en-US"/>
        </w:rPr>
        <w:t xml:space="preserve">) </w:t>
      </w:r>
      <w:r w:rsidRPr="00CC7087">
        <w:rPr>
          <w:b w:val="0"/>
          <w:bCs/>
          <w:sz w:val="16"/>
          <w:szCs w:val="16"/>
        </w:rPr>
        <w:t>և</w:t>
      </w:r>
      <w:r w:rsidRPr="00CC7087">
        <w:rPr>
          <w:b w:val="0"/>
          <w:bCs/>
          <w:sz w:val="16"/>
          <w:szCs w:val="16"/>
          <w:lang w:val="en-US"/>
        </w:rPr>
        <w:t xml:space="preserve"> </w:t>
      </w:r>
      <w:r w:rsidRPr="00CC7087">
        <w:rPr>
          <w:b w:val="0"/>
          <w:bCs/>
          <w:sz w:val="16"/>
          <w:szCs w:val="16"/>
        </w:rPr>
        <w:t>ոչ</w:t>
      </w:r>
      <w:r w:rsidRPr="00CC7087">
        <w:rPr>
          <w:b w:val="0"/>
          <w:bCs/>
          <w:sz w:val="16"/>
          <w:szCs w:val="16"/>
          <w:lang w:val="en-US"/>
        </w:rPr>
        <w:t xml:space="preserve"> </w:t>
      </w:r>
      <w:r w:rsidRPr="00CC7087">
        <w:rPr>
          <w:b w:val="0"/>
          <w:bCs/>
          <w:sz w:val="16"/>
          <w:szCs w:val="16"/>
        </w:rPr>
        <w:t>շուկայական</w:t>
      </w:r>
      <w:r w:rsidRPr="00CC7087">
        <w:rPr>
          <w:b w:val="0"/>
          <w:bCs/>
          <w:sz w:val="16"/>
          <w:szCs w:val="16"/>
          <w:lang w:val="en-US"/>
        </w:rPr>
        <w:t xml:space="preserve"> </w:t>
      </w:r>
      <w:r w:rsidRPr="00CC7087">
        <w:rPr>
          <w:b w:val="0"/>
          <w:bCs/>
          <w:sz w:val="16"/>
          <w:szCs w:val="16"/>
        </w:rPr>
        <w:t>ծառայությունների</w:t>
      </w:r>
      <w:r w:rsidRPr="00CC7087">
        <w:rPr>
          <w:b w:val="0"/>
          <w:bCs/>
          <w:sz w:val="16"/>
          <w:szCs w:val="16"/>
          <w:lang w:val="en-US"/>
        </w:rPr>
        <w:t xml:space="preserve"> </w:t>
      </w:r>
      <w:r w:rsidRPr="00CC7087">
        <w:rPr>
          <w:b w:val="0"/>
          <w:bCs/>
          <w:sz w:val="16"/>
          <w:szCs w:val="16"/>
        </w:rPr>
        <w:t>նպաստումները</w:t>
      </w:r>
      <w:r w:rsidRPr="00CC7087">
        <w:rPr>
          <w:b w:val="0"/>
          <w:bCs/>
          <w:sz w:val="16"/>
          <w:szCs w:val="16"/>
          <w:lang w:val="en-US"/>
        </w:rPr>
        <w:t>:</w:t>
      </w:r>
    </w:p>
  </w:footnote>
  <w:footnote w:id="15">
    <w:p w14:paraId="07A86F33" w14:textId="77777777" w:rsidR="00083152" w:rsidRPr="005E6B5D" w:rsidRDefault="00083152" w:rsidP="005D1807">
      <w:pPr>
        <w:rPr>
          <w:rFonts w:eastAsia="Merriweather"/>
          <w:b w:val="0"/>
          <w:bCs/>
          <w:sz w:val="16"/>
          <w:szCs w:val="16"/>
          <w:lang w:val="en-US"/>
        </w:rPr>
      </w:pPr>
      <w:r w:rsidRPr="005E6B5D">
        <w:rPr>
          <w:b w:val="0"/>
          <w:bCs/>
          <w:sz w:val="16"/>
          <w:szCs w:val="16"/>
        </w:rPr>
        <w:footnoteRef/>
      </w:r>
      <w:r w:rsidRPr="005E6B5D">
        <w:rPr>
          <w:b w:val="0"/>
          <w:bCs/>
          <w:sz w:val="16"/>
          <w:szCs w:val="16"/>
          <w:lang w:val="en-US"/>
        </w:rPr>
        <w:t xml:space="preserve"> </w:t>
      </w:r>
      <w:r w:rsidRPr="005E6B5D">
        <w:rPr>
          <w:b w:val="0"/>
          <w:bCs/>
          <w:sz w:val="16"/>
          <w:szCs w:val="16"/>
        </w:rPr>
        <w:t>ՀՀ</w:t>
      </w:r>
      <w:r w:rsidRPr="005E6B5D">
        <w:rPr>
          <w:b w:val="0"/>
          <w:bCs/>
          <w:sz w:val="16"/>
          <w:szCs w:val="16"/>
          <w:lang w:val="en-US"/>
        </w:rPr>
        <w:t xml:space="preserve"> </w:t>
      </w:r>
      <w:r w:rsidRPr="005E6B5D">
        <w:rPr>
          <w:b w:val="0"/>
          <w:bCs/>
          <w:sz w:val="16"/>
          <w:szCs w:val="16"/>
        </w:rPr>
        <w:t>ֆինանսների</w:t>
      </w:r>
      <w:r w:rsidRPr="005E6B5D">
        <w:rPr>
          <w:b w:val="0"/>
          <w:bCs/>
          <w:sz w:val="16"/>
          <w:szCs w:val="16"/>
          <w:lang w:val="en-US"/>
        </w:rPr>
        <w:t xml:space="preserve"> </w:t>
      </w:r>
      <w:r w:rsidRPr="005E6B5D">
        <w:rPr>
          <w:b w:val="0"/>
          <w:bCs/>
          <w:sz w:val="16"/>
          <w:szCs w:val="16"/>
        </w:rPr>
        <w:t>նախարարության</w:t>
      </w:r>
      <w:r w:rsidRPr="005E6B5D">
        <w:rPr>
          <w:b w:val="0"/>
          <w:bCs/>
          <w:sz w:val="16"/>
          <w:szCs w:val="16"/>
          <w:lang w:val="en-US"/>
        </w:rPr>
        <w:t xml:space="preserve"> </w:t>
      </w:r>
      <w:r w:rsidRPr="005E6B5D">
        <w:rPr>
          <w:b w:val="0"/>
          <w:bCs/>
          <w:sz w:val="16"/>
          <w:szCs w:val="16"/>
        </w:rPr>
        <w:t>Արարատ</w:t>
      </w:r>
      <w:r w:rsidRPr="005E6B5D">
        <w:rPr>
          <w:b w:val="0"/>
          <w:bCs/>
          <w:sz w:val="16"/>
          <w:szCs w:val="16"/>
          <w:lang w:val="en-US"/>
        </w:rPr>
        <w:t xml:space="preserve"> </w:t>
      </w:r>
      <w:r w:rsidRPr="005E6B5D">
        <w:rPr>
          <w:b w:val="0"/>
          <w:bCs/>
          <w:sz w:val="16"/>
          <w:szCs w:val="16"/>
        </w:rPr>
        <w:t>հարկաբյուջետային</w:t>
      </w:r>
      <w:r w:rsidRPr="005E6B5D">
        <w:rPr>
          <w:b w:val="0"/>
          <w:bCs/>
          <w:sz w:val="16"/>
          <w:szCs w:val="16"/>
          <w:lang w:val="en-US"/>
        </w:rPr>
        <w:t xml:space="preserve"> </w:t>
      </w:r>
      <w:r w:rsidRPr="005E6B5D">
        <w:rPr>
          <w:b w:val="0"/>
          <w:bCs/>
          <w:sz w:val="16"/>
          <w:szCs w:val="16"/>
        </w:rPr>
        <w:t>ռազմավարության</w:t>
      </w:r>
      <w:r w:rsidRPr="005E6B5D">
        <w:rPr>
          <w:b w:val="0"/>
          <w:bCs/>
          <w:sz w:val="16"/>
          <w:szCs w:val="16"/>
          <w:lang w:val="en-US"/>
        </w:rPr>
        <w:t xml:space="preserve"> </w:t>
      </w:r>
      <w:r w:rsidRPr="005E6B5D">
        <w:rPr>
          <w:b w:val="0"/>
          <w:bCs/>
          <w:sz w:val="16"/>
          <w:szCs w:val="16"/>
        </w:rPr>
        <w:t>դինամիկ</w:t>
      </w:r>
      <w:r w:rsidRPr="005E6B5D">
        <w:rPr>
          <w:b w:val="0"/>
          <w:bCs/>
          <w:sz w:val="16"/>
          <w:szCs w:val="16"/>
          <w:lang w:val="en-US"/>
        </w:rPr>
        <w:t xml:space="preserve"> </w:t>
      </w:r>
      <w:r w:rsidRPr="005E6B5D">
        <w:rPr>
          <w:b w:val="0"/>
          <w:bCs/>
          <w:sz w:val="16"/>
          <w:szCs w:val="16"/>
        </w:rPr>
        <w:t>ստոխաստիկ</w:t>
      </w:r>
      <w:r w:rsidRPr="005E6B5D">
        <w:rPr>
          <w:b w:val="0"/>
          <w:bCs/>
          <w:sz w:val="16"/>
          <w:szCs w:val="16"/>
          <w:lang w:val="en-US"/>
        </w:rPr>
        <w:t xml:space="preserve"> </w:t>
      </w:r>
      <w:r w:rsidRPr="005E6B5D">
        <w:rPr>
          <w:b w:val="0"/>
          <w:bCs/>
          <w:sz w:val="16"/>
          <w:szCs w:val="16"/>
        </w:rPr>
        <w:t>ընդհանուր</w:t>
      </w:r>
      <w:r w:rsidRPr="005E6B5D">
        <w:rPr>
          <w:b w:val="0"/>
          <w:bCs/>
          <w:sz w:val="16"/>
          <w:szCs w:val="16"/>
          <w:lang w:val="en-US"/>
        </w:rPr>
        <w:t xml:space="preserve"> </w:t>
      </w:r>
      <w:r w:rsidRPr="005E6B5D">
        <w:rPr>
          <w:b w:val="0"/>
          <w:bCs/>
          <w:sz w:val="16"/>
          <w:szCs w:val="16"/>
        </w:rPr>
        <w:t>հավասարակշռության</w:t>
      </w:r>
      <w:r w:rsidRPr="005E6B5D">
        <w:rPr>
          <w:b w:val="0"/>
          <w:bCs/>
          <w:sz w:val="16"/>
          <w:szCs w:val="16"/>
          <w:lang w:val="en-US"/>
        </w:rPr>
        <w:t xml:space="preserve"> </w:t>
      </w:r>
      <w:r w:rsidRPr="005E6B5D">
        <w:rPr>
          <w:b w:val="0"/>
          <w:bCs/>
          <w:sz w:val="16"/>
          <w:szCs w:val="16"/>
        </w:rPr>
        <w:t>մոդելը</w:t>
      </w:r>
      <w:r w:rsidRPr="005E6B5D">
        <w:rPr>
          <w:b w:val="0"/>
          <w:bCs/>
          <w:sz w:val="16"/>
          <w:szCs w:val="16"/>
          <w:lang w:val="en-US"/>
        </w:rPr>
        <w:t xml:space="preserve"> </w:t>
      </w:r>
      <w:r w:rsidRPr="005E6B5D">
        <w:rPr>
          <w:b w:val="0"/>
          <w:bCs/>
          <w:sz w:val="16"/>
          <w:szCs w:val="16"/>
        </w:rPr>
        <w:t>մշակվել</w:t>
      </w:r>
      <w:r w:rsidRPr="005E6B5D">
        <w:rPr>
          <w:b w:val="0"/>
          <w:bCs/>
          <w:sz w:val="16"/>
          <w:szCs w:val="16"/>
          <w:lang w:val="en-US"/>
        </w:rPr>
        <w:t xml:space="preserve"> </w:t>
      </w:r>
      <w:r w:rsidRPr="005E6B5D">
        <w:rPr>
          <w:b w:val="0"/>
          <w:bCs/>
          <w:sz w:val="16"/>
          <w:szCs w:val="16"/>
        </w:rPr>
        <w:t>է</w:t>
      </w:r>
      <w:r w:rsidRPr="005E6B5D">
        <w:rPr>
          <w:b w:val="0"/>
          <w:bCs/>
          <w:sz w:val="16"/>
          <w:szCs w:val="16"/>
          <w:lang w:val="en-US"/>
        </w:rPr>
        <w:t xml:space="preserve"> 2018-2020</w:t>
      </w:r>
      <w:r w:rsidRPr="005E6B5D">
        <w:rPr>
          <w:b w:val="0"/>
          <w:bCs/>
          <w:sz w:val="16"/>
          <w:szCs w:val="16"/>
        </w:rPr>
        <w:t>թթ</w:t>
      </w:r>
      <w:r w:rsidRPr="005E6B5D">
        <w:rPr>
          <w:b w:val="0"/>
          <w:bCs/>
          <w:sz w:val="16"/>
          <w:szCs w:val="16"/>
          <w:lang w:val="en-US"/>
        </w:rPr>
        <w:t xml:space="preserve">. </w:t>
      </w:r>
      <w:r w:rsidRPr="005E6B5D">
        <w:rPr>
          <w:b w:val="0"/>
          <w:bCs/>
          <w:sz w:val="16"/>
          <w:szCs w:val="16"/>
        </w:rPr>
        <w:t>ընթացքում՝</w:t>
      </w:r>
      <w:r w:rsidRPr="005E6B5D">
        <w:rPr>
          <w:b w:val="0"/>
          <w:bCs/>
          <w:sz w:val="16"/>
          <w:szCs w:val="16"/>
          <w:lang w:val="en-US"/>
        </w:rPr>
        <w:t xml:space="preserve"> </w:t>
      </w:r>
      <w:r w:rsidRPr="005E6B5D">
        <w:rPr>
          <w:b w:val="0"/>
          <w:bCs/>
          <w:sz w:val="16"/>
          <w:szCs w:val="16"/>
        </w:rPr>
        <w:t>ԱՄՀ</w:t>
      </w:r>
      <w:r w:rsidRPr="005E6B5D">
        <w:rPr>
          <w:b w:val="0"/>
          <w:bCs/>
          <w:sz w:val="16"/>
          <w:szCs w:val="16"/>
          <w:lang w:val="en-US"/>
        </w:rPr>
        <w:t xml:space="preserve"> </w:t>
      </w:r>
      <w:r w:rsidRPr="005E6B5D">
        <w:rPr>
          <w:b w:val="0"/>
          <w:bCs/>
          <w:sz w:val="16"/>
          <w:szCs w:val="16"/>
        </w:rPr>
        <w:t>կողմից</w:t>
      </w:r>
      <w:r w:rsidRPr="005E6B5D">
        <w:rPr>
          <w:b w:val="0"/>
          <w:bCs/>
          <w:sz w:val="16"/>
          <w:szCs w:val="16"/>
          <w:lang w:val="en-US"/>
        </w:rPr>
        <w:t xml:space="preserve"> </w:t>
      </w:r>
      <w:r w:rsidRPr="005E6B5D">
        <w:rPr>
          <w:b w:val="0"/>
          <w:bCs/>
          <w:sz w:val="16"/>
          <w:szCs w:val="16"/>
        </w:rPr>
        <w:t>տրամադրված</w:t>
      </w:r>
      <w:r w:rsidRPr="005E6B5D">
        <w:rPr>
          <w:b w:val="0"/>
          <w:bCs/>
          <w:sz w:val="16"/>
          <w:szCs w:val="16"/>
          <w:lang w:val="en-US"/>
        </w:rPr>
        <w:t xml:space="preserve"> </w:t>
      </w:r>
      <w:r w:rsidRPr="005E6B5D">
        <w:rPr>
          <w:b w:val="0"/>
          <w:bCs/>
          <w:sz w:val="16"/>
          <w:szCs w:val="16"/>
        </w:rPr>
        <w:t>տեխնիկական</w:t>
      </w:r>
      <w:r w:rsidRPr="005E6B5D">
        <w:rPr>
          <w:b w:val="0"/>
          <w:bCs/>
          <w:sz w:val="16"/>
          <w:szCs w:val="16"/>
          <w:lang w:val="en-US"/>
        </w:rPr>
        <w:t xml:space="preserve"> </w:t>
      </w:r>
      <w:r w:rsidRPr="005E6B5D">
        <w:rPr>
          <w:b w:val="0"/>
          <w:bCs/>
          <w:sz w:val="16"/>
          <w:szCs w:val="16"/>
        </w:rPr>
        <w:t>աջակցության</w:t>
      </w:r>
      <w:r w:rsidRPr="005E6B5D">
        <w:rPr>
          <w:b w:val="0"/>
          <w:bCs/>
          <w:sz w:val="16"/>
          <w:szCs w:val="16"/>
          <w:lang w:val="en-US"/>
        </w:rPr>
        <w:t xml:space="preserve"> </w:t>
      </w:r>
      <w:r w:rsidRPr="005E6B5D">
        <w:rPr>
          <w:b w:val="0"/>
          <w:bCs/>
          <w:sz w:val="16"/>
          <w:szCs w:val="16"/>
        </w:rPr>
        <w:t>շրջանակներում</w:t>
      </w:r>
      <w:r w:rsidRPr="005E6B5D">
        <w:rPr>
          <w:b w:val="0"/>
          <w:bCs/>
          <w:sz w:val="16"/>
          <w:szCs w:val="16"/>
          <w:lang w:val="en-US"/>
        </w:rPr>
        <w:t xml:space="preserve">: </w:t>
      </w:r>
      <w:r w:rsidRPr="005E6B5D">
        <w:rPr>
          <w:b w:val="0"/>
          <w:bCs/>
          <w:sz w:val="16"/>
          <w:szCs w:val="16"/>
        </w:rPr>
        <w:t>Առավել</w:t>
      </w:r>
      <w:r w:rsidRPr="005E6B5D">
        <w:rPr>
          <w:b w:val="0"/>
          <w:bCs/>
          <w:sz w:val="16"/>
          <w:szCs w:val="16"/>
          <w:lang w:val="en-US"/>
        </w:rPr>
        <w:t xml:space="preserve"> </w:t>
      </w:r>
      <w:r w:rsidRPr="005E6B5D">
        <w:rPr>
          <w:b w:val="0"/>
          <w:bCs/>
          <w:sz w:val="16"/>
          <w:szCs w:val="16"/>
        </w:rPr>
        <w:t>մանրամասն</w:t>
      </w:r>
      <w:r w:rsidRPr="005E6B5D">
        <w:rPr>
          <w:b w:val="0"/>
          <w:bCs/>
          <w:sz w:val="16"/>
          <w:szCs w:val="16"/>
          <w:lang w:val="en-US"/>
        </w:rPr>
        <w:t xml:space="preserve"> </w:t>
      </w:r>
      <w:r w:rsidRPr="005E6B5D">
        <w:rPr>
          <w:b w:val="0"/>
          <w:bCs/>
          <w:sz w:val="16"/>
          <w:szCs w:val="16"/>
        </w:rPr>
        <w:t>տե՛ս</w:t>
      </w:r>
      <w:r w:rsidRPr="005E6B5D">
        <w:rPr>
          <w:b w:val="0"/>
          <w:bCs/>
          <w:sz w:val="16"/>
          <w:szCs w:val="16"/>
          <w:lang w:val="en-US"/>
        </w:rPr>
        <w:t xml:space="preserve"> </w:t>
      </w:r>
      <w:r w:rsidRPr="005E6B5D">
        <w:rPr>
          <w:b w:val="0"/>
          <w:bCs/>
          <w:sz w:val="16"/>
          <w:szCs w:val="16"/>
        </w:rPr>
        <w:t>ՀՀ</w:t>
      </w:r>
      <w:r w:rsidRPr="005E6B5D">
        <w:rPr>
          <w:b w:val="0"/>
          <w:bCs/>
          <w:sz w:val="16"/>
          <w:szCs w:val="16"/>
          <w:lang w:val="en-US"/>
        </w:rPr>
        <w:t xml:space="preserve"> </w:t>
      </w:r>
      <w:r w:rsidRPr="005E6B5D">
        <w:rPr>
          <w:b w:val="0"/>
          <w:bCs/>
          <w:sz w:val="16"/>
          <w:szCs w:val="16"/>
        </w:rPr>
        <w:t>կառավարության</w:t>
      </w:r>
      <w:r w:rsidRPr="005E6B5D">
        <w:rPr>
          <w:b w:val="0"/>
          <w:bCs/>
          <w:sz w:val="16"/>
          <w:szCs w:val="16"/>
          <w:lang w:val="en-US"/>
        </w:rPr>
        <w:t xml:space="preserve"> 2021</w:t>
      </w:r>
      <w:r w:rsidRPr="005E6B5D">
        <w:rPr>
          <w:b w:val="0"/>
          <w:bCs/>
          <w:sz w:val="16"/>
          <w:szCs w:val="16"/>
        </w:rPr>
        <w:t>թ</w:t>
      </w:r>
      <w:r w:rsidRPr="005E6B5D">
        <w:rPr>
          <w:b w:val="0"/>
          <w:bCs/>
          <w:sz w:val="16"/>
          <w:szCs w:val="16"/>
          <w:lang w:val="en-US"/>
        </w:rPr>
        <w:t xml:space="preserve">. </w:t>
      </w:r>
      <w:r w:rsidRPr="005E6B5D">
        <w:rPr>
          <w:b w:val="0"/>
          <w:bCs/>
          <w:sz w:val="16"/>
          <w:szCs w:val="16"/>
        </w:rPr>
        <w:t>բյուջետային</w:t>
      </w:r>
      <w:r w:rsidRPr="005E6B5D">
        <w:rPr>
          <w:b w:val="0"/>
          <w:bCs/>
          <w:sz w:val="16"/>
          <w:szCs w:val="16"/>
          <w:lang w:val="en-US"/>
        </w:rPr>
        <w:t xml:space="preserve"> </w:t>
      </w:r>
      <w:r w:rsidRPr="005E6B5D">
        <w:rPr>
          <w:b w:val="0"/>
          <w:bCs/>
          <w:sz w:val="16"/>
          <w:szCs w:val="16"/>
        </w:rPr>
        <w:t>ուղերձ</w:t>
      </w:r>
      <w:r w:rsidRPr="005E6B5D">
        <w:rPr>
          <w:b w:val="0"/>
          <w:bCs/>
          <w:sz w:val="16"/>
          <w:szCs w:val="16"/>
          <w:lang w:val="en-US"/>
        </w:rPr>
        <w:t xml:space="preserve">, </w:t>
      </w:r>
      <w:r w:rsidRPr="005E6B5D">
        <w:rPr>
          <w:b w:val="0"/>
          <w:bCs/>
          <w:sz w:val="16"/>
          <w:szCs w:val="16"/>
        </w:rPr>
        <w:t>Երևան</w:t>
      </w:r>
      <w:r w:rsidRPr="005E6B5D">
        <w:rPr>
          <w:b w:val="0"/>
          <w:bCs/>
          <w:sz w:val="16"/>
          <w:szCs w:val="16"/>
          <w:lang w:val="en-US"/>
        </w:rPr>
        <w:t xml:space="preserve"> 2020, </w:t>
      </w:r>
      <w:r w:rsidRPr="005E6B5D">
        <w:rPr>
          <w:b w:val="0"/>
          <w:bCs/>
          <w:sz w:val="16"/>
          <w:szCs w:val="16"/>
        </w:rPr>
        <w:t>էջ՝</w:t>
      </w:r>
      <w:r w:rsidRPr="005E6B5D">
        <w:rPr>
          <w:b w:val="0"/>
          <w:bCs/>
          <w:sz w:val="16"/>
          <w:szCs w:val="16"/>
          <w:lang w:val="en-US"/>
        </w:rPr>
        <w:t xml:space="preserve"> 84,  </w:t>
      </w:r>
      <w:r w:rsidRPr="005E6B5D">
        <w:rPr>
          <w:b w:val="0"/>
          <w:bCs/>
          <w:sz w:val="16"/>
          <w:szCs w:val="16"/>
        </w:rPr>
        <w:t>ներդիր</w:t>
      </w:r>
      <w:r w:rsidRPr="005E6B5D">
        <w:rPr>
          <w:b w:val="0"/>
          <w:bCs/>
          <w:sz w:val="16"/>
          <w:szCs w:val="16"/>
          <w:lang w:val="en-US"/>
        </w:rPr>
        <w:t xml:space="preserve"> 2: </w:t>
      </w:r>
      <w:r w:rsidRPr="005E6B5D">
        <w:rPr>
          <w:b w:val="0"/>
          <w:bCs/>
          <w:sz w:val="16"/>
          <w:szCs w:val="16"/>
        </w:rPr>
        <w:t>Մոդելը</w:t>
      </w:r>
      <w:r w:rsidRPr="005E6B5D">
        <w:rPr>
          <w:b w:val="0"/>
          <w:bCs/>
          <w:sz w:val="16"/>
          <w:szCs w:val="16"/>
          <w:lang w:val="en-US"/>
        </w:rPr>
        <w:t xml:space="preserve"> </w:t>
      </w:r>
      <w:r w:rsidRPr="005E6B5D">
        <w:rPr>
          <w:b w:val="0"/>
          <w:bCs/>
          <w:sz w:val="16"/>
          <w:szCs w:val="16"/>
        </w:rPr>
        <w:t>և</w:t>
      </w:r>
      <w:r w:rsidRPr="005E6B5D">
        <w:rPr>
          <w:b w:val="0"/>
          <w:bCs/>
          <w:sz w:val="16"/>
          <w:szCs w:val="16"/>
          <w:lang w:val="en-US"/>
        </w:rPr>
        <w:t xml:space="preserve"> </w:t>
      </w:r>
      <w:r w:rsidRPr="005E6B5D">
        <w:rPr>
          <w:b w:val="0"/>
          <w:bCs/>
          <w:sz w:val="16"/>
          <w:szCs w:val="16"/>
        </w:rPr>
        <w:t>կիրառությունները</w:t>
      </w:r>
      <w:r w:rsidRPr="005E6B5D">
        <w:rPr>
          <w:b w:val="0"/>
          <w:bCs/>
          <w:sz w:val="16"/>
          <w:szCs w:val="16"/>
          <w:lang w:val="en-US"/>
        </w:rPr>
        <w:t xml:space="preserve"> </w:t>
      </w:r>
      <w:r w:rsidRPr="005E6B5D">
        <w:rPr>
          <w:b w:val="0"/>
          <w:bCs/>
          <w:sz w:val="16"/>
          <w:szCs w:val="16"/>
        </w:rPr>
        <w:t>նկարագրող</w:t>
      </w:r>
      <w:r w:rsidRPr="005E6B5D">
        <w:rPr>
          <w:b w:val="0"/>
          <w:bCs/>
          <w:sz w:val="16"/>
          <w:szCs w:val="16"/>
          <w:lang w:val="en-US"/>
        </w:rPr>
        <w:t xml:space="preserve"> </w:t>
      </w:r>
      <w:r w:rsidRPr="005E6B5D">
        <w:rPr>
          <w:b w:val="0"/>
          <w:bCs/>
          <w:sz w:val="16"/>
          <w:szCs w:val="16"/>
        </w:rPr>
        <w:t>ամբողջական</w:t>
      </w:r>
      <w:r w:rsidRPr="005E6B5D">
        <w:rPr>
          <w:b w:val="0"/>
          <w:bCs/>
          <w:sz w:val="16"/>
          <w:szCs w:val="16"/>
          <w:lang w:val="en-US"/>
        </w:rPr>
        <w:t xml:space="preserve"> </w:t>
      </w:r>
      <w:r w:rsidRPr="005E6B5D">
        <w:rPr>
          <w:b w:val="0"/>
          <w:bCs/>
          <w:sz w:val="16"/>
          <w:szCs w:val="16"/>
        </w:rPr>
        <w:t>աշխատանքային</w:t>
      </w:r>
      <w:r w:rsidRPr="005E6B5D">
        <w:rPr>
          <w:b w:val="0"/>
          <w:bCs/>
          <w:sz w:val="16"/>
          <w:szCs w:val="16"/>
          <w:lang w:val="en-US"/>
        </w:rPr>
        <w:t xml:space="preserve"> </w:t>
      </w:r>
      <w:r w:rsidRPr="005E6B5D">
        <w:rPr>
          <w:b w:val="0"/>
          <w:bCs/>
          <w:sz w:val="16"/>
          <w:szCs w:val="16"/>
        </w:rPr>
        <w:t>փաստաթուղթը</w:t>
      </w:r>
      <w:r w:rsidRPr="005E6B5D">
        <w:rPr>
          <w:b w:val="0"/>
          <w:bCs/>
          <w:sz w:val="16"/>
          <w:szCs w:val="16"/>
          <w:lang w:val="en-US"/>
        </w:rPr>
        <w:t xml:space="preserve"> </w:t>
      </w:r>
      <w:r w:rsidRPr="005E6B5D">
        <w:rPr>
          <w:b w:val="0"/>
          <w:bCs/>
          <w:sz w:val="16"/>
          <w:szCs w:val="16"/>
        </w:rPr>
        <w:t>տե՛ս</w:t>
      </w:r>
      <w:r w:rsidRPr="005E6B5D">
        <w:rPr>
          <w:b w:val="0"/>
          <w:bCs/>
          <w:sz w:val="16"/>
          <w:szCs w:val="16"/>
          <w:lang w:val="en-US"/>
        </w:rPr>
        <w:t xml:space="preserve"> </w:t>
      </w:r>
      <w:r w:rsidRPr="005E6B5D">
        <w:rPr>
          <w:b w:val="0"/>
          <w:bCs/>
          <w:sz w:val="16"/>
          <w:szCs w:val="16"/>
        </w:rPr>
        <w:t>հետևյալ</w:t>
      </w:r>
      <w:r w:rsidRPr="005E6B5D">
        <w:rPr>
          <w:b w:val="0"/>
          <w:bCs/>
          <w:sz w:val="16"/>
          <w:szCs w:val="16"/>
          <w:lang w:val="en-US"/>
        </w:rPr>
        <w:t xml:space="preserve"> </w:t>
      </w:r>
      <w:r w:rsidRPr="005E6B5D">
        <w:rPr>
          <w:b w:val="0"/>
          <w:bCs/>
          <w:sz w:val="16"/>
          <w:szCs w:val="16"/>
        </w:rPr>
        <w:t>հղմամբ՝</w:t>
      </w:r>
      <w:r w:rsidRPr="005E6B5D">
        <w:rPr>
          <w:b w:val="0"/>
          <w:bCs/>
          <w:sz w:val="16"/>
          <w:szCs w:val="16"/>
          <w:lang w:val="en-US"/>
        </w:rPr>
        <w:t xml:space="preserve"> https://www.imf.org/en/Publications/WP/Issues/2022/06/10/The-Ararat-Fiscal-Strategy-Model-A-Structural-Framework-for-Fiscal-Policy-Analysis-in-519522:</w:t>
      </w:r>
    </w:p>
  </w:footnote>
  <w:footnote w:id="16">
    <w:p w14:paraId="63BEAA1A" w14:textId="77777777" w:rsidR="00083152" w:rsidRPr="005D1807" w:rsidRDefault="00083152" w:rsidP="005D1807">
      <w:r w:rsidRPr="005E6B5D">
        <w:rPr>
          <w:b w:val="0"/>
          <w:bCs/>
          <w:sz w:val="16"/>
          <w:szCs w:val="16"/>
        </w:rPr>
        <w:footnoteRef/>
      </w:r>
      <w:r w:rsidRPr="005E6B5D">
        <w:rPr>
          <w:b w:val="0"/>
          <w:bCs/>
          <w:sz w:val="16"/>
          <w:szCs w:val="16"/>
          <w:lang w:val="en-US"/>
        </w:rPr>
        <w:t xml:space="preserve"> </w:t>
      </w:r>
      <w:r w:rsidRPr="005E6B5D">
        <w:rPr>
          <w:b w:val="0"/>
          <w:bCs/>
          <w:sz w:val="16"/>
          <w:szCs w:val="16"/>
        </w:rPr>
        <w:t>Կառուցվածքային</w:t>
      </w:r>
      <w:r w:rsidRPr="005E6B5D">
        <w:rPr>
          <w:b w:val="0"/>
          <w:bCs/>
          <w:sz w:val="16"/>
          <w:szCs w:val="16"/>
          <w:lang w:val="en-US"/>
        </w:rPr>
        <w:t xml:space="preserve"> </w:t>
      </w:r>
      <w:r w:rsidRPr="005E6B5D">
        <w:rPr>
          <w:b w:val="0"/>
          <w:bCs/>
          <w:sz w:val="16"/>
          <w:szCs w:val="16"/>
        </w:rPr>
        <w:t>բարեփոխումների</w:t>
      </w:r>
      <w:r w:rsidRPr="005E6B5D">
        <w:rPr>
          <w:b w:val="0"/>
          <w:bCs/>
          <w:sz w:val="16"/>
          <w:szCs w:val="16"/>
          <w:lang w:val="en-US"/>
        </w:rPr>
        <w:t xml:space="preserve"> </w:t>
      </w:r>
      <w:r w:rsidRPr="005E6B5D">
        <w:rPr>
          <w:b w:val="0"/>
          <w:bCs/>
          <w:sz w:val="16"/>
          <w:szCs w:val="16"/>
        </w:rPr>
        <w:t>ազդեցության</w:t>
      </w:r>
      <w:r w:rsidRPr="005E6B5D">
        <w:rPr>
          <w:b w:val="0"/>
          <w:bCs/>
          <w:sz w:val="16"/>
          <w:szCs w:val="16"/>
          <w:lang w:val="en-US"/>
        </w:rPr>
        <w:t xml:space="preserve"> </w:t>
      </w:r>
      <w:r w:rsidRPr="005E6B5D">
        <w:rPr>
          <w:b w:val="0"/>
          <w:bCs/>
          <w:sz w:val="16"/>
          <w:szCs w:val="16"/>
        </w:rPr>
        <w:t>չափի</w:t>
      </w:r>
      <w:r w:rsidRPr="005E6B5D">
        <w:rPr>
          <w:b w:val="0"/>
          <w:bCs/>
          <w:sz w:val="16"/>
          <w:szCs w:val="16"/>
          <w:lang w:val="en-US"/>
        </w:rPr>
        <w:t xml:space="preserve"> </w:t>
      </w:r>
      <w:r w:rsidRPr="005E6B5D">
        <w:rPr>
          <w:b w:val="0"/>
          <w:bCs/>
          <w:sz w:val="16"/>
          <w:szCs w:val="16"/>
        </w:rPr>
        <w:t>գնահատման</w:t>
      </w:r>
      <w:r w:rsidRPr="005E6B5D">
        <w:rPr>
          <w:b w:val="0"/>
          <w:bCs/>
          <w:sz w:val="16"/>
          <w:szCs w:val="16"/>
          <w:lang w:val="en-US"/>
        </w:rPr>
        <w:t xml:space="preserve"> </w:t>
      </w:r>
      <w:r w:rsidRPr="005E6B5D">
        <w:rPr>
          <w:b w:val="0"/>
          <w:bCs/>
          <w:sz w:val="16"/>
          <w:szCs w:val="16"/>
        </w:rPr>
        <w:t>համար</w:t>
      </w:r>
      <w:r w:rsidRPr="005E6B5D">
        <w:rPr>
          <w:b w:val="0"/>
          <w:bCs/>
          <w:sz w:val="16"/>
          <w:szCs w:val="16"/>
          <w:lang w:val="en-US"/>
        </w:rPr>
        <w:t xml:space="preserve"> </w:t>
      </w:r>
      <w:r w:rsidRPr="005E6B5D">
        <w:rPr>
          <w:b w:val="0"/>
          <w:bCs/>
          <w:sz w:val="16"/>
          <w:szCs w:val="16"/>
        </w:rPr>
        <w:t>հիմք</w:t>
      </w:r>
      <w:r w:rsidRPr="005E6B5D">
        <w:rPr>
          <w:b w:val="0"/>
          <w:bCs/>
          <w:sz w:val="16"/>
          <w:szCs w:val="16"/>
          <w:lang w:val="en-US"/>
        </w:rPr>
        <w:t xml:space="preserve"> </w:t>
      </w:r>
      <w:r w:rsidRPr="005E6B5D">
        <w:rPr>
          <w:b w:val="0"/>
          <w:bCs/>
          <w:sz w:val="16"/>
          <w:szCs w:val="16"/>
        </w:rPr>
        <w:t>է</w:t>
      </w:r>
      <w:r w:rsidRPr="005E6B5D">
        <w:rPr>
          <w:b w:val="0"/>
          <w:bCs/>
          <w:sz w:val="16"/>
          <w:szCs w:val="16"/>
          <w:lang w:val="en-US"/>
        </w:rPr>
        <w:t xml:space="preserve"> </w:t>
      </w:r>
      <w:r w:rsidRPr="005E6B5D">
        <w:rPr>
          <w:b w:val="0"/>
          <w:bCs/>
          <w:sz w:val="16"/>
          <w:szCs w:val="16"/>
        </w:rPr>
        <w:t>հանդիսացել</w:t>
      </w:r>
      <w:r w:rsidRPr="005E6B5D">
        <w:rPr>
          <w:b w:val="0"/>
          <w:bCs/>
          <w:sz w:val="16"/>
          <w:szCs w:val="16"/>
          <w:lang w:val="en-US"/>
        </w:rPr>
        <w:t xml:space="preserve"> </w:t>
      </w:r>
      <w:r w:rsidRPr="005E6B5D">
        <w:rPr>
          <w:b w:val="0"/>
          <w:bCs/>
          <w:sz w:val="16"/>
          <w:szCs w:val="16"/>
        </w:rPr>
        <w:t>աշխարհի</w:t>
      </w:r>
      <w:r w:rsidRPr="005E6B5D">
        <w:rPr>
          <w:b w:val="0"/>
          <w:bCs/>
          <w:sz w:val="16"/>
          <w:szCs w:val="16"/>
          <w:lang w:val="en-US"/>
        </w:rPr>
        <w:t xml:space="preserve"> 90 </w:t>
      </w:r>
      <w:r w:rsidRPr="005E6B5D">
        <w:rPr>
          <w:b w:val="0"/>
          <w:bCs/>
          <w:sz w:val="16"/>
          <w:szCs w:val="16"/>
        </w:rPr>
        <w:t>երկրների</w:t>
      </w:r>
      <w:r w:rsidRPr="005E6B5D">
        <w:rPr>
          <w:b w:val="0"/>
          <w:bCs/>
          <w:sz w:val="16"/>
          <w:szCs w:val="16"/>
          <w:lang w:val="en-US"/>
        </w:rPr>
        <w:t xml:space="preserve"> </w:t>
      </w:r>
      <w:r w:rsidRPr="005E6B5D">
        <w:rPr>
          <w:b w:val="0"/>
          <w:bCs/>
          <w:sz w:val="16"/>
          <w:szCs w:val="16"/>
        </w:rPr>
        <w:t>պանելային</w:t>
      </w:r>
      <w:r w:rsidRPr="005E6B5D">
        <w:rPr>
          <w:b w:val="0"/>
          <w:bCs/>
          <w:sz w:val="16"/>
          <w:szCs w:val="16"/>
          <w:lang w:val="en-US"/>
        </w:rPr>
        <w:t xml:space="preserve"> </w:t>
      </w:r>
      <w:r w:rsidRPr="005E6B5D">
        <w:rPr>
          <w:b w:val="0"/>
          <w:bCs/>
          <w:sz w:val="16"/>
          <w:szCs w:val="16"/>
        </w:rPr>
        <w:t>տվյալների</w:t>
      </w:r>
      <w:r w:rsidRPr="005E6B5D">
        <w:rPr>
          <w:b w:val="0"/>
          <w:bCs/>
          <w:sz w:val="16"/>
          <w:szCs w:val="16"/>
          <w:lang w:val="en-US"/>
        </w:rPr>
        <w:t xml:space="preserve"> </w:t>
      </w:r>
      <w:r w:rsidRPr="005E6B5D">
        <w:rPr>
          <w:b w:val="0"/>
          <w:bCs/>
          <w:sz w:val="16"/>
          <w:szCs w:val="16"/>
        </w:rPr>
        <w:t>հիման</w:t>
      </w:r>
      <w:r w:rsidRPr="005E6B5D">
        <w:rPr>
          <w:b w:val="0"/>
          <w:bCs/>
          <w:sz w:val="16"/>
          <w:szCs w:val="16"/>
          <w:lang w:val="en-US"/>
        </w:rPr>
        <w:t xml:space="preserve"> </w:t>
      </w:r>
      <w:r w:rsidRPr="005E6B5D">
        <w:rPr>
          <w:b w:val="0"/>
          <w:bCs/>
          <w:sz w:val="16"/>
          <w:szCs w:val="16"/>
        </w:rPr>
        <w:t>վրա</w:t>
      </w:r>
      <w:r w:rsidRPr="005E6B5D">
        <w:rPr>
          <w:b w:val="0"/>
          <w:bCs/>
          <w:sz w:val="16"/>
          <w:szCs w:val="16"/>
          <w:lang w:val="en-US"/>
        </w:rPr>
        <w:t xml:space="preserve"> </w:t>
      </w:r>
      <w:r w:rsidRPr="005E6B5D">
        <w:rPr>
          <w:b w:val="0"/>
          <w:bCs/>
          <w:sz w:val="16"/>
          <w:szCs w:val="16"/>
        </w:rPr>
        <w:t>Արժույթի</w:t>
      </w:r>
      <w:r w:rsidRPr="005E6B5D">
        <w:rPr>
          <w:b w:val="0"/>
          <w:bCs/>
          <w:sz w:val="16"/>
          <w:szCs w:val="16"/>
          <w:lang w:val="en-US"/>
        </w:rPr>
        <w:t xml:space="preserve"> </w:t>
      </w:r>
      <w:r w:rsidRPr="005E6B5D">
        <w:rPr>
          <w:b w:val="0"/>
          <w:bCs/>
          <w:sz w:val="16"/>
          <w:szCs w:val="16"/>
        </w:rPr>
        <w:t>միջազգային</w:t>
      </w:r>
      <w:r w:rsidRPr="005E6B5D">
        <w:rPr>
          <w:b w:val="0"/>
          <w:bCs/>
          <w:sz w:val="16"/>
          <w:szCs w:val="16"/>
          <w:lang w:val="en-US"/>
        </w:rPr>
        <w:t xml:space="preserve"> </w:t>
      </w:r>
      <w:r w:rsidRPr="005E6B5D">
        <w:rPr>
          <w:b w:val="0"/>
          <w:bCs/>
          <w:sz w:val="16"/>
          <w:szCs w:val="16"/>
        </w:rPr>
        <w:t>հիմնադրամի</w:t>
      </w:r>
      <w:r w:rsidRPr="005E6B5D">
        <w:rPr>
          <w:b w:val="0"/>
          <w:bCs/>
          <w:sz w:val="16"/>
          <w:szCs w:val="16"/>
          <w:lang w:val="en-US"/>
        </w:rPr>
        <w:t xml:space="preserve"> </w:t>
      </w:r>
      <w:r w:rsidRPr="005E6B5D">
        <w:rPr>
          <w:b w:val="0"/>
          <w:bCs/>
          <w:sz w:val="16"/>
          <w:szCs w:val="16"/>
        </w:rPr>
        <w:t>կատարած</w:t>
      </w:r>
      <w:r w:rsidRPr="005E6B5D">
        <w:rPr>
          <w:b w:val="0"/>
          <w:bCs/>
          <w:sz w:val="16"/>
          <w:szCs w:val="16"/>
          <w:lang w:val="en-US"/>
        </w:rPr>
        <w:t xml:space="preserve"> </w:t>
      </w:r>
      <w:r w:rsidRPr="005E6B5D">
        <w:rPr>
          <w:b w:val="0"/>
          <w:bCs/>
          <w:sz w:val="16"/>
          <w:szCs w:val="16"/>
        </w:rPr>
        <w:t>գնահատականները</w:t>
      </w:r>
      <w:r w:rsidRPr="005E6B5D">
        <w:rPr>
          <w:b w:val="0"/>
          <w:bCs/>
          <w:sz w:val="16"/>
          <w:szCs w:val="16"/>
          <w:lang w:val="en-US"/>
        </w:rPr>
        <w:t xml:space="preserve">, </w:t>
      </w:r>
      <w:r w:rsidRPr="005E6B5D">
        <w:rPr>
          <w:b w:val="0"/>
          <w:bCs/>
          <w:sz w:val="16"/>
          <w:szCs w:val="16"/>
        </w:rPr>
        <w:t>որոնք</w:t>
      </w:r>
      <w:r w:rsidRPr="005E6B5D">
        <w:rPr>
          <w:b w:val="0"/>
          <w:bCs/>
          <w:sz w:val="16"/>
          <w:szCs w:val="16"/>
          <w:lang w:val="en-US"/>
        </w:rPr>
        <w:t xml:space="preserve"> </w:t>
      </w:r>
      <w:r w:rsidRPr="005E6B5D">
        <w:rPr>
          <w:b w:val="0"/>
          <w:bCs/>
          <w:sz w:val="16"/>
          <w:szCs w:val="16"/>
        </w:rPr>
        <w:t>հուշում</w:t>
      </w:r>
      <w:r w:rsidRPr="005E6B5D">
        <w:rPr>
          <w:b w:val="0"/>
          <w:bCs/>
          <w:sz w:val="16"/>
          <w:szCs w:val="16"/>
          <w:lang w:val="en-US"/>
        </w:rPr>
        <w:t xml:space="preserve"> </w:t>
      </w:r>
      <w:r w:rsidRPr="005E6B5D">
        <w:rPr>
          <w:b w:val="0"/>
          <w:bCs/>
          <w:sz w:val="16"/>
          <w:szCs w:val="16"/>
        </w:rPr>
        <w:t>են</w:t>
      </w:r>
      <w:r w:rsidRPr="005E6B5D">
        <w:rPr>
          <w:b w:val="0"/>
          <w:bCs/>
          <w:sz w:val="16"/>
          <w:szCs w:val="16"/>
          <w:lang w:val="en-US"/>
        </w:rPr>
        <w:t xml:space="preserve">, </w:t>
      </w:r>
      <w:r w:rsidRPr="005E6B5D">
        <w:rPr>
          <w:b w:val="0"/>
          <w:bCs/>
          <w:sz w:val="16"/>
          <w:szCs w:val="16"/>
        </w:rPr>
        <w:t>որ</w:t>
      </w:r>
      <w:r w:rsidRPr="005E6B5D">
        <w:rPr>
          <w:b w:val="0"/>
          <w:bCs/>
          <w:sz w:val="16"/>
          <w:szCs w:val="16"/>
          <w:lang w:val="en-US"/>
        </w:rPr>
        <w:t xml:space="preserve"> </w:t>
      </w:r>
      <w:r w:rsidRPr="005E6B5D">
        <w:rPr>
          <w:b w:val="0"/>
          <w:bCs/>
          <w:sz w:val="16"/>
          <w:szCs w:val="16"/>
        </w:rPr>
        <w:t>կառուցվածքային</w:t>
      </w:r>
      <w:r w:rsidRPr="005E6B5D">
        <w:rPr>
          <w:b w:val="0"/>
          <w:bCs/>
          <w:sz w:val="16"/>
          <w:szCs w:val="16"/>
          <w:lang w:val="en-US"/>
        </w:rPr>
        <w:t xml:space="preserve"> </w:t>
      </w:r>
      <w:r w:rsidRPr="005E6B5D">
        <w:rPr>
          <w:b w:val="0"/>
          <w:bCs/>
          <w:sz w:val="16"/>
          <w:szCs w:val="16"/>
        </w:rPr>
        <w:t>բարեփոխումների</w:t>
      </w:r>
      <w:r w:rsidRPr="005E6B5D">
        <w:rPr>
          <w:b w:val="0"/>
          <w:bCs/>
          <w:sz w:val="16"/>
          <w:szCs w:val="16"/>
          <w:lang w:val="en-US"/>
        </w:rPr>
        <w:t xml:space="preserve"> (</w:t>
      </w:r>
      <w:r w:rsidRPr="005E6B5D">
        <w:rPr>
          <w:b w:val="0"/>
          <w:bCs/>
          <w:sz w:val="16"/>
          <w:szCs w:val="16"/>
        </w:rPr>
        <w:t>աշխատանքի</w:t>
      </w:r>
      <w:r w:rsidRPr="005E6B5D">
        <w:rPr>
          <w:b w:val="0"/>
          <w:bCs/>
          <w:sz w:val="16"/>
          <w:szCs w:val="16"/>
          <w:lang w:val="en-US"/>
        </w:rPr>
        <w:t xml:space="preserve"> </w:t>
      </w:r>
      <w:r w:rsidRPr="005E6B5D">
        <w:rPr>
          <w:b w:val="0"/>
          <w:bCs/>
          <w:sz w:val="16"/>
          <w:szCs w:val="16"/>
        </w:rPr>
        <w:t>շուկա</w:t>
      </w:r>
      <w:r w:rsidRPr="005E6B5D">
        <w:rPr>
          <w:b w:val="0"/>
          <w:bCs/>
          <w:sz w:val="16"/>
          <w:szCs w:val="16"/>
          <w:lang w:val="en-US"/>
        </w:rPr>
        <w:t xml:space="preserve">, </w:t>
      </w:r>
      <w:r w:rsidRPr="005E6B5D">
        <w:rPr>
          <w:b w:val="0"/>
          <w:bCs/>
          <w:sz w:val="16"/>
          <w:szCs w:val="16"/>
        </w:rPr>
        <w:t>ֆինանսական</w:t>
      </w:r>
      <w:r w:rsidRPr="005E6B5D">
        <w:rPr>
          <w:b w:val="0"/>
          <w:bCs/>
          <w:sz w:val="16"/>
          <w:szCs w:val="16"/>
          <w:lang w:val="en-US"/>
        </w:rPr>
        <w:t xml:space="preserve"> </w:t>
      </w:r>
      <w:r w:rsidRPr="005E6B5D">
        <w:rPr>
          <w:b w:val="0"/>
          <w:bCs/>
          <w:sz w:val="16"/>
          <w:szCs w:val="16"/>
        </w:rPr>
        <w:t>համակարգ</w:t>
      </w:r>
      <w:r w:rsidRPr="005E6B5D">
        <w:rPr>
          <w:b w:val="0"/>
          <w:bCs/>
          <w:sz w:val="16"/>
          <w:szCs w:val="16"/>
          <w:lang w:val="en-US"/>
        </w:rPr>
        <w:t xml:space="preserve">, </w:t>
      </w:r>
      <w:r w:rsidRPr="005E6B5D">
        <w:rPr>
          <w:b w:val="0"/>
          <w:bCs/>
          <w:sz w:val="16"/>
          <w:szCs w:val="16"/>
        </w:rPr>
        <w:t>կապիտալի</w:t>
      </w:r>
      <w:r w:rsidRPr="005E6B5D">
        <w:rPr>
          <w:b w:val="0"/>
          <w:bCs/>
          <w:sz w:val="16"/>
          <w:szCs w:val="16"/>
          <w:lang w:val="en-US"/>
        </w:rPr>
        <w:t xml:space="preserve"> </w:t>
      </w:r>
      <w:r w:rsidRPr="005E6B5D">
        <w:rPr>
          <w:b w:val="0"/>
          <w:bCs/>
          <w:sz w:val="16"/>
          <w:szCs w:val="16"/>
        </w:rPr>
        <w:t>հաշվի</w:t>
      </w:r>
      <w:r w:rsidRPr="005E6B5D">
        <w:rPr>
          <w:b w:val="0"/>
          <w:bCs/>
          <w:sz w:val="16"/>
          <w:szCs w:val="16"/>
          <w:lang w:val="en-US"/>
        </w:rPr>
        <w:t xml:space="preserve"> </w:t>
      </w:r>
      <w:r w:rsidRPr="005E6B5D">
        <w:rPr>
          <w:b w:val="0"/>
          <w:bCs/>
          <w:sz w:val="16"/>
          <w:szCs w:val="16"/>
        </w:rPr>
        <w:t>բացություն</w:t>
      </w:r>
      <w:r w:rsidRPr="005E6B5D">
        <w:rPr>
          <w:b w:val="0"/>
          <w:bCs/>
          <w:sz w:val="16"/>
          <w:szCs w:val="16"/>
          <w:lang w:val="en-US"/>
        </w:rPr>
        <w:t xml:space="preserve">, </w:t>
      </w:r>
      <w:r w:rsidRPr="005E6B5D">
        <w:rPr>
          <w:b w:val="0"/>
          <w:bCs/>
          <w:sz w:val="16"/>
          <w:szCs w:val="16"/>
        </w:rPr>
        <w:t>արտաքին</w:t>
      </w:r>
      <w:r w:rsidRPr="005E6B5D">
        <w:rPr>
          <w:b w:val="0"/>
          <w:bCs/>
          <w:sz w:val="16"/>
          <w:szCs w:val="16"/>
          <w:lang w:val="en-US"/>
        </w:rPr>
        <w:t xml:space="preserve"> </w:t>
      </w:r>
      <w:r w:rsidRPr="005E6B5D">
        <w:rPr>
          <w:b w:val="0"/>
          <w:bCs/>
          <w:sz w:val="16"/>
          <w:szCs w:val="16"/>
        </w:rPr>
        <w:t>առևտրի</w:t>
      </w:r>
      <w:r w:rsidRPr="005E6B5D">
        <w:rPr>
          <w:b w:val="0"/>
          <w:bCs/>
          <w:sz w:val="16"/>
          <w:szCs w:val="16"/>
          <w:lang w:val="en-US"/>
        </w:rPr>
        <w:t xml:space="preserve"> </w:t>
      </w:r>
      <w:r w:rsidRPr="005E6B5D">
        <w:rPr>
          <w:b w:val="0"/>
          <w:bCs/>
          <w:sz w:val="16"/>
          <w:szCs w:val="16"/>
        </w:rPr>
        <w:t>բացություն</w:t>
      </w:r>
      <w:r w:rsidRPr="005E6B5D">
        <w:rPr>
          <w:b w:val="0"/>
          <w:bCs/>
          <w:sz w:val="16"/>
          <w:szCs w:val="16"/>
          <w:lang w:val="en-US"/>
        </w:rPr>
        <w:t xml:space="preserve">, </w:t>
      </w:r>
      <w:r w:rsidRPr="005E6B5D">
        <w:rPr>
          <w:b w:val="0"/>
          <w:bCs/>
          <w:sz w:val="16"/>
          <w:szCs w:val="16"/>
        </w:rPr>
        <w:t>ապրանքային</w:t>
      </w:r>
      <w:r w:rsidRPr="005E6B5D">
        <w:rPr>
          <w:b w:val="0"/>
          <w:bCs/>
          <w:sz w:val="16"/>
          <w:szCs w:val="16"/>
          <w:lang w:val="en-US"/>
        </w:rPr>
        <w:t xml:space="preserve"> </w:t>
      </w:r>
      <w:r w:rsidRPr="005E6B5D">
        <w:rPr>
          <w:b w:val="0"/>
          <w:bCs/>
          <w:sz w:val="16"/>
          <w:szCs w:val="16"/>
        </w:rPr>
        <w:t>շուկաներ</w:t>
      </w:r>
      <w:r w:rsidRPr="005E6B5D">
        <w:rPr>
          <w:b w:val="0"/>
          <w:bCs/>
          <w:sz w:val="16"/>
          <w:szCs w:val="16"/>
          <w:lang w:val="en-US"/>
        </w:rPr>
        <w:t xml:space="preserve"> </w:t>
      </w:r>
      <w:r w:rsidRPr="005E6B5D">
        <w:rPr>
          <w:b w:val="0"/>
          <w:bCs/>
          <w:sz w:val="16"/>
          <w:szCs w:val="16"/>
        </w:rPr>
        <w:t>և</w:t>
      </w:r>
      <w:r w:rsidRPr="005E6B5D">
        <w:rPr>
          <w:b w:val="0"/>
          <w:bCs/>
          <w:sz w:val="16"/>
          <w:szCs w:val="16"/>
          <w:lang w:val="en-US"/>
        </w:rPr>
        <w:t xml:space="preserve"> </w:t>
      </w:r>
      <w:r w:rsidRPr="005E6B5D">
        <w:rPr>
          <w:b w:val="0"/>
          <w:bCs/>
          <w:sz w:val="16"/>
          <w:szCs w:val="16"/>
        </w:rPr>
        <w:t>պետական</w:t>
      </w:r>
      <w:r w:rsidRPr="005E6B5D">
        <w:rPr>
          <w:b w:val="0"/>
          <w:bCs/>
          <w:sz w:val="16"/>
          <w:szCs w:val="16"/>
          <w:lang w:val="en-US"/>
        </w:rPr>
        <w:t xml:space="preserve"> </w:t>
      </w:r>
      <w:r w:rsidRPr="005E6B5D">
        <w:rPr>
          <w:b w:val="0"/>
          <w:bCs/>
          <w:sz w:val="16"/>
          <w:szCs w:val="16"/>
        </w:rPr>
        <w:t>կառավարում</w:t>
      </w:r>
      <w:r w:rsidRPr="005E6B5D">
        <w:rPr>
          <w:b w:val="0"/>
          <w:bCs/>
          <w:sz w:val="16"/>
          <w:szCs w:val="16"/>
          <w:lang w:val="en-US"/>
        </w:rPr>
        <w:t xml:space="preserve">) </w:t>
      </w:r>
      <w:r w:rsidRPr="005E6B5D">
        <w:rPr>
          <w:b w:val="0"/>
          <w:bCs/>
          <w:sz w:val="16"/>
          <w:szCs w:val="16"/>
        </w:rPr>
        <w:t>էական</w:t>
      </w:r>
      <w:r w:rsidRPr="005E6B5D">
        <w:rPr>
          <w:b w:val="0"/>
          <w:bCs/>
          <w:sz w:val="16"/>
          <w:szCs w:val="16"/>
          <w:lang w:val="en-US"/>
        </w:rPr>
        <w:t xml:space="preserve"> </w:t>
      </w:r>
      <w:r w:rsidRPr="005E6B5D">
        <w:rPr>
          <w:b w:val="0"/>
          <w:bCs/>
          <w:sz w:val="16"/>
          <w:szCs w:val="16"/>
        </w:rPr>
        <w:t>ջանքը</w:t>
      </w:r>
      <w:r w:rsidRPr="005E6B5D">
        <w:rPr>
          <w:b w:val="0"/>
          <w:bCs/>
          <w:sz w:val="16"/>
          <w:szCs w:val="16"/>
          <w:lang w:val="en-US"/>
        </w:rPr>
        <w:t xml:space="preserve"> </w:t>
      </w:r>
      <w:r w:rsidRPr="005E6B5D">
        <w:rPr>
          <w:b w:val="0"/>
          <w:bCs/>
          <w:sz w:val="16"/>
          <w:szCs w:val="16"/>
        </w:rPr>
        <w:t>կարող</w:t>
      </w:r>
      <w:r w:rsidRPr="005E6B5D">
        <w:rPr>
          <w:b w:val="0"/>
          <w:bCs/>
          <w:sz w:val="16"/>
          <w:szCs w:val="16"/>
          <w:lang w:val="en-US"/>
        </w:rPr>
        <w:t xml:space="preserve"> </w:t>
      </w:r>
      <w:r w:rsidRPr="005E6B5D">
        <w:rPr>
          <w:b w:val="0"/>
          <w:bCs/>
          <w:sz w:val="16"/>
          <w:szCs w:val="16"/>
        </w:rPr>
        <w:t>է</w:t>
      </w:r>
      <w:r w:rsidRPr="005E6B5D">
        <w:rPr>
          <w:b w:val="0"/>
          <w:bCs/>
          <w:sz w:val="16"/>
          <w:szCs w:val="16"/>
          <w:lang w:val="en-US"/>
        </w:rPr>
        <w:t xml:space="preserve"> 6 </w:t>
      </w:r>
      <w:r w:rsidRPr="005E6B5D">
        <w:rPr>
          <w:b w:val="0"/>
          <w:bCs/>
          <w:sz w:val="16"/>
          <w:szCs w:val="16"/>
        </w:rPr>
        <w:t>տարում</w:t>
      </w:r>
      <w:r w:rsidRPr="005E6B5D">
        <w:rPr>
          <w:b w:val="0"/>
          <w:bCs/>
          <w:sz w:val="16"/>
          <w:szCs w:val="16"/>
          <w:lang w:val="en-US"/>
        </w:rPr>
        <w:t xml:space="preserve"> </w:t>
      </w:r>
      <w:r w:rsidRPr="005E6B5D">
        <w:rPr>
          <w:b w:val="0"/>
          <w:bCs/>
          <w:sz w:val="16"/>
          <w:szCs w:val="16"/>
        </w:rPr>
        <w:t>ՀՆԱ</w:t>
      </w:r>
      <w:r w:rsidRPr="005E6B5D">
        <w:rPr>
          <w:b w:val="0"/>
          <w:bCs/>
          <w:sz w:val="16"/>
          <w:szCs w:val="16"/>
          <w:lang w:val="en-US"/>
        </w:rPr>
        <w:t>-</w:t>
      </w:r>
      <w:r w:rsidRPr="005E6B5D">
        <w:rPr>
          <w:b w:val="0"/>
          <w:bCs/>
          <w:sz w:val="16"/>
          <w:szCs w:val="16"/>
        </w:rPr>
        <w:t>ի</w:t>
      </w:r>
      <w:r w:rsidRPr="005E6B5D">
        <w:rPr>
          <w:b w:val="0"/>
          <w:bCs/>
          <w:sz w:val="16"/>
          <w:szCs w:val="16"/>
          <w:lang w:val="en-US"/>
        </w:rPr>
        <w:t xml:space="preserve"> </w:t>
      </w:r>
      <w:r w:rsidRPr="005E6B5D">
        <w:rPr>
          <w:b w:val="0"/>
          <w:bCs/>
          <w:sz w:val="16"/>
          <w:szCs w:val="16"/>
        </w:rPr>
        <w:t>շուրջ</w:t>
      </w:r>
      <w:r w:rsidRPr="005E6B5D">
        <w:rPr>
          <w:b w:val="0"/>
          <w:bCs/>
          <w:sz w:val="16"/>
          <w:szCs w:val="16"/>
          <w:lang w:val="en-US"/>
        </w:rPr>
        <w:t xml:space="preserve"> 7% </w:t>
      </w:r>
      <w:r w:rsidRPr="005E6B5D">
        <w:rPr>
          <w:b w:val="0"/>
          <w:bCs/>
          <w:sz w:val="16"/>
          <w:szCs w:val="16"/>
        </w:rPr>
        <w:t>աճ</w:t>
      </w:r>
      <w:r w:rsidRPr="005E6B5D">
        <w:rPr>
          <w:b w:val="0"/>
          <w:bCs/>
          <w:sz w:val="16"/>
          <w:szCs w:val="16"/>
          <w:lang w:val="en-US"/>
        </w:rPr>
        <w:t xml:space="preserve"> </w:t>
      </w:r>
      <w:r w:rsidRPr="005E6B5D">
        <w:rPr>
          <w:b w:val="0"/>
          <w:bCs/>
          <w:sz w:val="16"/>
          <w:szCs w:val="16"/>
        </w:rPr>
        <w:t>ապահովել</w:t>
      </w:r>
      <w:r w:rsidRPr="005E6B5D">
        <w:rPr>
          <w:b w:val="0"/>
          <w:bCs/>
          <w:sz w:val="16"/>
          <w:szCs w:val="16"/>
          <w:lang w:val="en-US"/>
        </w:rPr>
        <w:t xml:space="preserve"> (</w:t>
      </w:r>
      <w:r w:rsidRPr="005E6B5D">
        <w:rPr>
          <w:b w:val="0"/>
          <w:bCs/>
          <w:sz w:val="16"/>
          <w:szCs w:val="16"/>
        </w:rPr>
        <w:t>տե՛ս</w:t>
      </w:r>
      <w:r w:rsidRPr="005E6B5D">
        <w:rPr>
          <w:b w:val="0"/>
          <w:bCs/>
          <w:sz w:val="16"/>
          <w:szCs w:val="16"/>
          <w:lang w:val="en-US"/>
        </w:rPr>
        <w:t xml:space="preserve"> IMF (2019). WEO October 2019, Chapter 3: Reigniting Growth in Emerging Market and Low-Income Economies: What Role for Structural Reforms?</w:t>
      </w:r>
      <w:r w:rsidRPr="005D1807">
        <w:rPr>
          <w:lang w:val="en-US"/>
        </w:rPr>
        <w:t xml:space="preserve"> </w:t>
      </w:r>
      <w:hyperlink r:id="rId8" w:history="1">
        <w:r w:rsidRPr="005E6B5D">
          <w:rPr>
            <w:b w:val="0"/>
            <w:bCs/>
            <w:sz w:val="16"/>
            <w:szCs w:val="16"/>
          </w:rPr>
          <w:t>https://www.imf.org/en/Publications/WEO/Issues/2019/10/01/world-economic-outlook-october-2019</w:t>
        </w:r>
      </w:hyperlink>
      <w:r w:rsidRPr="005E6B5D">
        <w:rPr>
          <w:b w:val="0"/>
          <w:bCs/>
          <w:sz w:val="16"/>
          <w:szCs w:val="16"/>
        </w:rPr>
        <w:t xml:space="preserve">  )։ Համադրելով ԱՄՀ գնահատականներում կիրառված կառուցվածքային բարեփոխումների ուղղությունները, և ՀՀ կառավարության ծրագրով ուղենշված՝ գործարար միջավայրը և պետական կառավարման արդյունավետությունը բարելավող միջոցառումները, ՀՀ համար կառուցվածքային բարեփոխումների հնարավոր ազդեցությունը գնահատվել է տարեկան 0․5%-ային կետ միջնաժամկետ հատվածի համար։</w:t>
      </w:r>
    </w:p>
  </w:footnote>
  <w:footnote w:id="17">
    <w:p w14:paraId="24909897" w14:textId="77777777" w:rsidR="00083152" w:rsidRPr="005E6B5D" w:rsidRDefault="00083152" w:rsidP="005D1807">
      <w:pPr>
        <w:rPr>
          <w:b w:val="0"/>
          <w:bCs/>
          <w:sz w:val="16"/>
          <w:szCs w:val="16"/>
        </w:rPr>
      </w:pPr>
      <w:r w:rsidRPr="005E6B5D">
        <w:rPr>
          <w:b w:val="0"/>
          <w:bCs/>
          <w:sz w:val="16"/>
          <w:szCs w:val="16"/>
        </w:rPr>
        <w:footnoteRef/>
      </w:r>
      <w:r w:rsidRPr="005E6B5D">
        <w:rPr>
          <w:b w:val="0"/>
          <w:bCs/>
          <w:sz w:val="16"/>
          <w:szCs w:val="16"/>
        </w:rPr>
        <w:t xml:space="preserve"> Աղբյուրը՝ ՀՀ ԿԲ, «ՀՀ բանկերի միջոցով ֆիզիկական անձանց անունով արտերկրից ստացված և ՀՀ-ից ֆիզիկական անձանց կողմից արտերկիր իրականացված փոխանցումներ», զուտ ներհոսք (</w:t>
      </w:r>
      <w:proofErr w:type="gramStart"/>
      <w:r w:rsidRPr="005E6B5D">
        <w:rPr>
          <w:b w:val="0"/>
          <w:bCs/>
          <w:sz w:val="16"/>
          <w:szCs w:val="16"/>
        </w:rPr>
        <w:t>https://www.cba.am/am/SitePages/statexternalsector.aspx)։</w:t>
      </w:r>
      <w:proofErr w:type="gramEnd"/>
    </w:p>
  </w:footnote>
  <w:footnote w:id="18">
    <w:p w14:paraId="5A3A96F8" w14:textId="77777777" w:rsidR="00083152" w:rsidRPr="00A64D05" w:rsidRDefault="00083152" w:rsidP="005D1807">
      <w:pPr>
        <w:rPr>
          <w:b w:val="0"/>
          <w:bCs/>
          <w:sz w:val="16"/>
          <w:szCs w:val="16"/>
        </w:rPr>
      </w:pPr>
      <w:r w:rsidRPr="00A64D05">
        <w:rPr>
          <w:b w:val="0"/>
          <w:bCs/>
          <w:sz w:val="16"/>
          <w:szCs w:val="16"/>
        </w:rPr>
        <w:footnoteRef/>
      </w:r>
      <w:r w:rsidRPr="00A64D05">
        <w:rPr>
          <w:b w:val="0"/>
          <w:bCs/>
          <w:sz w:val="16"/>
          <w:szCs w:val="16"/>
        </w:rPr>
        <w:t xml:space="preserve"> Աղբյուրը՝ ՀՀ ԿԲ, Գնաճի հաշվետվություն (Դրամավարկային քաղաքականության ծրագիր II եռամսյակ 2023թ. Դրամավարկային քաղաքականության 2023թ. I եռամսյակի ծրագրի կատարման </w:t>
      </w:r>
      <w:proofErr w:type="gramStart"/>
      <w:r w:rsidRPr="00A64D05">
        <w:rPr>
          <w:b w:val="0"/>
          <w:bCs/>
          <w:sz w:val="16"/>
          <w:szCs w:val="16"/>
        </w:rPr>
        <w:t>հաշվետվություն)​</w:t>
      </w:r>
      <w:proofErr w:type="gramEnd"/>
      <w:r w:rsidRPr="00A64D05">
        <w:rPr>
          <w:b w:val="0"/>
          <w:bCs/>
          <w:sz w:val="16"/>
          <w:szCs w:val="16"/>
        </w:rPr>
        <w:t>։</w:t>
      </w:r>
    </w:p>
  </w:footnote>
  <w:footnote w:id="19">
    <w:p w14:paraId="14BE9830" w14:textId="77777777" w:rsidR="00083152" w:rsidRPr="00EC591E" w:rsidRDefault="00083152" w:rsidP="005D1807">
      <w:pPr>
        <w:rPr>
          <w:b w:val="0"/>
          <w:bCs/>
          <w:sz w:val="16"/>
          <w:szCs w:val="16"/>
        </w:rPr>
      </w:pPr>
      <w:r w:rsidRPr="00EC591E">
        <w:rPr>
          <w:b w:val="0"/>
          <w:bCs/>
          <w:sz w:val="16"/>
          <w:szCs w:val="16"/>
        </w:rPr>
        <w:footnoteRef/>
      </w:r>
      <w:r w:rsidRPr="00EC591E">
        <w:rPr>
          <w:b w:val="0"/>
          <w:bCs/>
          <w:sz w:val="16"/>
          <w:szCs w:val="16"/>
        </w:rPr>
        <w:t xml:space="preserve"> Առավել մանրամասն տ՛ես Աղյուսակ 1.4-ում:</w:t>
      </w:r>
    </w:p>
  </w:footnote>
  <w:footnote w:id="20">
    <w:p w14:paraId="6EE13915" w14:textId="77777777" w:rsidR="00083152" w:rsidRPr="000739AC" w:rsidRDefault="00083152" w:rsidP="005D1807">
      <w:pPr>
        <w:rPr>
          <w:b w:val="0"/>
          <w:bCs/>
          <w:sz w:val="16"/>
          <w:szCs w:val="16"/>
        </w:rPr>
      </w:pPr>
      <w:r w:rsidRPr="000739AC">
        <w:rPr>
          <w:b w:val="0"/>
          <w:bCs/>
          <w:sz w:val="16"/>
          <w:szCs w:val="16"/>
        </w:rPr>
        <w:footnoteRef/>
      </w:r>
      <w:r w:rsidRPr="000739AC">
        <w:rPr>
          <w:b w:val="0"/>
          <w:bCs/>
          <w:sz w:val="16"/>
          <w:szCs w:val="16"/>
        </w:rPr>
        <w:t xml:space="preserve"> Տե՛ս «Տնտեսական արձագանքման ծրագիրը և գործողությունների պլանը հաստատելու մասին» ՀՀ կառավարության 2021թ. փետրվարի 4-ի թիվ 142-Լ որոշում, հավելված 1:</w:t>
      </w:r>
    </w:p>
  </w:footnote>
  <w:footnote w:id="21">
    <w:p w14:paraId="5157DE0D" w14:textId="77777777" w:rsidR="00083152" w:rsidRPr="000739AC" w:rsidRDefault="00083152" w:rsidP="005D1807">
      <w:pPr>
        <w:rPr>
          <w:b w:val="0"/>
          <w:bCs/>
          <w:sz w:val="16"/>
          <w:szCs w:val="16"/>
        </w:rPr>
      </w:pPr>
      <w:r w:rsidRPr="000739AC">
        <w:rPr>
          <w:b w:val="0"/>
          <w:bCs/>
          <w:sz w:val="16"/>
          <w:szCs w:val="16"/>
        </w:rPr>
        <w:footnoteRef/>
      </w:r>
      <w:r w:rsidRPr="000739AC">
        <w:rPr>
          <w:b w:val="0"/>
          <w:bCs/>
          <w:sz w:val="16"/>
          <w:szCs w:val="16"/>
        </w:rPr>
        <w:t xml:space="preserve"> Աղյուսակի 1-ին սյունը իրենից ներկայացնում է տնտեսական աճի հնարավոր միջա</w:t>
      </w:r>
      <w:r w:rsidRPr="000739AC">
        <w:rPr>
          <w:b w:val="0"/>
          <w:bCs/>
          <w:sz w:val="16"/>
          <w:szCs w:val="16"/>
        </w:rPr>
        <w:softHyphen/>
        <w:t>կայքերը, իսկ 2-ից 5-րդ սյուները` համապատասխան միջակայքերում տնտեսական աճի գտնվելու հավանականությունները։ Աղյուսակում ներկայացվել են տնտեսական աճի ամենահավանական միջակայքերը, որոնք միասին ծածկում են բաշխման ընդհանուր հավանականության շուրջ 88%-ը, այսինքն` հավանականությունը, որ տնտեսական աճը կգտնվի 2%-ից 10</w:t>
      </w:r>
      <w:proofErr w:type="gramStart"/>
      <w:r w:rsidRPr="000739AC">
        <w:rPr>
          <w:b w:val="0"/>
          <w:bCs/>
          <w:sz w:val="16"/>
          <w:szCs w:val="16"/>
        </w:rPr>
        <w:t>%  միջակայքում</w:t>
      </w:r>
      <w:proofErr w:type="gramEnd"/>
      <w:r w:rsidRPr="000739AC">
        <w:rPr>
          <w:b w:val="0"/>
          <w:bCs/>
          <w:sz w:val="16"/>
          <w:szCs w:val="16"/>
        </w:rPr>
        <w:t>, կազմում է շուրջ 82%:</w:t>
      </w:r>
    </w:p>
  </w:footnote>
  <w:footnote w:id="22">
    <w:p w14:paraId="456840AA" w14:textId="77777777" w:rsidR="00083152" w:rsidRPr="008E5A31" w:rsidRDefault="00083152" w:rsidP="00730639">
      <w:pPr>
        <w:pStyle w:val="FootnoteText"/>
        <w:rPr>
          <w:lang w:val="hy-AM"/>
        </w:rPr>
      </w:pPr>
      <w:r>
        <w:rPr>
          <w:rStyle w:val="FootnoteReference"/>
        </w:rPr>
        <w:footnoteRef/>
      </w:r>
      <w:r w:rsidRPr="008E5A31">
        <w:rPr>
          <w:lang w:val="hy-AM"/>
        </w:rPr>
        <w:t xml:space="preserve"> </w:t>
      </w:r>
      <w:r>
        <w:rPr>
          <w:lang w:val="hy-AM"/>
        </w:rPr>
        <w:t xml:space="preserve">Առանձին հարկատեսակների գծով ներկայացված են ուղենշային կանխատեսումները (հիմնված մակրոտնտեսական ցուցանիշների կանխատեսումների վրա), որոնք պլանային ցուցանիշներ չեն հանդիսանում: </w:t>
      </w:r>
    </w:p>
    <w:p w14:paraId="4B858A9B" w14:textId="77777777" w:rsidR="00083152" w:rsidRPr="008E5A31" w:rsidRDefault="00083152" w:rsidP="00730639">
      <w:pPr>
        <w:pStyle w:val="FootnoteText"/>
        <w:rPr>
          <w:lang w:val="hy-AM"/>
        </w:rPr>
      </w:pPr>
    </w:p>
  </w:footnote>
  <w:footnote w:id="23">
    <w:p w14:paraId="5D2335C6" w14:textId="77777777" w:rsidR="00083152" w:rsidRPr="00123A46" w:rsidRDefault="00083152" w:rsidP="00730639">
      <w:pPr>
        <w:pStyle w:val="FootnoteText"/>
        <w:rPr>
          <w:lang w:val="hy-AM"/>
        </w:rPr>
      </w:pPr>
      <w:r>
        <w:rPr>
          <w:rStyle w:val="FootnoteReference"/>
        </w:rPr>
        <w:footnoteRef/>
      </w:r>
      <w:r>
        <w:rPr>
          <w:lang w:val="hy-AM"/>
        </w:rPr>
        <w:t xml:space="preserve"> Ի տարբերություն հարկաբյուջետային իրավիճակի վրա դեպի բյուջեի ծախսեր ԼՂ վարկավորման տեղափոխման ամբողջությամբ չեզոք ազդեցության, այս գործառնությունը որոշակի սահմանափակ լրացուցիչ ազդեցությունը կունենա ամբողջական պահանջարկի վրա, սակայն՝ միայն ԼՂ-ում կատարվող ծախսումների՝ ՀՀ տնտեսություն չփոխանցվող չափով, ինչն էլ արտացոլվել է հարկաբյուջետային ազդակի գնահատականներում։ </w:t>
      </w:r>
    </w:p>
  </w:footnote>
  <w:footnote w:id="24">
    <w:p w14:paraId="2AD2C220" w14:textId="77777777" w:rsidR="00083152" w:rsidRPr="001C5EA5" w:rsidRDefault="00083152" w:rsidP="00730639">
      <w:pPr>
        <w:pStyle w:val="FootnoteText"/>
        <w:rPr>
          <w:lang w:val="hy-AM"/>
        </w:rPr>
      </w:pPr>
      <w:r>
        <w:rPr>
          <w:rStyle w:val="FootnoteReference"/>
        </w:rPr>
        <w:footnoteRef/>
      </w:r>
      <w:r w:rsidRPr="001C5EA5">
        <w:rPr>
          <w:lang w:val="hy-AM"/>
        </w:rPr>
        <w:t xml:space="preserve"> Կանխատեսվող տարիների համար կառավարության պարտք/ՀՆԱ ցուցանիշի փոփոխությանը նպաստող գործոններից փոխարժեքի ենթադրությունների ազդեցությունն արտահայտված է մնացորդի բաղադրիչի մեջ։ </w:t>
      </w:r>
    </w:p>
  </w:footnote>
  <w:footnote w:id="25">
    <w:p w14:paraId="43DFC10F" w14:textId="77777777" w:rsidR="00083152" w:rsidRPr="001C5EA5" w:rsidRDefault="00083152" w:rsidP="00730639">
      <w:pPr>
        <w:pStyle w:val="FootnoteText"/>
        <w:rPr>
          <w:lang w:val="hy-AM"/>
        </w:rPr>
      </w:pPr>
      <w:r w:rsidRPr="0038225D">
        <w:rPr>
          <w:rStyle w:val="FootnoteReference"/>
          <w:sz w:val="18"/>
          <w:szCs w:val="18"/>
        </w:rPr>
        <w:footnoteRef/>
      </w:r>
      <w:r w:rsidRPr="001C5EA5">
        <w:rPr>
          <w:lang w:val="hy-AM"/>
        </w:rPr>
        <w:t xml:space="preserve"> Հարկաբյուջետային կանխատեսումների համար հիմք է հանդիսացել 2023թ.-ի օգոստոսի վերջի դրությամբ առկա տեղեկատվությունը՝ ռուս-ուկրաինական հակամարտության, Լեռնային Ղարաբաղի շուրջ իրավիճակի, ՀՀ տնտեսության զարգացումների վերաբերյալ միջազգային կազմակերպությունների կանխատեսումների, ինչպես նաև հարկաբյուջետային քաղաքականության ուղությունների վերաբերյալ:</w:t>
      </w:r>
    </w:p>
  </w:footnote>
  <w:footnote w:id="26">
    <w:p w14:paraId="79FE378F" w14:textId="77777777" w:rsidR="00083152" w:rsidRPr="00B0166D" w:rsidRDefault="00083152" w:rsidP="00730639">
      <w:pPr>
        <w:pStyle w:val="FootnoteText"/>
        <w:rPr>
          <w:lang w:val="hy-AM"/>
        </w:rPr>
      </w:pPr>
      <w:r w:rsidRPr="00E2325B">
        <w:rPr>
          <w:rStyle w:val="FootnoteReference"/>
        </w:rPr>
        <w:footnoteRef/>
      </w:r>
      <w:r w:rsidRPr="00B0166D">
        <w:rPr>
          <w:lang w:val="hy-AM"/>
        </w:rPr>
        <w:t xml:space="preserve"> Այս հատվածում նկարագրված ռիսկերի առավել մանրամասն վերլուծությունը ներկայացված է այս փաստաթղթի ՄԱՍ IV-ի «Պետական բյուջեի վրա մակրոտնտեսական կանխատեսված ցուցանիշներից շեղման ռիսկերի ազդեցության քանակական գնահատում» և «ՀՀ կառավարության պարտքի կայունության վերլուծություն» բաժիններում։ </w:t>
      </w:r>
    </w:p>
  </w:footnote>
  <w:footnote w:id="27">
    <w:p w14:paraId="4C1B851D" w14:textId="77777777" w:rsidR="00083152" w:rsidRPr="00117D85" w:rsidRDefault="00083152" w:rsidP="00EB28B4">
      <w:pPr>
        <w:pStyle w:val="FootnoteText"/>
        <w:rPr>
          <w:sz w:val="14"/>
          <w:lang w:val="sk-SK"/>
        </w:rPr>
      </w:pPr>
      <w:r w:rsidRPr="00117D85">
        <w:rPr>
          <w:rStyle w:val="FootnoteReference"/>
          <w:rFonts w:eastAsiaTheme="majorEastAsia"/>
          <w:sz w:val="18"/>
        </w:rPr>
        <w:footnoteRef/>
      </w:r>
      <w:r w:rsidRPr="00117D85">
        <w:rPr>
          <w:sz w:val="18"/>
          <w:lang w:val="hy-AM"/>
        </w:rPr>
        <w:t>Սա</w:t>
      </w:r>
      <w:r w:rsidRPr="00117D85">
        <w:rPr>
          <w:sz w:val="18"/>
          <w:lang w:val="sk-SK"/>
        </w:rPr>
        <w:t xml:space="preserve"> </w:t>
      </w:r>
      <w:r w:rsidRPr="00117D85">
        <w:rPr>
          <w:sz w:val="18"/>
          <w:lang w:val="hy-AM"/>
        </w:rPr>
        <w:t>որոշակիորեն</w:t>
      </w:r>
      <w:r w:rsidRPr="00117D85">
        <w:rPr>
          <w:sz w:val="18"/>
          <w:lang w:val="sk-SK"/>
        </w:rPr>
        <w:t xml:space="preserve"> </w:t>
      </w:r>
      <w:r w:rsidRPr="00117D85">
        <w:rPr>
          <w:sz w:val="18"/>
          <w:lang w:val="hy-AM"/>
        </w:rPr>
        <w:t>կապված</w:t>
      </w:r>
      <w:r w:rsidRPr="00117D85">
        <w:rPr>
          <w:sz w:val="18"/>
          <w:lang w:val="sk-SK"/>
        </w:rPr>
        <w:t xml:space="preserve"> </w:t>
      </w:r>
      <w:r w:rsidRPr="00117D85">
        <w:rPr>
          <w:sz w:val="18"/>
          <w:lang w:val="hy-AM"/>
        </w:rPr>
        <w:t>է</w:t>
      </w:r>
      <w:r w:rsidRPr="00117D85">
        <w:rPr>
          <w:sz w:val="18"/>
          <w:lang w:val="sk-SK"/>
        </w:rPr>
        <w:t xml:space="preserve"> </w:t>
      </w:r>
      <w:r w:rsidRPr="00117D85">
        <w:rPr>
          <w:sz w:val="18"/>
          <w:lang w:val="hy-AM"/>
        </w:rPr>
        <w:t>նաև</w:t>
      </w:r>
      <w:r w:rsidRPr="00117D85">
        <w:rPr>
          <w:sz w:val="18"/>
          <w:lang w:val="sk-SK"/>
        </w:rPr>
        <w:t xml:space="preserve"> </w:t>
      </w:r>
      <w:r w:rsidRPr="00117D85">
        <w:rPr>
          <w:sz w:val="18"/>
          <w:lang w:val="hy-AM"/>
        </w:rPr>
        <w:t>մոդելների</w:t>
      </w:r>
      <w:r w:rsidRPr="00117D85">
        <w:rPr>
          <w:sz w:val="18"/>
          <w:lang w:val="sk-SK"/>
        </w:rPr>
        <w:t xml:space="preserve"> </w:t>
      </w:r>
      <w:r w:rsidRPr="00117D85">
        <w:rPr>
          <w:sz w:val="18"/>
          <w:lang w:val="hy-AM"/>
        </w:rPr>
        <w:t>սպեցիֆիկացիաների</w:t>
      </w:r>
      <w:r w:rsidRPr="00117D85">
        <w:rPr>
          <w:sz w:val="18"/>
          <w:lang w:val="sk-SK"/>
        </w:rPr>
        <w:t xml:space="preserve"> </w:t>
      </w:r>
      <w:r w:rsidRPr="00117D85">
        <w:rPr>
          <w:sz w:val="18"/>
          <w:lang w:val="hy-AM"/>
        </w:rPr>
        <w:t>հետ</w:t>
      </w:r>
      <w:r w:rsidRPr="00117D85">
        <w:rPr>
          <w:sz w:val="18"/>
          <w:lang w:val="sk-SK"/>
        </w:rPr>
        <w:t xml:space="preserve">, </w:t>
      </w:r>
      <w:r w:rsidRPr="00117D85">
        <w:rPr>
          <w:sz w:val="18"/>
          <w:lang w:val="hy-AM"/>
        </w:rPr>
        <w:t>քանի</w:t>
      </w:r>
      <w:r w:rsidRPr="00117D85">
        <w:rPr>
          <w:sz w:val="18"/>
          <w:lang w:val="sk-SK"/>
        </w:rPr>
        <w:t xml:space="preserve"> </w:t>
      </w:r>
      <w:r w:rsidRPr="00117D85">
        <w:rPr>
          <w:sz w:val="18"/>
          <w:lang w:val="hy-AM"/>
        </w:rPr>
        <w:t>որ</w:t>
      </w:r>
      <w:r w:rsidRPr="00117D85">
        <w:rPr>
          <w:sz w:val="18"/>
          <w:lang w:val="sk-SK"/>
        </w:rPr>
        <w:t xml:space="preserve"> </w:t>
      </w:r>
      <w:r w:rsidRPr="00117D85">
        <w:rPr>
          <w:sz w:val="18"/>
          <w:lang w:val="hy-AM"/>
        </w:rPr>
        <w:t>ժամանակային</w:t>
      </w:r>
      <w:r w:rsidRPr="00117D85">
        <w:rPr>
          <w:sz w:val="18"/>
          <w:lang w:val="sk-SK"/>
        </w:rPr>
        <w:t xml:space="preserve"> </w:t>
      </w:r>
      <w:r w:rsidRPr="00117D85">
        <w:rPr>
          <w:sz w:val="18"/>
          <w:lang w:val="hy-AM"/>
        </w:rPr>
        <w:t>շարքերի</w:t>
      </w:r>
      <w:r w:rsidRPr="00117D85">
        <w:rPr>
          <w:sz w:val="18"/>
          <w:lang w:val="sk-SK"/>
        </w:rPr>
        <w:t xml:space="preserve"> </w:t>
      </w:r>
      <w:r w:rsidRPr="00117D85">
        <w:rPr>
          <w:sz w:val="18"/>
          <w:lang w:val="hy-AM"/>
        </w:rPr>
        <w:t>վրա</w:t>
      </w:r>
      <w:r w:rsidRPr="00117D85">
        <w:rPr>
          <w:sz w:val="18"/>
          <w:lang w:val="sk-SK"/>
        </w:rPr>
        <w:t xml:space="preserve"> </w:t>
      </w:r>
      <w:r w:rsidRPr="00117D85">
        <w:rPr>
          <w:sz w:val="18"/>
          <w:lang w:val="hy-AM"/>
        </w:rPr>
        <w:t>հիմնված</w:t>
      </w:r>
      <w:r w:rsidRPr="00117D85">
        <w:rPr>
          <w:sz w:val="18"/>
          <w:lang w:val="sk-SK"/>
        </w:rPr>
        <w:t xml:space="preserve"> </w:t>
      </w:r>
      <w:r w:rsidRPr="00117D85">
        <w:rPr>
          <w:sz w:val="18"/>
          <w:lang w:val="hy-AM"/>
        </w:rPr>
        <w:t>մոդելներն</w:t>
      </w:r>
      <w:r w:rsidRPr="00117D85">
        <w:rPr>
          <w:sz w:val="18"/>
          <w:lang w:val="sk-SK"/>
        </w:rPr>
        <w:t xml:space="preserve"> </w:t>
      </w:r>
      <w:r w:rsidRPr="00117D85">
        <w:rPr>
          <w:sz w:val="18"/>
          <w:lang w:val="hy-AM"/>
        </w:rPr>
        <w:t>իրենց</w:t>
      </w:r>
      <w:r w:rsidRPr="00117D85">
        <w:rPr>
          <w:sz w:val="18"/>
          <w:lang w:val="sk-SK"/>
        </w:rPr>
        <w:t xml:space="preserve"> </w:t>
      </w:r>
      <w:r w:rsidRPr="00117D85">
        <w:rPr>
          <w:sz w:val="18"/>
          <w:lang w:val="hy-AM"/>
        </w:rPr>
        <w:t>մեջ</w:t>
      </w:r>
      <w:r w:rsidRPr="00117D85">
        <w:rPr>
          <w:sz w:val="18"/>
          <w:lang w:val="sk-SK"/>
        </w:rPr>
        <w:t xml:space="preserve"> </w:t>
      </w:r>
      <w:r w:rsidRPr="00117D85">
        <w:rPr>
          <w:sz w:val="18"/>
          <w:lang w:val="hy-AM"/>
        </w:rPr>
        <w:t>ներառում</w:t>
      </w:r>
      <w:r w:rsidRPr="00117D85">
        <w:rPr>
          <w:sz w:val="18"/>
          <w:lang w:val="sk-SK"/>
        </w:rPr>
        <w:t xml:space="preserve"> </w:t>
      </w:r>
      <w:r w:rsidRPr="00117D85">
        <w:rPr>
          <w:sz w:val="18"/>
          <w:lang w:val="hy-AM"/>
        </w:rPr>
        <w:t>են</w:t>
      </w:r>
      <w:r w:rsidRPr="00117D85">
        <w:rPr>
          <w:sz w:val="18"/>
          <w:lang w:val="sk-SK"/>
        </w:rPr>
        <w:t xml:space="preserve"> </w:t>
      </w:r>
      <w:r w:rsidRPr="00117D85">
        <w:rPr>
          <w:sz w:val="18"/>
          <w:lang w:val="hy-AM"/>
        </w:rPr>
        <w:t>տնտեսության</w:t>
      </w:r>
      <w:r w:rsidRPr="00117D85">
        <w:rPr>
          <w:sz w:val="18"/>
          <w:lang w:val="sk-SK"/>
        </w:rPr>
        <w:t xml:space="preserve"> </w:t>
      </w:r>
      <w:r w:rsidRPr="00117D85">
        <w:rPr>
          <w:sz w:val="18"/>
          <w:lang w:val="hy-AM"/>
        </w:rPr>
        <w:t>նախորդ</w:t>
      </w:r>
      <w:r w:rsidRPr="00117D85">
        <w:rPr>
          <w:sz w:val="18"/>
          <w:lang w:val="sk-SK"/>
        </w:rPr>
        <w:t xml:space="preserve"> </w:t>
      </w:r>
      <w:r w:rsidRPr="00117D85">
        <w:rPr>
          <w:sz w:val="18"/>
          <w:lang w:val="hy-AM"/>
        </w:rPr>
        <w:t>ժամանակահատվածի</w:t>
      </w:r>
      <w:r w:rsidRPr="00117D85">
        <w:rPr>
          <w:sz w:val="18"/>
          <w:lang w:val="sk-SK"/>
        </w:rPr>
        <w:t xml:space="preserve"> </w:t>
      </w:r>
      <w:r w:rsidRPr="00117D85">
        <w:rPr>
          <w:sz w:val="18"/>
          <w:lang w:val="hy-AM"/>
        </w:rPr>
        <w:t>զարգացումների</w:t>
      </w:r>
      <w:r w:rsidRPr="00117D85">
        <w:rPr>
          <w:sz w:val="18"/>
          <w:lang w:val="sk-SK"/>
        </w:rPr>
        <w:t xml:space="preserve"> </w:t>
      </w:r>
      <w:r w:rsidRPr="00117D85">
        <w:rPr>
          <w:sz w:val="18"/>
          <w:lang w:val="hy-AM"/>
        </w:rPr>
        <w:t>տեղեկատվությունը</w:t>
      </w:r>
      <w:r w:rsidRPr="00117D85">
        <w:rPr>
          <w:sz w:val="18"/>
          <w:lang w:val="sk-SK"/>
        </w:rPr>
        <w:t xml:space="preserve">, </w:t>
      </w:r>
      <w:r w:rsidRPr="00117D85">
        <w:rPr>
          <w:sz w:val="18"/>
          <w:lang w:val="hy-AM"/>
        </w:rPr>
        <w:t>իսկ</w:t>
      </w:r>
      <w:r w:rsidRPr="00117D85">
        <w:rPr>
          <w:sz w:val="18"/>
          <w:lang w:val="sk-SK"/>
        </w:rPr>
        <w:t xml:space="preserve"> </w:t>
      </w:r>
      <w:r w:rsidRPr="00117D85">
        <w:rPr>
          <w:sz w:val="18"/>
          <w:lang w:val="hy-AM"/>
        </w:rPr>
        <w:t>կանխատեսվող</w:t>
      </w:r>
      <w:r w:rsidRPr="00117D85">
        <w:rPr>
          <w:sz w:val="18"/>
          <w:lang w:val="sk-SK"/>
        </w:rPr>
        <w:t xml:space="preserve"> </w:t>
      </w:r>
      <w:r w:rsidRPr="00117D85">
        <w:rPr>
          <w:sz w:val="18"/>
          <w:lang w:val="hy-AM"/>
        </w:rPr>
        <w:t>տարում</w:t>
      </w:r>
      <w:r w:rsidRPr="00117D85">
        <w:rPr>
          <w:sz w:val="18"/>
          <w:lang w:val="sk-SK"/>
        </w:rPr>
        <w:t xml:space="preserve"> </w:t>
      </w:r>
      <w:r w:rsidRPr="00117D85">
        <w:rPr>
          <w:sz w:val="18"/>
          <w:lang w:val="hy-AM"/>
        </w:rPr>
        <w:t>ի</w:t>
      </w:r>
      <w:r w:rsidRPr="00117D85">
        <w:rPr>
          <w:sz w:val="18"/>
          <w:lang w:val="sk-SK"/>
        </w:rPr>
        <w:t xml:space="preserve"> </w:t>
      </w:r>
      <w:r w:rsidRPr="00117D85">
        <w:rPr>
          <w:sz w:val="18"/>
          <w:lang w:val="hy-AM"/>
        </w:rPr>
        <w:t>հայտ</w:t>
      </w:r>
      <w:r w:rsidRPr="00117D85">
        <w:rPr>
          <w:sz w:val="18"/>
          <w:lang w:val="sk-SK"/>
        </w:rPr>
        <w:t xml:space="preserve"> </w:t>
      </w:r>
      <w:r w:rsidRPr="00117D85">
        <w:rPr>
          <w:sz w:val="18"/>
          <w:lang w:val="hy-AM"/>
        </w:rPr>
        <w:t>եկող</w:t>
      </w:r>
      <w:r w:rsidRPr="00117D85">
        <w:rPr>
          <w:sz w:val="18"/>
          <w:lang w:val="sk-SK"/>
        </w:rPr>
        <w:t xml:space="preserve"> </w:t>
      </w:r>
      <w:r w:rsidRPr="00117D85">
        <w:rPr>
          <w:sz w:val="18"/>
          <w:lang w:val="hy-AM"/>
        </w:rPr>
        <w:t>տնտեսության</w:t>
      </w:r>
      <w:r w:rsidRPr="00117D85">
        <w:rPr>
          <w:sz w:val="18"/>
          <w:lang w:val="sk-SK"/>
        </w:rPr>
        <w:t xml:space="preserve"> </w:t>
      </w:r>
      <w:r w:rsidRPr="00117D85">
        <w:rPr>
          <w:sz w:val="18"/>
          <w:lang w:val="hy-AM"/>
        </w:rPr>
        <w:t>կառուցվածքային</w:t>
      </w:r>
      <w:r w:rsidRPr="00117D85">
        <w:rPr>
          <w:sz w:val="18"/>
          <w:lang w:val="sk-SK"/>
        </w:rPr>
        <w:t xml:space="preserve"> </w:t>
      </w:r>
      <w:r w:rsidRPr="00117D85">
        <w:rPr>
          <w:sz w:val="18"/>
          <w:lang w:val="hy-AM"/>
        </w:rPr>
        <w:t>տեղաշարժը</w:t>
      </w:r>
      <w:r w:rsidRPr="00117D85">
        <w:rPr>
          <w:sz w:val="18"/>
          <w:lang w:val="sk-SK"/>
        </w:rPr>
        <w:t xml:space="preserve"> </w:t>
      </w:r>
      <w:r w:rsidRPr="00117D85">
        <w:rPr>
          <w:sz w:val="18"/>
          <w:lang w:val="hy-AM"/>
        </w:rPr>
        <w:t>միայն</w:t>
      </w:r>
      <w:r w:rsidRPr="00117D85">
        <w:rPr>
          <w:sz w:val="18"/>
          <w:lang w:val="sk-SK"/>
        </w:rPr>
        <w:t xml:space="preserve"> </w:t>
      </w:r>
      <w:r w:rsidRPr="00117D85">
        <w:rPr>
          <w:sz w:val="18"/>
          <w:lang w:val="hy-AM"/>
        </w:rPr>
        <w:t>կարող</w:t>
      </w:r>
      <w:r w:rsidRPr="00117D85">
        <w:rPr>
          <w:sz w:val="18"/>
          <w:lang w:val="sk-SK"/>
        </w:rPr>
        <w:t xml:space="preserve"> </w:t>
      </w:r>
      <w:r w:rsidRPr="00117D85">
        <w:rPr>
          <w:sz w:val="18"/>
          <w:lang w:val="hy-AM"/>
        </w:rPr>
        <w:t>է</w:t>
      </w:r>
      <w:r w:rsidRPr="00117D85">
        <w:rPr>
          <w:sz w:val="18"/>
          <w:lang w:val="sk-SK"/>
        </w:rPr>
        <w:t xml:space="preserve"> </w:t>
      </w:r>
      <w:r w:rsidRPr="00117D85">
        <w:rPr>
          <w:sz w:val="18"/>
          <w:lang w:val="hy-AM"/>
        </w:rPr>
        <w:t>ներառվել</w:t>
      </w:r>
      <w:r w:rsidRPr="00117D85">
        <w:rPr>
          <w:sz w:val="18"/>
          <w:lang w:val="sk-SK"/>
        </w:rPr>
        <w:t xml:space="preserve"> </w:t>
      </w:r>
      <w:r w:rsidRPr="00117D85">
        <w:rPr>
          <w:sz w:val="18"/>
          <w:lang w:val="hy-AM"/>
        </w:rPr>
        <w:t>հաջորդ</w:t>
      </w:r>
      <w:r w:rsidRPr="00117D85">
        <w:rPr>
          <w:sz w:val="18"/>
          <w:lang w:val="sk-SK"/>
        </w:rPr>
        <w:t xml:space="preserve"> </w:t>
      </w:r>
      <w:r w:rsidRPr="00117D85">
        <w:rPr>
          <w:sz w:val="18"/>
          <w:lang w:val="hy-AM"/>
        </w:rPr>
        <w:t>տարվա</w:t>
      </w:r>
      <w:r w:rsidRPr="00117D85">
        <w:rPr>
          <w:sz w:val="18"/>
          <w:lang w:val="sk-SK"/>
        </w:rPr>
        <w:t xml:space="preserve"> </w:t>
      </w:r>
      <w:r w:rsidRPr="00117D85">
        <w:rPr>
          <w:sz w:val="18"/>
          <w:lang w:val="hy-AM"/>
        </w:rPr>
        <w:t>կանխատեսումների</w:t>
      </w:r>
      <w:r w:rsidRPr="00117D85">
        <w:rPr>
          <w:sz w:val="18"/>
          <w:lang w:val="sk-SK"/>
        </w:rPr>
        <w:t xml:space="preserve"> </w:t>
      </w:r>
      <w:r w:rsidRPr="00117D85">
        <w:rPr>
          <w:sz w:val="18"/>
          <w:lang w:val="hy-AM"/>
        </w:rPr>
        <w:t>մոդելներում</w:t>
      </w:r>
      <w:r w:rsidRPr="00117D85">
        <w:rPr>
          <w:sz w:val="18"/>
          <w:lang w:val="sk-SK"/>
        </w:rPr>
        <w:t xml:space="preserve">: </w:t>
      </w:r>
    </w:p>
  </w:footnote>
  <w:footnote w:id="28">
    <w:p w14:paraId="56CE87F2" w14:textId="77777777" w:rsidR="00083152" w:rsidRPr="006E672D" w:rsidRDefault="00083152" w:rsidP="00EB28B4">
      <w:pPr>
        <w:pStyle w:val="FootnoteText"/>
        <w:rPr>
          <w:lang w:val="hy-AM"/>
        </w:rPr>
      </w:pPr>
      <w:r>
        <w:rPr>
          <w:rStyle w:val="FootnoteReference"/>
        </w:rPr>
        <w:footnoteRef/>
      </w:r>
      <w:r w:rsidRPr="006E672D">
        <w:rPr>
          <w:lang w:val="sk-SK"/>
        </w:rPr>
        <w:t xml:space="preserve"> </w:t>
      </w:r>
      <w:r w:rsidRPr="006C0D3A">
        <w:rPr>
          <w:sz w:val="18"/>
          <w:lang w:val="hy-AM"/>
        </w:rPr>
        <w:t xml:space="preserve">Պետք է նշել, որ հաշվարկում են ներառված են նաև ճգնաժամային տարիները, երբ կանխատեսումները շեղվել են հիմնականում պայմանավորված արտածին գործոնների  համար կիրառված ենթադրություններից շեղումներով։ Հաշվի առնելով համաշխարհային տնտեսությունում և տարածաշրջանում ներկայումս առկա </w:t>
      </w:r>
      <w:r w:rsidRPr="006C0D3A">
        <w:rPr>
          <w:sz w:val="18"/>
          <w:szCs w:val="18"/>
          <w:lang w:val="hy-AM"/>
        </w:rPr>
        <w:t>տնտեսական և աշխարհքաղաքական ռիսկերը (տե՛ս փաստաթղթի այլ համապատասխան բաժինները), որպես կանխատեսումներից շեղումներ հաշվի է առնվել նաև շոկերի տարիները ներառող շեղման չափը։</w:t>
      </w:r>
      <w:r>
        <w:rPr>
          <w:lang w:val="hy-AM"/>
        </w:rPr>
        <w:t xml:space="preserve"> </w:t>
      </w:r>
    </w:p>
  </w:footnote>
  <w:footnote w:id="29">
    <w:p w14:paraId="4C4223A8" w14:textId="77777777" w:rsidR="00083152" w:rsidRDefault="00083152" w:rsidP="00EB28B4">
      <w:pPr>
        <w:pStyle w:val="FootnoteText"/>
        <w:spacing w:line="276" w:lineRule="auto"/>
        <w:rPr>
          <w:lang w:val="ro-RO"/>
        </w:rPr>
      </w:pPr>
      <w:r w:rsidRPr="00EB15E4">
        <w:rPr>
          <w:rStyle w:val="FootnoteReference"/>
          <w:rFonts w:eastAsiaTheme="majorEastAsia"/>
          <w:sz w:val="18"/>
        </w:rPr>
        <w:footnoteRef/>
      </w:r>
      <w:r w:rsidRPr="00EB15E4">
        <w:rPr>
          <w:sz w:val="18"/>
          <w:lang w:val="hy-AM"/>
        </w:rPr>
        <w:t>ՀՆԱ</w:t>
      </w:r>
      <w:r w:rsidRPr="00EB15E4">
        <w:rPr>
          <w:sz w:val="18"/>
          <w:lang w:val="ro-RO"/>
        </w:rPr>
        <w:t xml:space="preserve">, </w:t>
      </w:r>
      <w:r w:rsidRPr="00EB15E4">
        <w:rPr>
          <w:sz w:val="18"/>
          <w:lang w:val="hy-AM"/>
        </w:rPr>
        <w:t>ներմուծման</w:t>
      </w:r>
      <w:r w:rsidRPr="00EB15E4">
        <w:rPr>
          <w:sz w:val="18"/>
          <w:lang w:val="ro-RO"/>
        </w:rPr>
        <w:t xml:space="preserve">, </w:t>
      </w:r>
      <w:r w:rsidRPr="00EB15E4">
        <w:rPr>
          <w:sz w:val="18"/>
          <w:lang w:val="hy-AM"/>
        </w:rPr>
        <w:t>փոխարժեքի</w:t>
      </w:r>
      <w:r w:rsidRPr="00EB15E4">
        <w:rPr>
          <w:sz w:val="18"/>
          <w:lang w:val="sk-SK"/>
        </w:rPr>
        <w:t xml:space="preserve"> </w:t>
      </w:r>
      <w:r w:rsidRPr="00EB15E4">
        <w:rPr>
          <w:sz w:val="18"/>
          <w:lang w:val="hy-AM"/>
        </w:rPr>
        <w:t>և</w:t>
      </w:r>
      <w:r w:rsidRPr="00EB15E4">
        <w:rPr>
          <w:sz w:val="18"/>
          <w:lang w:val="sk-SK"/>
        </w:rPr>
        <w:t xml:space="preserve"> </w:t>
      </w:r>
      <w:r w:rsidRPr="00EB15E4">
        <w:rPr>
          <w:sz w:val="18"/>
          <w:lang w:val="hy-AM"/>
        </w:rPr>
        <w:t>գների</w:t>
      </w:r>
      <w:r w:rsidRPr="00EB15E4">
        <w:rPr>
          <w:sz w:val="18"/>
          <w:lang w:val="sk-SK"/>
        </w:rPr>
        <w:t xml:space="preserve"> </w:t>
      </w:r>
      <w:r w:rsidRPr="00EB15E4">
        <w:rPr>
          <w:sz w:val="18"/>
          <w:lang w:val="hy-AM"/>
        </w:rPr>
        <w:t>գծով</w:t>
      </w:r>
      <w:r w:rsidRPr="00EB15E4">
        <w:rPr>
          <w:sz w:val="18"/>
          <w:lang w:val="sk-SK"/>
        </w:rPr>
        <w:t xml:space="preserve"> </w:t>
      </w:r>
      <w:r w:rsidRPr="00EB15E4">
        <w:rPr>
          <w:sz w:val="18"/>
          <w:lang w:val="hy-AM"/>
        </w:rPr>
        <w:t>հավանական</w:t>
      </w:r>
      <w:r w:rsidRPr="00EB15E4">
        <w:rPr>
          <w:sz w:val="18"/>
          <w:lang w:val="sk-SK"/>
        </w:rPr>
        <w:t xml:space="preserve"> </w:t>
      </w:r>
      <w:r w:rsidRPr="00EB15E4">
        <w:rPr>
          <w:sz w:val="18"/>
          <w:lang w:val="hy-AM"/>
        </w:rPr>
        <w:t>ռիսկերի</w:t>
      </w:r>
      <w:r w:rsidRPr="00EB15E4">
        <w:rPr>
          <w:sz w:val="18"/>
          <w:lang w:val="sk-SK"/>
        </w:rPr>
        <w:t xml:space="preserve"> </w:t>
      </w:r>
      <w:r w:rsidRPr="00EB15E4">
        <w:rPr>
          <w:sz w:val="18"/>
          <w:lang w:val="hy-AM"/>
        </w:rPr>
        <w:t>քանակային</w:t>
      </w:r>
      <w:r w:rsidRPr="00EB15E4">
        <w:rPr>
          <w:sz w:val="18"/>
          <w:lang w:val="sk-SK"/>
        </w:rPr>
        <w:t xml:space="preserve"> </w:t>
      </w:r>
      <w:r w:rsidRPr="00EB15E4">
        <w:rPr>
          <w:sz w:val="18"/>
          <w:lang w:val="hy-AM"/>
        </w:rPr>
        <w:t>գնահատականը</w:t>
      </w:r>
      <w:r w:rsidRPr="00EB15E4">
        <w:rPr>
          <w:sz w:val="18"/>
          <w:lang w:val="sk-SK"/>
        </w:rPr>
        <w:t xml:space="preserve"> </w:t>
      </w:r>
      <w:r w:rsidRPr="00EB15E4">
        <w:rPr>
          <w:sz w:val="18"/>
          <w:lang w:val="hy-AM"/>
        </w:rPr>
        <w:t>ստացվել</w:t>
      </w:r>
      <w:r w:rsidRPr="00EB15E4">
        <w:rPr>
          <w:sz w:val="18"/>
          <w:lang w:val="sk-SK"/>
        </w:rPr>
        <w:t xml:space="preserve"> </w:t>
      </w:r>
      <w:r w:rsidRPr="00EB15E4">
        <w:rPr>
          <w:sz w:val="18"/>
          <w:lang w:val="hy-AM"/>
        </w:rPr>
        <w:t>է</w:t>
      </w:r>
      <w:r w:rsidRPr="00EB15E4">
        <w:rPr>
          <w:sz w:val="18"/>
          <w:lang w:val="sk-SK"/>
        </w:rPr>
        <w:t xml:space="preserve">` </w:t>
      </w:r>
      <w:r w:rsidRPr="00EB15E4">
        <w:rPr>
          <w:sz w:val="18"/>
          <w:lang w:val="hy-AM"/>
        </w:rPr>
        <w:t>հիմք</w:t>
      </w:r>
      <w:r w:rsidRPr="00EB15E4">
        <w:rPr>
          <w:sz w:val="18"/>
          <w:lang w:val="sk-SK"/>
        </w:rPr>
        <w:t xml:space="preserve"> ըն</w:t>
      </w:r>
      <w:r w:rsidRPr="00EB15E4">
        <w:rPr>
          <w:sz w:val="18"/>
          <w:lang w:val="hy-AM"/>
        </w:rPr>
        <w:t>դունելով</w:t>
      </w:r>
      <w:r w:rsidRPr="00EB15E4">
        <w:rPr>
          <w:sz w:val="18"/>
          <w:lang w:val="sk-SK"/>
        </w:rPr>
        <w:t xml:space="preserve"> </w:t>
      </w:r>
      <w:r w:rsidRPr="00EB15E4">
        <w:rPr>
          <w:sz w:val="18"/>
          <w:lang w:val="hy-AM"/>
        </w:rPr>
        <w:t>այս</w:t>
      </w:r>
      <w:r w:rsidRPr="00EB15E4">
        <w:rPr>
          <w:sz w:val="18"/>
          <w:lang w:val="sk-SK"/>
        </w:rPr>
        <w:t xml:space="preserve"> </w:t>
      </w:r>
      <w:r w:rsidRPr="00EB15E4">
        <w:rPr>
          <w:sz w:val="18"/>
          <w:lang w:val="hy-AM"/>
        </w:rPr>
        <w:t>գործոնների</w:t>
      </w:r>
      <w:r w:rsidRPr="00EB15E4">
        <w:rPr>
          <w:sz w:val="18"/>
          <w:lang w:val="sk-SK"/>
        </w:rPr>
        <w:t xml:space="preserve"> </w:t>
      </w:r>
      <w:r w:rsidRPr="00EB15E4">
        <w:rPr>
          <w:sz w:val="18"/>
          <w:lang w:val="hy-AM"/>
        </w:rPr>
        <w:t>պատմական</w:t>
      </w:r>
      <w:r w:rsidRPr="00EB15E4">
        <w:rPr>
          <w:sz w:val="18"/>
          <w:lang w:val="sk-SK"/>
        </w:rPr>
        <w:t xml:space="preserve"> </w:t>
      </w:r>
      <w:r w:rsidRPr="00EB15E4">
        <w:rPr>
          <w:sz w:val="18"/>
          <w:lang w:val="hy-AM"/>
        </w:rPr>
        <w:t>շարժի</w:t>
      </w:r>
      <w:r w:rsidRPr="00EB15E4">
        <w:rPr>
          <w:sz w:val="18"/>
          <w:lang w:val="sk-SK"/>
        </w:rPr>
        <w:t xml:space="preserve"> </w:t>
      </w:r>
      <w:r w:rsidRPr="00EB15E4">
        <w:rPr>
          <w:sz w:val="18"/>
          <w:lang w:val="hy-AM"/>
        </w:rPr>
        <w:t>բացարձակ</w:t>
      </w:r>
      <w:r w:rsidRPr="00EB15E4">
        <w:rPr>
          <w:sz w:val="18"/>
          <w:lang w:val="sk-SK"/>
        </w:rPr>
        <w:t xml:space="preserve"> </w:t>
      </w:r>
      <w:r w:rsidRPr="00EB15E4">
        <w:rPr>
          <w:sz w:val="18"/>
          <w:lang w:val="hy-AM"/>
        </w:rPr>
        <w:t>միջին</w:t>
      </w:r>
      <w:r w:rsidRPr="00EB15E4">
        <w:rPr>
          <w:sz w:val="18"/>
          <w:lang w:val="sk-SK"/>
        </w:rPr>
        <w:t xml:space="preserve"> </w:t>
      </w:r>
      <w:r w:rsidRPr="00EB15E4">
        <w:rPr>
          <w:sz w:val="18"/>
          <w:lang w:val="hy-AM"/>
        </w:rPr>
        <w:t>սխալը</w:t>
      </w:r>
      <w:r w:rsidRPr="00EB15E4">
        <w:rPr>
          <w:sz w:val="18"/>
          <w:lang w:val="ro-RO"/>
        </w:rPr>
        <w:t>:</w:t>
      </w:r>
    </w:p>
  </w:footnote>
  <w:footnote w:id="30">
    <w:p w14:paraId="205ECE95" w14:textId="77777777" w:rsidR="00083152" w:rsidRDefault="00083152" w:rsidP="00EB28B4">
      <w:pPr>
        <w:spacing w:line="240" w:lineRule="auto"/>
        <w:rPr>
          <w:rFonts w:cs="Sylfaen"/>
          <w:i/>
          <w:sz w:val="16"/>
          <w:szCs w:val="16"/>
          <w:lang w:val="ro-RO"/>
        </w:rPr>
      </w:pPr>
      <w:r>
        <w:rPr>
          <w:rStyle w:val="FootnoteReference"/>
          <w:sz w:val="16"/>
          <w:szCs w:val="16"/>
        </w:rPr>
        <w:footnoteRef/>
      </w:r>
      <w:r>
        <w:rPr>
          <w:rFonts w:cs="Sylfaen"/>
          <w:sz w:val="16"/>
          <w:szCs w:val="16"/>
        </w:rPr>
        <w:t>Հարկային</w:t>
      </w:r>
      <w:r>
        <w:rPr>
          <w:rFonts w:cs="Sylfaen"/>
          <w:sz w:val="16"/>
          <w:szCs w:val="16"/>
          <w:lang w:val="ro-RO"/>
        </w:rPr>
        <w:t xml:space="preserve"> </w:t>
      </w:r>
      <w:r>
        <w:rPr>
          <w:rFonts w:cs="Sylfaen"/>
          <w:sz w:val="16"/>
          <w:szCs w:val="16"/>
        </w:rPr>
        <w:t>եկամուտների</w:t>
      </w:r>
      <w:r>
        <w:rPr>
          <w:rFonts w:cs="Sylfaen"/>
          <w:sz w:val="16"/>
          <w:szCs w:val="16"/>
          <w:lang w:val="ro-RO"/>
        </w:rPr>
        <w:t xml:space="preserve"> </w:t>
      </w:r>
      <w:r>
        <w:rPr>
          <w:rFonts w:cs="Sylfaen"/>
          <w:sz w:val="16"/>
          <w:szCs w:val="16"/>
        </w:rPr>
        <w:t>գծով</w:t>
      </w:r>
      <w:r>
        <w:rPr>
          <w:rFonts w:cs="Sylfaen"/>
          <w:sz w:val="16"/>
          <w:szCs w:val="16"/>
          <w:lang w:val="ro-RO"/>
        </w:rPr>
        <w:t xml:space="preserve"> </w:t>
      </w:r>
      <w:r>
        <w:rPr>
          <w:rFonts w:cs="Sylfaen"/>
          <w:sz w:val="16"/>
          <w:szCs w:val="16"/>
        </w:rPr>
        <w:t>ռիսկերի</w:t>
      </w:r>
      <w:r>
        <w:rPr>
          <w:rFonts w:cs="Sylfaen"/>
          <w:sz w:val="16"/>
          <w:szCs w:val="16"/>
          <w:lang w:val="ro-RO"/>
        </w:rPr>
        <w:t xml:space="preserve"> ազդեցության </w:t>
      </w:r>
      <w:r>
        <w:rPr>
          <w:rFonts w:cs="Sylfaen"/>
          <w:sz w:val="16"/>
          <w:szCs w:val="16"/>
        </w:rPr>
        <w:t>գնահատականը</w:t>
      </w:r>
      <w:r>
        <w:rPr>
          <w:rFonts w:cs="Sylfaen"/>
          <w:sz w:val="16"/>
          <w:szCs w:val="16"/>
          <w:lang w:val="ro-RO"/>
        </w:rPr>
        <w:t xml:space="preserve"> </w:t>
      </w:r>
      <w:r>
        <w:rPr>
          <w:rFonts w:cs="Sylfaen"/>
          <w:sz w:val="16"/>
          <w:szCs w:val="16"/>
        </w:rPr>
        <w:t>կառուցվել</w:t>
      </w:r>
      <w:r>
        <w:rPr>
          <w:rFonts w:cs="Sylfaen"/>
          <w:sz w:val="16"/>
          <w:szCs w:val="16"/>
          <w:lang w:val="ro-RO"/>
        </w:rPr>
        <w:t xml:space="preserve"> </w:t>
      </w:r>
      <w:r>
        <w:rPr>
          <w:rFonts w:cs="Sylfaen"/>
          <w:sz w:val="16"/>
          <w:szCs w:val="16"/>
        </w:rPr>
        <w:t>է</w:t>
      </w:r>
      <w:r>
        <w:rPr>
          <w:rFonts w:cs="Sylfaen"/>
          <w:sz w:val="16"/>
          <w:szCs w:val="16"/>
          <w:lang w:val="ro-RO"/>
        </w:rPr>
        <w:t xml:space="preserve"> </w:t>
      </w:r>
      <w:r>
        <w:rPr>
          <w:rFonts w:cs="Sylfaen"/>
          <w:sz w:val="16"/>
          <w:szCs w:val="16"/>
        </w:rPr>
        <w:t>ՀՀ</w:t>
      </w:r>
      <w:r>
        <w:rPr>
          <w:rFonts w:cs="Sylfaen"/>
          <w:sz w:val="16"/>
          <w:szCs w:val="16"/>
          <w:lang w:val="ro-RO"/>
        </w:rPr>
        <w:t xml:space="preserve"> ֆ</w:t>
      </w:r>
      <w:r>
        <w:rPr>
          <w:rFonts w:cs="Sylfaen"/>
          <w:sz w:val="16"/>
          <w:szCs w:val="16"/>
        </w:rPr>
        <w:t>ինանսների</w:t>
      </w:r>
      <w:r>
        <w:rPr>
          <w:rFonts w:cs="Sylfaen"/>
          <w:sz w:val="16"/>
          <w:szCs w:val="16"/>
          <w:lang w:val="ro-RO"/>
        </w:rPr>
        <w:t xml:space="preserve"> </w:t>
      </w:r>
      <w:r>
        <w:rPr>
          <w:rFonts w:cs="Sylfaen"/>
          <w:sz w:val="16"/>
          <w:szCs w:val="16"/>
        </w:rPr>
        <w:t>նախարարության</w:t>
      </w:r>
      <w:r>
        <w:rPr>
          <w:rFonts w:cs="Sylfaen"/>
          <w:sz w:val="16"/>
          <w:szCs w:val="16"/>
          <w:lang w:val="ro-RO"/>
        </w:rPr>
        <w:t xml:space="preserve"> </w:t>
      </w:r>
      <w:r>
        <w:rPr>
          <w:rFonts w:cs="Sylfaen"/>
          <w:sz w:val="16"/>
          <w:szCs w:val="16"/>
        </w:rPr>
        <w:t>ռիսկերի</w:t>
      </w:r>
      <w:r>
        <w:rPr>
          <w:rFonts w:cs="Sylfaen"/>
          <w:sz w:val="16"/>
          <w:szCs w:val="16"/>
          <w:lang w:val="ro-RO"/>
        </w:rPr>
        <w:t xml:space="preserve"> </w:t>
      </w:r>
      <w:r>
        <w:rPr>
          <w:rFonts w:cs="Sylfaen"/>
          <w:sz w:val="16"/>
          <w:szCs w:val="16"/>
        </w:rPr>
        <w:t>գնահատման</w:t>
      </w:r>
      <w:r>
        <w:rPr>
          <w:rFonts w:cs="Sylfaen"/>
          <w:sz w:val="16"/>
          <w:szCs w:val="16"/>
          <w:lang w:val="ro-RO"/>
        </w:rPr>
        <w:t xml:space="preserve"> </w:t>
      </w:r>
      <w:r>
        <w:rPr>
          <w:rFonts w:cs="Sylfaen"/>
          <w:sz w:val="16"/>
          <w:szCs w:val="16"/>
        </w:rPr>
        <w:t>համակարգի</w:t>
      </w:r>
      <w:r>
        <w:rPr>
          <w:rFonts w:cs="Sylfaen"/>
          <w:sz w:val="16"/>
          <w:szCs w:val="16"/>
          <w:lang w:val="ro-RO"/>
        </w:rPr>
        <w:t xml:space="preserve"> </w:t>
      </w:r>
      <w:r>
        <w:rPr>
          <w:rFonts w:cs="Sylfaen"/>
          <w:sz w:val="16"/>
          <w:szCs w:val="16"/>
        </w:rPr>
        <w:t>ներքո</w:t>
      </w:r>
      <w:r>
        <w:rPr>
          <w:rFonts w:cs="Sylfaen"/>
          <w:sz w:val="16"/>
          <w:szCs w:val="16"/>
          <w:lang w:val="ro-RO"/>
        </w:rPr>
        <w:t xml:space="preserve"> </w:t>
      </w:r>
      <w:r>
        <w:rPr>
          <w:rFonts w:cs="Sylfaen"/>
          <w:sz w:val="16"/>
          <w:szCs w:val="16"/>
        </w:rPr>
        <w:t>կառուցված</w:t>
      </w:r>
      <w:r>
        <w:rPr>
          <w:rFonts w:cs="Sylfaen"/>
          <w:sz w:val="16"/>
          <w:szCs w:val="16"/>
          <w:lang w:val="ro-RO"/>
        </w:rPr>
        <w:t xml:space="preserve"> </w:t>
      </w:r>
      <w:r>
        <w:rPr>
          <w:rFonts w:cs="Sylfaen"/>
          <w:sz w:val="16"/>
          <w:szCs w:val="16"/>
        </w:rPr>
        <w:t>մոդելի</w:t>
      </w:r>
      <w:r>
        <w:rPr>
          <w:rFonts w:cs="Sylfaen"/>
          <w:sz w:val="16"/>
          <w:szCs w:val="16"/>
          <w:lang w:val="ro-RO"/>
        </w:rPr>
        <w:t xml:space="preserve"> </w:t>
      </w:r>
      <w:r>
        <w:rPr>
          <w:rFonts w:cs="Sylfaen"/>
          <w:sz w:val="16"/>
          <w:szCs w:val="16"/>
        </w:rPr>
        <w:t>հիման</w:t>
      </w:r>
      <w:r>
        <w:rPr>
          <w:rFonts w:cs="Sylfaen"/>
          <w:sz w:val="16"/>
          <w:szCs w:val="16"/>
          <w:lang w:val="ro-RO"/>
        </w:rPr>
        <w:t xml:space="preserve"> </w:t>
      </w:r>
      <w:r>
        <w:rPr>
          <w:rFonts w:cs="Sylfaen"/>
          <w:sz w:val="16"/>
          <w:szCs w:val="16"/>
        </w:rPr>
        <w:t>վրա</w:t>
      </w:r>
      <w:r>
        <w:rPr>
          <w:rFonts w:cs="Sylfaen"/>
          <w:sz w:val="16"/>
          <w:szCs w:val="16"/>
          <w:lang w:val="ro-RO"/>
        </w:rPr>
        <w:t>:</w:t>
      </w:r>
      <w:r>
        <w:rPr>
          <w:rFonts w:cs="Sylfaen"/>
          <w:i/>
          <w:sz w:val="16"/>
          <w:szCs w:val="16"/>
          <w:lang w:val="ro-RO"/>
        </w:rPr>
        <w:t xml:space="preserve"> </w:t>
      </w:r>
    </w:p>
  </w:footnote>
  <w:footnote w:id="31">
    <w:p w14:paraId="7027E8D7" w14:textId="77777777" w:rsidR="00083152" w:rsidRPr="00010E8E" w:rsidRDefault="00083152" w:rsidP="00EB28B4">
      <w:pPr>
        <w:pStyle w:val="FootnoteText"/>
        <w:rPr>
          <w:lang w:val="ro-RO"/>
        </w:rPr>
      </w:pPr>
      <w:r w:rsidRPr="00010E8E">
        <w:rPr>
          <w:rStyle w:val="FootnoteReference"/>
        </w:rPr>
        <w:footnoteRef/>
      </w:r>
      <w:r>
        <w:rPr>
          <w:lang w:val="ro-RO"/>
        </w:rPr>
        <w:t xml:space="preserve"> </w:t>
      </w:r>
      <w:r w:rsidRPr="00010E8E">
        <w:rPr>
          <w:lang w:val="ro-RO"/>
        </w:rPr>
        <w:t>Ընդհանուր ազդեցության գնահատականը հիմնված է մակրոտնտեսական ռիսկերի առանձին հանդես գալու ենթադրության վրա:</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9AC5A72"/>
    <w:lvl w:ilvl="0">
      <w:start w:val="1"/>
      <w:numFmt w:val="decimal"/>
      <w:pStyle w:val="ListNumber"/>
      <w:lvlText w:val="%1."/>
      <w:lvlJc w:val="left"/>
      <w:pPr>
        <w:tabs>
          <w:tab w:val="num" w:pos="-762"/>
        </w:tabs>
        <w:ind w:left="-762" w:hanging="360"/>
      </w:pPr>
    </w:lvl>
  </w:abstractNum>
  <w:abstractNum w:abstractNumId="1" w15:restartNumberingAfterBreak="0">
    <w:nsid w:val="03F033D1"/>
    <w:multiLevelType w:val="hybridMultilevel"/>
    <w:tmpl w:val="28F0DDFE"/>
    <w:lvl w:ilvl="0" w:tplc="FFFFFFFF">
      <w:start w:val="1"/>
      <w:numFmt w:val="bullet"/>
      <w:pStyle w:val="num0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606A62"/>
    <w:multiLevelType w:val="hybridMultilevel"/>
    <w:tmpl w:val="EBD26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77763"/>
    <w:multiLevelType w:val="hybridMultilevel"/>
    <w:tmpl w:val="D4D6B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175450"/>
    <w:multiLevelType w:val="hybridMultilevel"/>
    <w:tmpl w:val="9C665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6CF5B18"/>
    <w:multiLevelType w:val="hybridMultilevel"/>
    <w:tmpl w:val="CF349E18"/>
    <w:lvl w:ilvl="0" w:tplc="04090011">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E82D78"/>
    <w:multiLevelType w:val="hybridMultilevel"/>
    <w:tmpl w:val="0734C1CC"/>
    <w:lvl w:ilvl="0" w:tplc="78B647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EF44BE"/>
    <w:multiLevelType w:val="hybridMultilevel"/>
    <w:tmpl w:val="620A90A4"/>
    <w:lvl w:ilvl="0" w:tplc="4BB0F528">
      <w:start w:val="1"/>
      <w:numFmt w:val="bullet"/>
      <w:lvlText w:val=""/>
      <w:lvlJc w:val="left"/>
      <w:pPr>
        <w:ind w:left="8100" w:hanging="360"/>
      </w:pPr>
      <w:rPr>
        <w:rFonts w:ascii="Symbol" w:hAnsi="Symbol" w:hint="default"/>
        <w:lang w:val="hy-AM"/>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8" w15:restartNumberingAfterBreak="0">
    <w:nsid w:val="0A89690A"/>
    <w:multiLevelType w:val="hybridMultilevel"/>
    <w:tmpl w:val="53BE3A02"/>
    <w:lvl w:ilvl="0" w:tplc="04090011">
      <w:start w:val="1"/>
      <w:numFmt w:val="decimal"/>
      <w:lvlText w:val="%1)"/>
      <w:lvlJc w:val="left"/>
      <w:pPr>
        <w:ind w:left="1069" w:hanging="360"/>
      </w:pPr>
      <w:rPr>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0D3432B4"/>
    <w:multiLevelType w:val="hybridMultilevel"/>
    <w:tmpl w:val="DAF20B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0EF45B06"/>
    <w:multiLevelType w:val="hybridMultilevel"/>
    <w:tmpl w:val="59766380"/>
    <w:lvl w:ilvl="0" w:tplc="37A874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085362"/>
    <w:multiLevelType w:val="hybridMultilevel"/>
    <w:tmpl w:val="16D66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36391B"/>
    <w:multiLevelType w:val="hybridMultilevel"/>
    <w:tmpl w:val="5BC89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AF5979"/>
    <w:multiLevelType w:val="hybridMultilevel"/>
    <w:tmpl w:val="F01265F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15:restartNumberingAfterBreak="0">
    <w:nsid w:val="129E7A5A"/>
    <w:multiLevelType w:val="singleLevel"/>
    <w:tmpl w:val="4EDA947C"/>
    <w:lvl w:ilvl="0">
      <w:start w:val="1"/>
      <w:numFmt w:val="decimal"/>
      <w:pStyle w:val="a"/>
      <w:lvlText w:val="%1."/>
      <w:lvlJc w:val="left"/>
      <w:pPr>
        <w:tabs>
          <w:tab w:val="num" w:pos="360"/>
        </w:tabs>
        <w:ind w:left="360" w:hanging="360"/>
      </w:pPr>
      <w:rPr>
        <w:rFonts w:hint="default"/>
      </w:rPr>
    </w:lvl>
  </w:abstractNum>
  <w:abstractNum w:abstractNumId="15" w15:restartNumberingAfterBreak="0">
    <w:nsid w:val="14105CA9"/>
    <w:multiLevelType w:val="hybridMultilevel"/>
    <w:tmpl w:val="14A42308"/>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56C11E8"/>
    <w:multiLevelType w:val="hybridMultilevel"/>
    <w:tmpl w:val="6EAA1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8C4D6A"/>
    <w:multiLevelType w:val="hybridMultilevel"/>
    <w:tmpl w:val="5D26F9CC"/>
    <w:lvl w:ilvl="0" w:tplc="379CAA9A">
      <w:start w:val="2024"/>
      <w:numFmt w:val="bullet"/>
      <w:lvlText w:val="-"/>
      <w:lvlJc w:val="left"/>
      <w:pPr>
        <w:ind w:left="1170" w:hanging="360"/>
      </w:pPr>
      <w:rPr>
        <w:rFonts w:ascii="GHEA Grapalat" w:eastAsiaTheme="minorHAnsi" w:hAnsi="GHEA Grapalat" w:cs="Sylfaen"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18" w15:restartNumberingAfterBreak="0">
    <w:nsid w:val="21B262EB"/>
    <w:multiLevelType w:val="hybridMultilevel"/>
    <w:tmpl w:val="27925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A707DA"/>
    <w:multiLevelType w:val="hybridMultilevel"/>
    <w:tmpl w:val="E7566F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FF5743"/>
    <w:multiLevelType w:val="hybridMultilevel"/>
    <w:tmpl w:val="31AA9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3D5F7A"/>
    <w:multiLevelType w:val="hybridMultilevel"/>
    <w:tmpl w:val="3020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A624FB"/>
    <w:multiLevelType w:val="hybridMultilevel"/>
    <w:tmpl w:val="B4C802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0D17E8"/>
    <w:multiLevelType w:val="hybridMultilevel"/>
    <w:tmpl w:val="E8280606"/>
    <w:name w:val="WW8Num43"/>
    <w:lvl w:ilvl="0" w:tplc="FFFFFFFF">
      <w:start w:val="110"/>
      <w:numFmt w:val="bullet"/>
      <w:lvlText w:val="-"/>
      <w:lvlJc w:val="left"/>
      <w:pPr>
        <w:tabs>
          <w:tab w:val="num" w:pos="1575"/>
        </w:tabs>
        <w:ind w:left="1575" w:hanging="975"/>
      </w:pPr>
      <w:rPr>
        <w:rFonts w:ascii="Times Armenian" w:eastAsia="Times New Roman" w:hAnsi="Times Armenian" w:cs="Times New Roman" w:hint="default"/>
      </w:rPr>
    </w:lvl>
    <w:lvl w:ilvl="1" w:tplc="FFFFFFFF" w:tentative="1">
      <w:start w:val="1"/>
      <w:numFmt w:val="bullet"/>
      <w:lvlText w:val="o"/>
      <w:lvlJc w:val="left"/>
      <w:pPr>
        <w:tabs>
          <w:tab w:val="num" w:pos="1680"/>
        </w:tabs>
        <w:ind w:left="1680" w:hanging="360"/>
      </w:pPr>
      <w:rPr>
        <w:rFonts w:ascii="Courier New" w:hAnsi="Courier New" w:cs="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24" w15:restartNumberingAfterBreak="0">
    <w:nsid w:val="2D4D3018"/>
    <w:multiLevelType w:val="hybridMultilevel"/>
    <w:tmpl w:val="ABFC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7D3B99"/>
    <w:multiLevelType w:val="hybridMultilevel"/>
    <w:tmpl w:val="51C8F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9B30B7"/>
    <w:multiLevelType w:val="hybridMultilevel"/>
    <w:tmpl w:val="7F14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6B29FA"/>
    <w:multiLevelType w:val="hybridMultilevel"/>
    <w:tmpl w:val="675CA8A4"/>
    <w:lvl w:ilvl="0" w:tplc="04090001">
      <w:start w:val="1"/>
      <w:numFmt w:val="bullet"/>
      <w:lvlText w:val=""/>
      <w:lvlJc w:val="left"/>
      <w:pPr>
        <w:ind w:left="720" w:hanging="360"/>
      </w:pPr>
      <w:rPr>
        <w:rFonts w:ascii="Symbol" w:hAnsi="Symbol" w:hint="default"/>
      </w:rPr>
    </w:lvl>
    <w:lvl w:ilvl="1" w:tplc="0C74023A">
      <w:numFmt w:val="bullet"/>
      <w:lvlText w:val="-"/>
      <w:lvlJc w:val="left"/>
      <w:pPr>
        <w:ind w:left="1440" w:hanging="360"/>
      </w:pPr>
      <w:rPr>
        <w:rFonts w:ascii="GHEA Grapalat" w:eastAsia="Times New Roman" w:hAnsi="GHEA Grapalat" w:cs="Times New Roman"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842E24"/>
    <w:multiLevelType w:val="hybridMultilevel"/>
    <w:tmpl w:val="AE8E1C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B70647"/>
    <w:multiLevelType w:val="hybridMultilevel"/>
    <w:tmpl w:val="F044F36C"/>
    <w:lvl w:ilvl="0" w:tplc="79D8E8D2">
      <w:start w:val="1"/>
      <w:numFmt w:val="decimal"/>
      <w:pStyle w:val="StyleGHEAGrapalatJustifiedBefore12pt"/>
      <w:lvlText w:val="%1."/>
      <w:lvlJc w:val="left"/>
      <w:pPr>
        <w:ind w:left="720" w:hanging="360"/>
      </w:pPr>
    </w:lvl>
    <w:lvl w:ilvl="1" w:tplc="04090019">
      <w:start w:val="1"/>
      <w:numFmt w:val="lowerLetter"/>
      <w:pStyle w:val="KLegalHeading2"/>
      <w:lvlText w:val="%2."/>
      <w:lvlJc w:val="left"/>
      <w:pPr>
        <w:ind w:left="1440" w:hanging="360"/>
      </w:pPr>
    </w:lvl>
    <w:lvl w:ilvl="2" w:tplc="0409001B">
      <w:start w:val="1"/>
      <w:numFmt w:val="lowerRoman"/>
      <w:pStyle w:val="KLegalHeading3"/>
      <w:lvlText w:val="%3."/>
      <w:lvlJc w:val="right"/>
      <w:pPr>
        <w:ind w:left="2160" w:hanging="180"/>
      </w:pPr>
    </w:lvl>
    <w:lvl w:ilvl="3" w:tplc="0409000F">
      <w:start w:val="1"/>
      <w:numFmt w:val="decimal"/>
      <w:pStyle w:val="KLegalHeading4"/>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A07674E"/>
    <w:multiLevelType w:val="hybridMultilevel"/>
    <w:tmpl w:val="D2D6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0B4538"/>
    <w:multiLevelType w:val="hybridMultilevel"/>
    <w:tmpl w:val="65C46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461B8D"/>
    <w:multiLevelType w:val="hybridMultilevel"/>
    <w:tmpl w:val="2F7C06BE"/>
    <w:lvl w:ilvl="0" w:tplc="04090011">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C3328E"/>
    <w:multiLevelType w:val="hybridMultilevel"/>
    <w:tmpl w:val="A34AB9D4"/>
    <w:lvl w:ilvl="0" w:tplc="0409000F">
      <w:start w:val="1"/>
      <w:numFmt w:val="decimal"/>
      <w:lvlText w:val="%1."/>
      <w:lvlJc w:val="left"/>
      <w:pPr>
        <w:ind w:left="1070" w:hanging="360"/>
      </w:pPr>
      <w:rPr>
        <w:strike w:val="0"/>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4" w15:restartNumberingAfterBreak="0">
    <w:nsid w:val="3F4C0DEC"/>
    <w:multiLevelType w:val="hybridMultilevel"/>
    <w:tmpl w:val="9B2C4B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22C49C0"/>
    <w:multiLevelType w:val="hybridMultilevel"/>
    <w:tmpl w:val="3E5CDB08"/>
    <w:lvl w:ilvl="0" w:tplc="78B647A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42A329F3"/>
    <w:multiLevelType w:val="hybridMultilevel"/>
    <w:tmpl w:val="789210FC"/>
    <w:lvl w:ilvl="0" w:tplc="7BF03C28">
      <w:start w:val="1"/>
      <w:numFmt w:val="decimal"/>
      <w:pStyle w:val="StyleGHEAGrapalatJustifiedAfter6ptLinespacingMultip"/>
      <w:lvlText w:val="%1)"/>
      <w:lvlJc w:val="left"/>
      <w:pPr>
        <w:ind w:left="1008" w:hanging="360"/>
      </w:pPr>
    </w:lvl>
    <w:lvl w:ilvl="1" w:tplc="EFE234DE">
      <w:start w:val="7"/>
      <w:numFmt w:val="decimal"/>
      <w:lvlText w:val="%2."/>
      <w:lvlJc w:val="left"/>
      <w:pPr>
        <w:tabs>
          <w:tab w:val="num" w:pos="1728"/>
        </w:tabs>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7" w15:restartNumberingAfterBreak="0">
    <w:nsid w:val="43C765F3"/>
    <w:multiLevelType w:val="hybridMultilevel"/>
    <w:tmpl w:val="6290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3D0A70"/>
    <w:multiLevelType w:val="hybridMultilevel"/>
    <w:tmpl w:val="3984F492"/>
    <w:lvl w:ilvl="0" w:tplc="33047A92">
      <w:start w:val="1"/>
      <w:numFmt w:val="bullet"/>
      <w:pStyle w:val="Bullet1"/>
      <w:lvlText w:val=""/>
      <w:lvlJc w:val="left"/>
      <w:pPr>
        <w:ind w:left="1287" w:hanging="360"/>
      </w:pPr>
      <w:rPr>
        <w:rFonts w:ascii="Symbol" w:hAnsi="Symbol" w:hint="default"/>
      </w:rPr>
    </w:lvl>
    <w:lvl w:ilvl="1" w:tplc="F2682400">
      <w:numFmt w:val="bullet"/>
      <w:lvlText w:val="•"/>
      <w:lvlJc w:val="left"/>
      <w:pPr>
        <w:ind w:left="2007" w:hanging="360"/>
      </w:pPr>
      <w:rPr>
        <w:rFonts w:ascii="GHEA Grapalat" w:eastAsia="Times New Roman" w:hAnsi="GHEA Grapalat" w:cs="Aria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15:restartNumberingAfterBreak="0">
    <w:nsid w:val="4F8F5F2B"/>
    <w:multiLevelType w:val="hybridMultilevel"/>
    <w:tmpl w:val="5A8C44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C17745"/>
    <w:multiLevelType w:val="hybridMultilevel"/>
    <w:tmpl w:val="3BCA215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0A05D30"/>
    <w:multiLevelType w:val="hybridMultilevel"/>
    <w:tmpl w:val="81D69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1154DB5"/>
    <w:multiLevelType w:val="hybridMultilevel"/>
    <w:tmpl w:val="2FC854C2"/>
    <w:lvl w:ilvl="0" w:tplc="16E6CDD0">
      <w:start w:val="1"/>
      <w:numFmt w:val="decimal"/>
      <w:pStyle w:val="Charts"/>
      <w:lvlText w:val="Գծապատկեր %1."/>
      <w:lvlJc w:val="left"/>
      <w:pPr>
        <w:ind w:left="1170" w:hanging="360"/>
      </w:pPr>
      <w:rPr>
        <w:rFonts w:ascii="GHEA Grapalat" w:hAnsi="GHEA Grapalat" w:hint="default"/>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3" w15:restartNumberingAfterBreak="0">
    <w:nsid w:val="523F7908"/>
    <w:multiLevelType w:val="hybridMultilevel"/>
    <w:tmpl w:val="0F9E9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892489"/>
    <w:multiLevelType w:val="multilevel"/>
    <w:tmpl w:val="240C2A08"/>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45" w15:restartNumberingAfterBreak="0">
    <w:nsid w:val="56247228"/>
    <w:multiLevelType w:val="hybridMultilevel"/>
    <w:tmpl w:val="69C88C5A"/>
    <w:lvl w:ilvl="0" w:tplc="04190001">
      <w:numFmt w:val="bullet"/>
      <w:pStyle w:val="BodyText1"/>
      <w:lvlText w:val="-"/>
      <w:lvlJc w:val="left"/>
      <w:pPr>
        <w:tabs>
          <w:tab w:val="num" w:pos="360"/>
        </w:tabs>
        <w:ind w:left="0" w:firstLine="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7E11251"/>
    <w:multiLevelType w:val="hybridMultilevel"/>
    <w:tmpl w:val="40C8AE06"/>
    <w:lvl w:ilvl="0" w:tplc="04090001">
      <w:start w:val="1"/>
      <w:numFmt w:val="bullet"/>
      <w:lvlText w:val=""/>
      <w:lvlJc w:val="left"/>
      <w:pPr>
        <w:ind w:left="19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2A0742"/>
    <w:multiLevelType w:val="hybridMultilevel"/>
    <w:tmpl w:val="5C24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981591"/>
    <w:multiLevelType w:val="hybridMultilevel"/>
    <w:tmpl w:val="09A43E3A"/>
    <w:lvl w:ilvl="0" w:tplc="04190001">
      <w:start w:val="1"/>
      <w:numFmt w:val="bullet"/>
      <w:pStyle w:val="ListDash"/>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904267E"/>
    <w:multiLevelType w:val="hybridMultilevel"/>
    <w:tmpl w:val="59766380"/>
    <w:lvl w:ilvl="0" w:tplc="37A874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9957624"/>
    <w:multiLevelType w:val="hybridMultilevel"/>
    <w:tmpl w:val="28022E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59A42C27"/>
    <w:multiLevelType w:val="hybridMultilevel"/>
    <w:tmpl w:val="4140979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15:restartNumberingAfterBreak="0">
    <w:nsid w:val="5A761E34"/>
    <w:multiLevelType w:val="hybridMultilevel"/>
    <w:tmpl w:val="03C02330"/>
    <w:lvl w:ilvl="0" w:tplc="49D6164E">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3" w15:restartNumberingAfterBreak="0">
    <w:nsid w:val="5B0F2997"/>
    <w:multiLevelType w:val="hybridMultilevel"/>
    <w:tmpl w:val="704E02BE"/>
    <w:lvl w:ilvl="0" w:tplc="8FC4D916">
      <w:start w:val="1"/>
      <w:numFmt w:val="bullet"/>
      <w:pStyle w:val="CM31"/>
      <w:lvlText w:val=""/>
      <w:lvlJc w:val="left"/>
      <w:pPr>
        <w:tabs>
          <w:tab w:val="num" w:pos="1429"/>
        </w:tabs>
        <w:ind w:left="1429" w:hanging="360"/>
      </w:pPr>
      <w:rPr>
        <w:rFonts w:ascii="Symbol" w:hAnsi="Symbol" w:hint="default"/>
      </w:rPr>
    </w:lvl>
    <w:lvl w:ilvl="1" w:tplc="04090019" w:tentative="1">
      <w:start w:val="1"/>
      <w:numFmt w:val="bullet"/>
      <w:lvlText w:val="o"/>
      <w:lvlJc w:val="left"/>
      <w:pPr>
        <w:tabs>
          <w:tab w:val="num" w:pos="2149"/>
        </w:tabs>
        <w:ind w:left="2149" w:hanging="360"/>
      </w:pPr>
      <w:rPr>
        <w:rFonts w:ascii="Courier New" w:hAnsi="Courier New" w:cs="Courier New"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cs="Times New Roman" w:hint="default"/>
      </w:rPr>
    </w:lvl>
    <w:lvl w:ilvl="1">
      <w:start w:val="1"/>
      <w:numFmt w:val="lowerLetter"/>
      <w:lvlText w:val="%2."/>
      <w:lvlJc w:val="left"/>
      <w:pPr>
        <w:tabs>
          <w:tab w:val="num" w:pos="1287"/>
        </w:tabs>
        <w:ind w:left="1287" w:hanging="283"/>
      </w:pPr>
      <w:rPr>
        <w:rFonts w:cs="Times New Roman" w:hint="default"/>
      </w:rPr>
    </w:lvl>
    <w:lvl w:ilvl="2">
      <w:start w:val="1"/>
      <w:numFmt w:val="lowerRoman"/>
      <w:lvlText w:val="%3."/>
      <w:lvlJc w:val="left"/>
      <w:pPr>
        <w:tabs>
          <w:tab w:val="num" w:pos="1571"/>
        </w:tabs>
        <w:ind w:left="1571" w:hanging="284"/>
      </w:pPr>
      <w:rPr>
        <w:rFonts w:cs="Times New Roman" w:hint="default"/>
      </w:rPr>
    </w:lvl>
    <w:lvl w:ilvl="3">
      <w:start w:val="1"/>
      <w:numFmt w:val="none"/>
      <w:lvlText w:val=""/>
      <w:lvlJc w:val="left"/>
      <w:pPr>
        <w:tabs>
          <w:tab w:val="num" w:pos="1571"/>
        </w:tabs>
        <w:ind w:left="1571"/>
      </w:pPr>
      <w:rPr>
        <w:rFonts w:cs="Times New Roman" w:hint="default"/>
      </w:rPr>
    </w:lvl>
    <w:lvl w:ilvl="4">
      <w:start w:val="1"/>
      <w:numFmt w:val="none"/>
      <w:lvlText w:val=""/>
      <w:lvlJc w:val="left"/>
      <w:pPr>
        <w:tabs>
          <w:tab w:val="num" w:pos="1571"/>
        </w:tabs>
        <w:ind w:left="1571"/>
      </w:pPr>
      <w:rPr>
        <w:rFonts w:cs="Times New Roman" w:hint="default"/>
      </w:rPr>
    </w:lvl>
    <w:lvl w:ilvl="5">
      <w:start w:val="1"/>
      <w:numFmt w:val="none"/>
      <w:lvlText w:val=""/>
      <w:lvlJc w:val="left"/>
      <w:pPr>
        <w:tabs>
          <w:tab w:val="num" w:pos="1571"/>
        </w:tabs>
        <w:ind w:left="1571"/>
      </w:pPr>
      <w:rPr>
        <w:rFonts w:cs="Times New Roman" w:hint="default"/>
      </w:rPr>
    </w:lvl>
    <w:lvl w:ilvl="6">
      <w:start w:val="1"/>
      <w:numFmt w:val="none"/>
      <w:lvlText w:val=""/>
      <w:lvlJc w:val="left"/>
      <w:pPr>
        <w:tabs>
          <w:tab w:val="num" w:pos="1571"/>
        </w:tabs>
        <w:ind w:left="1571"/>
      </w:pPr>
      <w:rPr>
        <w:rFonts w:cs="Times New Roman" w:hint="default"/>
      </w:rPr>
    </w:lvl>
    <w:lvl w:ilvl="7">
      <w:start w:val="1"/>
      <w:numFmt w:val="none"/>
      <w:lvlText w:val=""/>
      <w:lvlJc w:val="left"/>
      <w:pPr>
        <w:tabs>
          <w:tab w:val="num" w:pos="1571"/>
        </w:tabs>
        <w:ind w:left="1571"/>
      </w:pPr>
      <w:rPr>
        <w:rFonts w:cs="Times New Roman" w:hint="default"/>
      </w:rPr>
    </w:lvl>
    <w:lvl w:ilvl="8">
      <w:start w:val="1"/>
      <w:numFmt w:val="none"/>
      <w:lvlRestart w:val="0"/>
      <w:lvlText w:val=""/>
      <w:lvlJc w:val="left"/>
      <w:pPr>
        <w:tabs>
          <w:tab w:val="num" w:pos="1571"/>
        </w:tabs>
        <w:ind w:left="1571"/>
      </w:pPr>
      <w:rPr>
        <w:rFonts w:cs="Times New Roman" w:hint="default"/>
      </w:rPr>
    </w:lvl>
  </w:abstractNum>
  <w:abstractNum w:abstractNumId="55" w15:restartNumberingAfterBreak="0">
    <w:nsid w:val="5DB7045E"/>
    <w:multiLevelType w:val="hybridMultilevel"/>
    <w:tmpl w:val="90A82254"/>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56" w15:restartNumberingAfterBreak="0">
    <w:nsid w:val="5DF95BF5"/>
    <w:multiLevelType w:val="hybridMultilevel"/>
    <w:tmpl w:val="A50C6106"/>
    <w:lvl w:ilvl="0" w:tplc="B57E5448">
      <w:numFmt w:val="bullet"/>
      <w:lvlText w:val="-"/>
      <w:lvlJc w:val="left"/>
      <w:pPr>
        <w:ind w:left="1170" w:hanging="360"/>
      </w:pPr>
      <w:rPr>
        <w:rFonts w:ascii="GHEA Grapalat" w:eastAsiaTheme="minorHAnsi" w:hAnsi="GHEA Grapalat" w:cs="Sylfaen"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57" w15:restartNumberingAfterBreak="0">
    <w:nsid w:val="5EB916B2"/>
    <w:multiLevelType w:val="hybridMultilevel"/>
    <w:tmpl w:val="7DF0CBB2"/>
    <w:lvl w:ilvl="0" w:tplc="04090001">
      <w:start w:val="1"/>
      <w:numFmt w:val="bullet"/>
      <w:lvlText w:val=""/>
      <w:lvlJc w:val="left"/>
      <w:pPr>
        <w:ind w:left="720" w:hanging="360"/>
      </w:pPr>
      <w:rPr>
        <w:rFonts w:ascii="Symbol" w:hAnsi="Symbol"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EB7284"/>
    <w:multiLevelType w:val="hybridMultilevel"/>
    <w:tmpl w:val="97C87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171044"/>
    <w:multiLevelType w:val="hybridMultilevel"/>
    <w:tmpl w:val="7A905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49E436A"/>
    <w:multiLevelType w:val="hybridMultilevel"/>
    <w:tmpl w:val="51B28F1A"/>
    <w:lvl w:ilvl="0" w:tplc="78B647A6">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61" w15:restartNumberingAfterBreak="0">
    <w:nsid w:val="658D1367"/>
    <w:multiLevelType w:val="hybridMultilevel"/>
    <w:tmpl w:val="87FEA1AA"/>
    <w:lvl w:ilvl="0" w:tplc="A588E60C">
      <w:start w:val="1"/>
      <w:numFmt w:val="decimal"/>
      <w:pStyle w:val="Tables"/>
      <w:lvlText w:val="Աղյուսակ %1."/>
      <w:lvlJc w:val="left"/>
      <w:pPr>
        <w:ind w:left="1710" w:hanging="360"/>
      </w:pPr>
      <w:rPr>
        <w:rFonts w:ascii="GHEA Grapalat" w:hAnsi="GHEA Grapalat" w:hint="default"/>
        <w:b/>
        <w:i w:val="0"/>
        <w:sz w:val="22"/>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2" w15:restartNumberingAfterBreak="0">
    <w:nsid w:val="69215923"/>
    <w:multiLevelType w:val="hybridMultilevel"/>
    <w:tmpl w:val="9E92D408"/>
    <w:lvl w:ilvl="0" w:tplc="FFFFFFFF">
      <w:start w:val="110"/>
      <w:numFmt w:val="bullet"/>
      <w:pStyle w:val="PlainText"/>
      <w:lvlText w:val="-"/>
      <w:lvlJc w:val="left"/>
      <w:pPr>
        <w:tabs>
          <w:tab w:val="num" w:pos="540"/>
        </w:tabs>
        <w:ind w:left="540" w:hanging="360"/>
      </w:pPr>
      <w:rPr>
        <w:rFonts w:ascii="Times Armenian" w:eastAsia="Times New Roman" w:hAnsi="Times Armeni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ABB4524"/>
    <w:multiLevelType w:val="hybridMultilevel"/>
    <w:tmpl w:val="831688D4"/>
    <w:lvl w:ilvl="0" w:tplc="0419000F">
      <w:start w:val="1"/>
      <w:numFmt w:val="bullet"/>
      <w:pStyle w:val="StyleHeading2ParanumTextLef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BE04110"/>
    <w:multiLevelType w:val="hybridMultilevel"/>
    <w:tmpl w:val="7F80D9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BE86F86"/>
    <w:multiLevelType w:val="hybridMultilevel"/>
    <w:tmpl w:val="7C38DE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6DF945E1"/>
    <w:multiLevelType w:val="hybridMultilevel"/>
    <w:tmpl w:val="3FEA7236"/>
    <w:lvl w:ilvl="0" w:tplc="5ED8FEF2">
      <w:start w:val="1"/>
      <w:numFmt w:val="bullet"/>
      <w:pStyle w:val="ListBullet2"/>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0B46C5B"/>
    <w:multiLevelType w:val="hybridMultilevel"/>
    <w:tmpl w:val="E46A4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6D474B3"/>
    <w:multiLevelType w:val="hybridMultilevel"/>
    <w:tmpl w:val="13028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042C27"/>
    <w:multiLevelType w:val="hybridMultilevel"/>
    <w:tmpl w:val="1F30DB82"/>
    <w:lvl w:ilvl="0" w:tplc="0A5229AC">
      <w:start w:val="1"/>
      <w:numFmt w:val="decimal"/>
      <w:pStyle w:val="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A6427FB"/>
    <w:multiLevelType w:val="hybridMultilevel"/>
    <w:tmpl w:val="1A44030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1" w15:restartNumberingAfterBreak="0">
    <w:nsid w:val="7AA55D17"/>
    <w:multiLevelType w:val="hybridMultilevel"/>
    <w:tmpl w:val="E700770C"/>
    <w:lvl w:ilvl="0" w:tplc="48B8526C">
      <w:start w:val="2024"/>
      <w:numFmt w:val="bullet"/>
      <w:lvlText w:val="-"/>
      <w:lvlJc w:val="left"/>
      <w:pPr>
        <w:ind w:left="1146" w:hanging="360"/>
      </w:pPr>
      <w:rPr>
        <w:rFonts w:ascii="GHEA Grapalat" w:eastAsia="Times New Roman" w:hAnsi="GHEA Grapalat"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2" w15:restartNumberingAfterBreak="0">
    <w:nsid w:val="7BD85B81"/>
    <w:multiLevelType w:val="hybridMultilevel"/>
    <w:tmpl w:val="3DC4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E6A78B5"/>
    <w:multiLevelType w:val="hybridMultilevel"/>
    <w:tmpl w:val="27C63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F775933"/>
    <w:multiLevelType w:val="hybridMultilevel"/>
    <w:tmpl w:val="A78ACD00"/>
    <w:lvl w:ilvl="0" w:tplc="78B647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6"/>
  </w:num>
  <w:num w:numId="3">
    <w:abstractNumId w:val="69"/>
  </w:num>
  <w:num w:numId="4">
    <w:abstractNumId w:val="63"/>
  </w:num>
  <w:num w:numId="5">
    <w:abstractNumId w:val="53"/>
  </w:num>
  <w:num w:numId="6">
    <w:abstractNumId w:val="48"/>
  </w:num>
  <w:num w:numId="7">
    <w:abstractNumId w:val="45"/>
  </w:num>
  <w:num w:numId="8">
    <w:abstractNumId w:val="1"/>
  </w:num>
  <w:num w:numId="9">
    <w:abstractNumId w:val="0"/>
  </w:num>
  <w:num w:numId="10">
    <w:abstractNumId w:val="54"/>
  </w:num>
  <w:num w:numId="11">
    <w:abstractNumId w:val="36"/>
  </w:num>
  <w:num w:numId="12">
    <w:abstractNumId w:val="62"/>
  </w:num>
  <w:num w:numId="13">
    <w:abstractNumId w:val="38"/>
  </w:num>
  <w:num w:numId="14">
    <w:abstractNumId w:val="37"/>
  </w:num>
  <w:num w:numId="15">
    <w:abstractNumId w:val="15"/>
  </w:num>
  <w:num w:numId="16">
    <w:abstractNumId w:val="61"/>
  </w:num>
  <w:num w:numId="17">
    <w:abstractNumId w:val="42"/>
  </w:num>
  <w:num w:numId="18">
    <w:abstractNumId w:val="14"/>
  </w:num>
  <w:num w:numId="19">
    <w:abstractNumId w:val="47"/>
  </w:num>
  <w:num w:numId="20">
    <w:abstractNumId w:val="19"/>
  </w:num>
  <w:num w:numId="21">
    <w:abstractNumId w:val="60"/>
  </w:num>
  <w:num w:numId="22">
    <w:abstractNumId w:val="52"/>
  </w:num>
  <w:num w:numId="23">
    <w:abstractNumId w:val="10"/>
  </w:num>
  <w:num w:numId="24">
    <w:abstractNumId w:val="59"/>
  </w:num>
  <w:num w:numId="25">
    <w:abstractNumId w:val="30"/>
  </w:num>
  <w:num w:numId="26">
    <w:abstractNumId w:val="33"/>
  </w:num>
  <w:num w:numId="27">
    <w:abstractNumId w:val="25"/>
  </w:num>
  <w:num w:numId="28">
    <w:abstractNumId w:val="51"/>
  </w:num>
  <w:num w:numId="29">
    <w:abstractNumId w:val="11"/>
  </w:num>
  <w:num w:numId="30">
    <w:abstractNumId w:val="3"/>
  </w:num>
  <w:num w:numId="31">
    <w:abstractNumId w:val="20"/>
  </w:num>
  <w:num w:numId="32">
    <w:abstractNumId w:val="67"/>
  </w:num>
  <w:num w:numId="33">
    <w:abstractNumId w:val="68"/>
  </w:num>
  <w:num w:numId="34">
    <w:abstractNumId w:val="57"/>
  </w:num>
  <w:num w:numId="35">
    <w:abstractNumId w:val="44"/>
  </w:num>
  <w:num w:numId="36">
    <w:abstractNumId w:val="4"/>
  </w:num>
  <w:num w:numId="37">
    <w:abstractNumId w:val="7"/>
  </w:num>
  <w:num w:numId="38">
    <w:abstractNumId w:val="17"/>
  </w:num>
  <w:num w:numId="39">
    <w:abstractNumId w:val="56"/>
  </w:num>
  <w:num w:numId="40">
    <w:abstractNumId w:val="70"/>
  </w:num>
  <w:num w:numId="41">
    <w:abstractNumId w:val="46"/>
  </w:num>
  <w:num w:numId="42">
    <w:abstractNumId w:val="24"/>
  </w:num>
  <w:num w:numId="43">
    <w:abstractNumId w:val="13"/>
  </w:num>
  <w:num w:numId="44">
    <w:abstractNumId w:val="27"/>
  </w:num>
  <w:num w:numId="45">
    <w:abstractNumId w:val="8"/>
  </w:num>
  <w:num w:numId="46">
    <w:abstractNumId w:val="49"/>
  </w:num>
  <w:num w:numId="47">
    <w:abstractNumId w:val="32"/>
  </w:num>
  <w:num w:numId="48">
    <w:abstractNumId w:val="50"/>
  </w:num>
  <w:num w:numId="49">
    <w:abstractNumId w:val="5"/>
  </w:num>
  <w:num w:numId="50">
    <w:abstractNumId w:val="64"/>
  </w:num>
  <w:num w:numId="51">
    <w:abstractNumId w:val="9"/>
  </w:num>
  <w:num w:numId="52">
    <w:abstractNumId w:val="26"/>
  </w:num>
  <w:num w:numId="53">
    <w:abstractNumId w:val="55"/>
  </w:num>
  <w:num w:numId="54">
    <w:abstractNumId w:val="22"/>
  </w:num>
  <w:num w:numId="55">
    <w:abstractNumId w:val="41"/>
  </w:num>
  <w:num w:numId="56">
    <w:abstractNumId w:val="71"/>
  </w:num>
  <w:num w:numId="57">
    <w:abstractNumId w:val="34"/>
  </w:num>
  <w:num w:numId="58">
    <w:abstractNumId w:val="65"/>
  </w:num>
  <w:num w:numId="59">
    <w:abstractNumId w:val="39"/>
  </w:num>
  <w:num w:numId="60">
    <w:abstractNumId w:val="73"/>
  </w:num>
  <w:num w:numId="61">
    <w:abstractNumId w:val="12"/>
  </w:num>
  <w:num w:numId="62">
    <w:abstractNumId w:val="2"/>
  </w:num>
  <w:num w:numId="63">
    <w:abstractNumId w:val="58"/>
  </w:num>
  <w:num w:numId="64">
    <w:abstractNumId w:val="31"/>
  </w:num>
  <w:num w:numId="65">
    <w:abstractNumId w:val="40"/>
  </w:num>
  <w:num w:numId="66">
    <w:abstractNumId w:val="35"/>
  </w:num>
  <w:num w:numId="67">
    <w:abstractNumId w:val="74"/>
  </w:num>
  <w:num w:numId="68">
    <w:abstractNumId w:val="28"/>
  </w:num>
  <w:num w:numId="69">
    <w:abstractNumId w:val="6"/>
  </w:num>
  <w:num w:numId="70">
    <w:abstractNumId w:val="18"/>
  </w:num>
  <w:num w:numId="71">
    <w:abstractNumId w:val="21"/>
  </w:num>
  <w:num w:numId="72">
    <w:abstractNumId w:val="43"/>
  </w:num>
  <w:num w:numId="73">
    <w:abstractNumId w:val="72"/>
  </w:num>
  <w:num w:numId="74">
    <w:abstractNumId w:val="1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fr-FR"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en-PH" w:vendorID="64" w:dllVersion="6" w:nlCheck="1" w:checkStyle="1"/>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712"/>
    <w:rsid w:val="00000C04"/>
    <w:rsid w:val="00000E2D"/>
    <w:rsid w:val="0000131E"/>
    <w:rsid w:val="00001792"/>
    <w:rsid w:val="00001B7F"/>
    <w:rsid w:val="00001D60"/>
    <w:rsid w:val="00001EB0"/>
    <w:rsid w:val="00002163"/>
    <w:rsid w:val="00002289"/>
    <w:rsid w:val="0000241B"/>
    <w:rsid w:val="00002BFC"/>
    <w:rsid w:val="000030DA"/>
    <w:rsid w:val="00003327"/>
    <w:rsid w:val="00003812"/>
    <w:rsid w:val="00003D9B"/>
    <w:rsid w:val="000045D9"/>
    <w:rsid w:val="00004807"/>
    <w:rsid w:val="000048AC"/>
    <w:rsid w:val="00004A4C"/>
    <w:rsid w:val="00004B36"/>
    <w:rsid w:val="00004B4A"/>
    <w:rsid w:val="000056C3"/>
    <w:rsid w:val="00005BEA"/>
    <w:rsid w:val="00005DA7"/>
    <w:rsid w:val="00006265"/>
    <w:rsid w:val="000068F4"/>
    <w:rsid w:val="00006BCE"/>
    <w:rsid w:val="00006FF5"/>
    <w:rsid w:val="0000757E"/>
    <w:rsid w:val="000076AD"/>
    <w:rsid w:val="0000784F"/>
    <w:rsid w:val="0000787C"/>
    <w:rsid w:val="00007A08"/>
    <w:rsid w:val="00007BB6"/>
    <w:rsid w:val="000102B4"/>
    <w:rsid w:val="00010660"/>
    <w:rsid w:val="000108DE"/>
    <w:rsid w:val="00010C9F"/>
    <w:rsid w:val="0001133C"/>
    <w:rsid w:val="00011747"/>
    <w:rsid w:val="00011C4D"/>
    <w:rsid w:val="00011E49"/>
    <w:rsid w:val="00012290"/>
    <w:rsid w:val="000123D5"/>
    <w:rsid w:val="0001311A"/>
    <w:rsid w:val="0001324E"/>
    <w:rsid w:val="00013413"/>
    <w:rsid w:val="00013809"/>
    <w:rsid w:val="000139F0"/>
    <w:rsid w:val="00013DB1"/>
    <w:rsid w:val="00013F46"/>
    <w:rsid w:val="0001449F"/>
    <w:rsid w:val="000144D6"/>
    <w:rsid w:val="000147A7"/>
    <w:rsid w:val="000147B9"/>
    <w:rsid w:val="000148FC"/>
    <w:rsid w:val="00014A35"/>
    <w:rsid w:val="00014FD2"/>
    <w:rsid w:val="00015416"/>
    <w:rsid w:val="00015655"/>
    <w:rsid w:val="00015B69"/>
    <w:rsid w:val="00015BFA"/>
    <w:rsid w:val="0001623D"/>
    <w:rsid w:val="000163F7"/>
    <w:rsid w:val="00016731"/>
    <w:rsid w:val="000169D1"/>
    <w:rsid w:val="00016AEC"/>
    <w:rsid w:val="000173AD"/>
    <w:rsid w:val="0001753D"/>
    <w:rsid w:val="000177C6"/>
    <w:rsid w:val="0002016C"/>
    <w:rsid w:val="00020693"/>
    <w:rsid w:val="00020CD6"/>
    <w:rsid w:val="00020E3C"/>
    <w:rsid w:val="0002109A"/>
    <w:rsid w:val="00021391"/>
    <w:rsid w:val="000213D2"/>
    <w:rsid w:val="0002170C"/>
    <w:rsid w:val="000220DA"/>
    <w:rsid w:val="00022603"/>
    <w:rsid w:val="00023171"/>
    <w:rsid w:val="00023246"/>
    <w:rsid w:val="0002346F"/>
    <w:rsid w:val="0002358C"/>
    <w:rsid w:val="0002364A"/>
    <w:rsid w:val="00023799"/>
    <w:rsid w:val="000237F2"/>
    <w:rsid w:val="00023911"/>
    <w:rsid w:val="000243EB"/>
    <w:rsid w:val="000243F4"/>
    <w:rsid w:val="00024F24"/>
    <w:rsid w:val="000252EA"/>
    <w:rsid w:val="0002572A"/>
    <w:rsid w:val="000257D7"/>
    <w:rsid w:val="00025871"/>
    <w:rsid w:val="00025BE2"/>
    <w:rsid w:val="00025DF2"/>
    <w:rsid w:val="00025E82"/>
    <w:rsid w:val="000266F4"/>
    <w:rsid w:val="00026AFA"/>
    <w:rsid w:val="0002700E"/>
    <w:rsid w:val="000271C2"/>
    <w:rsid w:val="00027FBF"/>
    <w:rsid w:val="00030161"/>
    <w:rsid w:val="00030424"/>
    <w:rsid w:val="00030DB1"/>
    <w:rsid w:val="0003153D"/>
    <w:rsid w:val="00031D3A"/>
    <w:rsid w:val="000321E8"/>
    <w:rsid w:val="000322A5"/>
    <w:rsid w:val="00032581"/>
    <w:rsid w:val="00032B9B"/>
    <w:rsid w:val="00033356"/>
    <w:rsid w:val="00033370"/>
    <w:rsid w:val="00033572"/>
    <w:rsid w:val="00033587"/>
    <w:rsid w:val="0003375D"/>
    <w:rsid w:val="00033984"/>
    <w:rsid w:val="00033C8B"/>
    <w:rsid w:val="00033D44"/>
    <w:rsid w:val="0003413E"/>
    <w:rsid w:val="00034178"/>
    <w:rsid w:val="00034648"/>
    <w:rsid w:val="000346B3"/>
    <w:rsid w:val="000347CE"/>
    <w:rsid w:val="000347E3"/>
    <w:rsid w:val="00034A9D"/>
    <w:rsid w:val="0003558C"/>
    <w:rsid w:val="000355C9"/>
    <w:rsid w:val="00035D1C"/>
    <w:rsid w:val="0003612A"/>
    <w:rsid w:val="0003683A"/>
    <w:rsid w:val="00036E13"/>
    <w:rsid w:val="00037081"/>
    <w:rsid w:val="000371D5"/>
    <w:rsid w:val="000372BA"/>
    <w:rsid w:val="00037AB5"/>
    <w:rsid w:val="00037AFC"/>
    <w:rsid w:val="00037B1F"/>
    <w:rsid w:val="00037D17"/>
    <w:rsid w:val="00037F8A"/>
    <w:rsid w:val="00040371"/>
    <w:rsid w:val="000410F9"/>
    <w:rsid w:val="000414CA"/>
    <w:rsid w:val="000414CC"/>
    <w:rsid w:val="00041F9E"/>
    <w:rsid w:val="00042787"/>
    <w:rsid w:val="000427F7"/>
    <w:rsid w:val="00042B2E"/>
    <w:rsid w:val="00042C07"/>
    <w:rsid w:val="00042CD9"/>
    <w:rsid w:val="00042D9E"/>
    <w:rsid w:val="00043388"/>
    <w:rsid w:val="00043421"/>
    <w:rsid w:val="000434B1"/>
    <w:rsid w:val="00043E90"/>
    <w:rsid w:val="00043F36"/>
    <w:rsid w:val="000440A3"/>
    <w:rsid w:val="0004480B"/>
    <w:rsid w:val="00045E3A"/>
    <w:rsid w:val="0004603A"/>
    <w:rsid w:val="0004655D"/>
    <w:rsid w:val="000466B1"/>
    <w:rsid w:val="00046959"/>
    <w:rsid w:val="000473D4"/>
    <w:rsid w:val="00047B46"/>
    <w:rsid w:val="00047C7F"/>
    <w:rsid w:val="00047E4C"/>
    <w:rsid w:val="000500D2"/>
    <w:rsid w:val="000501A7"/>
    <w:rsid w:val="000501C2"/>
    <w:rsid w:val="000505B4"/>
    <w:rsid w:val="00050EFF"/>
    <w:rsid w:val="000515D9"/>
    <w:rsid w:val="000516CC"/>
    <w:rsid w:val="0005176E"/>
    <w:rsid w:val="0005179C"/>
    <w:rsid w:val="000520D0"/>
    <w:rsid w:val="00052380"/>
    <w:rsid w:val="0005274F"/>
    <w:rsid w:val="00052C8D"/>
    <w:rsid w:val="00052F87"/>
    <w:rsid w:val="00053116"/>
    <w:rsid w:val="00053709"/>
    <w:rsid w:val="00053CF6"/>
    <w:rsid w:val="0005404C"/>
    <w:rsid w:val="000540D6"/>
    <w:rsid w:val="0005461A"/>
    <w:rsid w:val="00054D48"/>
    <w:rsid w:val="00055783"/>
    <w:rsid w:val="00055F53"/>
    <w:rsid w:val="00056009"/>
    <w:rsid w:val="00056182"/>
    <w:rsid w:val="0005665D"/>
    <w:rsid w:val="00056866"/>
    <w:rsid w:val="00056F87"/>
    <w:rsid w:val="000572A2"/>
    <w:rsid w:val="000573ED"/>
    <w:rsid w:val="00057632"/>
    <w:rsid w:val="0005780F"/>
    <w:rsid w:val="00057BA9"/>
    <w:rsid w:val="000601EE"/>
    <w:rsid w:val="00060470"/>
    <w:rsid w:val="0006050F"/>
    <w:rsid w:val="00061422"/>
    <w:rsid w:val="000616C1"/>
    <w:rsid w:val="0006181E"/>
    <w:rsid w:val="00061877"/>
    <w:rsid w:val="0006190C"/>
    <w:rsid w:val="00061BFA"/>
    <w:rsid w:val="00061E00"/>
    <w:rsid w:val="00061EB6"/>
    <w:rsid w:val="000621D1"/>
    <w:rsid w:val="000630C0"/>
    <w:rsid w:val="00063142"/>
    <w:rsid w:val="00063485"/>
    <w:rsid w:val="000635F8"/>
    <w:rsid w:val="00063D12"/>
    <w:rsid w:val="00063F7A"/>
    <w:rsid w:val="000648E7"/>
    <w:rsid w:val="000652C0"/>
    <w:rsid w:val="0006559C"/>
    <w:rsid w:val="000656F0"/>
    <w:rsid w:val="00065E90"/>
    <w:rsid w:val="00066B40"/>
    <w:rsid w:val="0006727C"/>
    <w:rsid w:val="00067311"/>
    <w:rsid w:val="000674A2"/>
    <w:rsid w:val="0006757C"/>
    <w:rsid w:val="000707D9"/>
    <w:rsid w:val="00070CAE"/>
    <w:rsid w:val="00070FC3"/>
    <w:rsid w:val="0007137A"/>
    <w:rsid w:val="000715B2"/>
    <w:rsid w:val="0007188C"/>
    <w:rsid w:val="00071A75"/>
    <w:rsid w:val="00071C2A"/>
    <w:rsid w:val="000725F0"/>
    <w:rsid w:val="00072BEF"/>
    <w:rsid w:val="00072C98"/>
    <w:rsid w:val="000731F7"/>
    <w:rsid w:val="000739AC"/>
    <w:rsid w:val="00073A85"/>
    <w:rsid w:val="00073EE2"/>
    <w:rsid w:val="0007423A"/>
    <w:rsid w:val="00074D79"/>
    <w:rsid w:val="00074F9B"/>
    <w:rsid w:val="00075040"/>
    <w:rsid w:val="000750BE"/>
    <w:rsid w:val="00075431"/>
    <w:rsid w:val="000760B6"/>
    <w:rsid w:val="000761B0"/>
    <w:rsid w:val="0007665D"/>
    <w:rsid w:val="0007672E"/>
    <w:rsid w:val="00076CE9"/>
    <w:rsid w:val="00076FEA"/>
    <w:rsid w:val="000771B3"/>
    <w:rsid w:val="000776D9"/>
    <w:rsid w:val="000777B6"/>
    <w:rsid w:val="000777E1"/>
    <w:rsid w:val="00080951"/>
    <w:rsid w:val="00080FF0"/>
    <w:rsid w:val="00081260"/>
    <w:rsid w:val="000813B9"/>
    <w:rsid w:val="00081BF0"/>
    <w:rsid w:val="00082071"/>
    <w:rsid w:val="00082280"/>
    <w:rsid w:val="000822AA"/>
    <w:rsid w:val="000825DA"/>
    <w:rsid w:val="00082A04"/>
    <w:rsid w:val="00083152"/>
    <w:rsid w:val="000834DF"/>
    <w:rsid w:val="000836FC"/>
    <w:rsid w:val="000838D8"/>
    <w:rsid w:val="00083C3E"/>
    <w:rsid w:val="00083F38"/>
    <w:rsid w:val="00083F9C"/>
    <w:rsid w:val="00084A46"/>
    <w:rsid w:val="00085490"/>
    <w:rsid w:val="00085674"/>
    <w:rsid w:val="00085A0D"/>
    <w:rsid w:val="00085C56"/>
    <w:rsid w:val="00085D43"/>
    <w:rsid w:val="0008602E"/>
    <w:rsid w:val="000864E5"/>
    <w:rsid w:val="00086994"/>
    <w:rsid w:val="00086B99"/>
    <w:rsid w:val="00086E52"/>
    <w:rsid w:val="00086F85"/>
    <w:rsid w:val="000873BC"/>
    <w:rsid w:val="00087A4B"/>
    <w:rsid w:val="00087BCF"/>
    <w:rsid w:val="00087CB3"/>
    <w:rsid w:val="00087E63"/>
    <w:rsid w:val="000901E7"/>
    <w:rsid w:val="000902F4"/>
    <w:rsid w:val="000904DB"/>
    <w:rsid w:val="00090937"/>
    <w:rsid w:val="00090D23"/>
    <w:rsid w:val="00090E74"/>
    <w:rsid w:val="00091448"/>
    <w:rsid w:val="000915B0"/>
    <w:rsid w:val="00091973"/>
    <w:rsid w:val="00091F97"/>
    <w:rsid w:val="0009242E"/>
    <w:rsid w:val="00092701"/>
    <w:rsid w:val="0009272D"/>
    <w:rsid w:val="00092C8E"/>
    <w:rsid w:val="000930EC"/>
    <w:rsid w:val="00093193"/>
    <w:rsid w:val="0009342F"/>
    <w:rsid w:val="00093B3A"/>
    <w:rsid w:val="00093B64"/>
    <w:rsid w:val="00093BE6"/>
    <w:rsid w:val="00094160"/>
    <w:rsid w:val="00094711"/>
    <w:rsid w:val="00095686"/>
    <w:rsid w:val="00095699"/>
    <w:rsid w:val="000956EC"/>
    <w:rsid w:val="000957ED"/>
    <w:rsid w:val="00095F7E"/>
    <w:rsid w:val="00096AEA"/>
    <w:rsid w:val="00096B34"/>
    <w:rsid w:val="00097368"/>
    <w:rsid w:val="00097DA7"/>
    <w:rsid w:val="000A00B0"/>
    <w:rsid w:val="000A04D5"/>
    <w:rsid w:val="000A04E6"/>
    <w:rsid w:val="000A0FD9"/>
    <w:rsid w:val="000A10A8"/>
    <w:rsid w:val="000A1112"/>
    <w:rsid w:val="000A12D0"/>
    <w:rsid w:val="000A16DA"/>
    <w:rsid w:val="000A1ACB"/>
    <w:rsid w:val="000A1ED4"/>
    <w:rsid w:val="000A24F1"/>
    <w:rsid w:val="000A2D88"/>
    <w:rsid w:val="000A2F61"/>
    <w:rsid w:val="000A311D"/>
    <w:rsid w:val="000A357A"/>
    <w:rsid w:val="000A40F8"/>
    <w:rsid w:val="000A452F"/>
    <w:rsid w:val="000A48B4"/>
    <w:rsid w:val="000A48F4"/>
    <w:rsid w:val="000A4CA2"/>
    <w:rsid w:val="000A4ED8"/>
    <w:rsid w:val="000A590C"/>
    <w:rsid w:val="000A5CC9"/>
    <w:rsid w:val="000A5D25"/>
    <w:rsid w:val="000A5F92"/>
    <w:rsid w:val="000A601C"/>
    <w:rsid w:val="000A61AD"/>
    <w:rsid w:val="000A6BA3"/>
    <w:rsid w:val="000A7082"/>
    <w:rsid w:val="000A71E3"/>
    <w:rsid w:val="000A724B"/>
    <w:rsid w:val="000A7435"/>
    <w:rsid w:val="000A7B14"/>
    <w:rsid w:val="000A7D65"/>
    <w:rsid w:val="000B003A"/>
    <w:rsid w:val="000B0108"/>
    <w:rsid w:val="000B0278"/>
    <w:rsid w:val="000B0329"/>
    <w:rsid w:val="000B03B5"/>
    <w:rsid w:val="000B0C32"/>
    <w:rsid w:val="000B0FAC"/>
    <w:rsid w:val="000B158C"/>
    <w:rsid w:val="000B15F2"/>
    <w:rsid w:val="000B25DD"/>
    <w:rsid w:val="000B289D"/>
    <w:rsid w:val="000B3179"/>
    <w:rsid w:val="000B32C2"/>
    <w:rsid w:val="000B3300"/>
    <w:rsid w:val="000B3E21"/>
    <w:rsid w:val="000B3F74"/>
    <w:rsid w:val="000B4927"/>
    <w:rsid w:val="000B4BCE"/>
    <w:rsid w:val="000B509C"/>
    <w:rsid w:val="000B52C3"/>
    <w:rsid w:val="000B58F0"/>
    <w:rsid w:val="000B5CD7"/>
    <w:rsid w:val="000B5DB4"/>
    <w:rsid w:val="000B6107"/>
    <w:rsid w:val="000B63EA"/>
    <w:rsid w:val="000B6441"/>
    <w:rsid w:val="000B65F1"/>
    <w:rsid w:val="000B6D9D"/>
    <w:rsid w:val="000B75BE"/>
    <w:rsid w:val="000B794F"/>
    <w:rsid w:val="000B7FF5"/>
    <w:rsid w:val="000C0823"/>
    <w:rsid w:val="000C08F1"/>
    <w:rsid w:val="000C09D2"/>
    <w:rsid w:val="000C17D5"/>
    <w:rsid w:val="000C192F"/>
    <w:rsid w:val="000C1D88"/>
    <w:rsid w:val="000C2585"/>
    <w:rsid w:val="000C298C"/>
    <w:rsid w:val="000C2B0B"/>
    <w:rsid w:val="000C2B15"/>
    <w:rsid w:val="000C2DB0"/>
    <w:rsid w:val="000C2E00"/>
    <w:rsid w:val="000C2FAA"/>
    <w:rsid w:val="000C3320"/>
    <w:rsid w:val="000C3FE3"/>
    <w:rsid w:val="000C41A9"/>
    <w:rsid w:val="000C4318"/>
    <w:rsid w:val="000C45CA"/>
    <w:rsid w:val="000C4759"/>
    <w:rsid w:val="000C48F0"/>
    <w:rsid w:val="000C4DD5"/>
    <w:rsid w:val="000C52B6"/>
    <w:rsid w:val="000C59A3"/>
    <w:rsid w:val="000C5B3C"/>
    <w:rsid w:val="000C5EB8"/>
    <w:rsid w:val="000C6882"/>
    <w:rsid w:val="000C6AA3"/>
    <w:rsid w:val="000C6B4C"/>
    <w:rsid w:val="000C6C6A"/>
    <w:rsid w:val="000C6F33"/>
    <w:rsid w:val="000C70BB"/>
    <w:rsid w:val="000C7250"/>
    <w:rsid w:val="000C75CA"/>
    <w:rsid w:val="000D0270"/>
    <w:rsid w:val="000D0B4B"/>
    <w:rsid w:val="000D0C18"/>
    <w:rsid w:val="000D0D59"/>
    <w:rsid w:val="000D1829"/>
    <w:rsid w:val="000D18CE"/>
    <w:rsid w:val="000D1CA7"/>
    <w:rsid w:val="000D1FAE"/>
    <w:rsid w:val="000D2248"/>
    <w:rsid w:val="000D242E"/>
    <w:rsid w:val="000D289E"/>
    <w:rsid w:val="000D2FDF"/>
    <w:rsid w:val="000D36C9"/>
    <w:rsid w:val="000D3DE3"/>
    <w:rsid w:val="000D4082"/>
    <w:rsid w:val="000D427D"/>
    <w:rsid w:val="000D4925"/>
    <w:rsid w:val="000D492A"/>
    <w:rsid w:val="000D4B3C"/>
    <w:rsid w:val="000D529E"/>
    <w:rsid w:val="000D57AF"/>
    <w:rsid w:val="000D57C2"/>
    <w:rsid w:val="000D5FF3"/>
    <w:rsid w:val="000D6082"/>
    <w:rsid w:val="000D6631"/>
    <w:rsid w:val="000D6650"/>
    <w:rsid w:val="000D6A06"/>
    <w:rsid w:val="000E01FF"/>
    <w:rsid w:val="000E047D"/>
    <w:rsid w:val="000E11D7"/>
    <w:rsid w:val="000E124F"/>
    <w:rsid w:val="000E1796"/>
    <w:rsid w:val="000E1ACF"/>
    <w:rsid w:val="000E1B09"/>
    <w:rsid w:val="000E266A"/>
    <w:rsid w:val="000E2AFD"/>
    <w:rsid w:val="000E2B8D"/>
    <w:rsid w:val="000E2C2E"/>
    <w:rsid w:val="000E2C52"/>
    <w:rsid w:val="000E2D3F"/>
    <w:rsid w:val="000E304E"/>
    <w:rsid w:val="000E3398"/>
    <w:rsid w:val="000E364E"/>
    <w:rsid w:val="000E4178"/>
    <w:rsid w:val="000E42B3"/>
    <w:rsid w:val="000E45A1"/>
    <w:rsid w:val="000E4FB1"/>
    <w:rsid w:val="000E5840"/>
    <w:rsid w:val="000E5B74"/>
    <w:rsid w:val="000E5D71"/>
    <w:rsid w:val="000E61BB"/>
    <w:rsid w:val="000E628B"/>
    <w:rsid w:val="000E65CF"/>
    <w:rsid w:val="000E6666"/>
    <w:rsid w:val="000E68DD"/>
    <w:rsid w:val="000E742F"/>
    <w:rsid w:val="000E74D0"/>
    <w:rsid w:val="000E76D9"/>
    <w:rsid w:val="000E7B84"/>
    <w:rsid w:val="000E7C99"/>
    <w:rsid w:val="000E7C9B"/>
    <w:rsid w:val="000F0860"/>
    <w:rsid w:val="000F0A95"/>
    <w:rsid w:val="000F0E34"/>
    <w:rsid w:val="000F11D1"/>
    <w:rsid w:val="000F13F6"/>
    <w:rsid w:val="000F1567"/>
    <w:rsid w:val="000F1571"/>
    <w:rsid w:val="000F16EF"/>
    <w:rsid w:val="000F170B"/>
    <w:rsid w:val="000F18AB"/>
    <w:rsid w:val="000F1B14"/>
    <w:rsid w:val="000F261B"/>
    <w:rsid w:val="000F279F"/>
    <w:rsid w:val="000F2BE9"/>
    <w:rsid w:val="000F2EC9"/>
    <w:rsid w:val="000F2EF7"/>
    <w:rsid w:val="000F30ED"/>
    <w:rsid w:val="000F35D3"/>
    <w:rsid w:val="000F38D0"/>
    <w:rsid w:val="000F3F9C"/>
    <w:rsid w:val="000F426E"/>
    <w:rsid w:val="000F449D"/>
    <w:rsid w:val="000F464F"/>
    <w:rsid w:val="000F4657"/>
    <w:rsid w:val="000F509C"/>
    <w:rsid w:val="000F5235"/>
    <w:rsid w:val="000F54F8"/>
    <w:rsid w:val="000F5883"/>
    <w:rsid w:val="000F5B01"/>
    <w:rsid w:val="000F61C2"/>
    <w:rsid w:val="000F64C4"/>
    <w:rsid w:val="000F6825"/>
    <w:rsid w:val="000F6AC4"/>
    <w:rsid w:val="000F6D3E"/>
    <w:rsid w:val="000F6D9A"/>
    <w:rsid w:val="000F6FF9"/>
    <w:rsid w:val="000F70B6"/>
    <w:rsid w:val="000F719C"/>
    <w:rsid w:val="000F7200"/>
    <w:rsid w:val="000F7512"/>
    <w:rsid w:val="000F75FC"/>
    <w:rsid w:val="000F7976"/>
    <w:rsid w:val="000F7DDA"/>
    <w:rsid w:val="00100580"/>
    <w:rsid w:val="001008FA"/>
    <w:rsid w:val="00100A6A"/>
    <w:rsid w:val="00100C82"/>
    <w:rsid w:val="001012CC"/>
    <w:rsid w:val="00101E4C"/>
    <w:rsid w:val="00101E68"/>
    <w:rsid w:val="00102199"/>
    <w:rsid w:val="0010284D"/>
    <w:rsid w:val="00102CDE"/>
    <w:rsid w:val="001030CD"/>
    <w:rsid w:val="00103791"/>
    <w:rsid w:val="00103C56"/>
    <w:rsid w:val="00103C9F"/>
    <w:rsid w:val="0010468C"/>
    <w:rsid w:val="001048A0"/>
    <w:rsid w:val="00104AA3"/>
    <w:rsid w:val="00105401"/>
    <w:rsid w:val="00105608"/>
    <w:rsid w:val="0010572B"/>
    <w:rsid w:val="00105784"/>
    <w:rsid w:val="00105BD3"/>
    <w:rsid w:val="00105D71"/>
    <w:rsid w:val="00105E7D"/>
    <w:rsid w:val="0010619F"/>
    <w:rsid w:val="0010649A"/>
    <w:rsid w:val="00106992"/>
    <w:rsid w:val="00106B70"/>
    <w:rsid w:val="00106C90"/>
    <w:rsid w:val="00107049"/>
    <w:rsid w:val="00107185"/>
    <w:rsid w:val="001071BD"/>
    <w:rsid w:val="001075C3"/>
    <w:rsid w:val="00107D3A"/>
    <w:rsid w:val="001103B6"/>
    <w:rsid w:val="00110C45"/>
    <w:rsid w:val="00110CA3"/>
    <w:rsid w:val="00110D7D"/>
    <w:rsid w:val="0011115D"/>
    <w:rsid w:val="00111284"/>
    <w:rsid w:val="001112F4"/>
    <w:rsid w:val="001113EE"/>
    <w:rsid w:val="00111420"/>
    <w:rsid w:val="0011175E"/>
    <w:rsid w:val="00111D6D"/>
    <w:rsid w:val="00111DD9"/>
    <w:rsid w:val="00111F20"/>
    <w:rsid w:val="00112578"/>
    <w:rsid w:val="001127C9"/>
    <w:rsid w:val="00112976"/>
    <w:rsid w:val="00112D7E"/>
    <w:rsid w:val="00112E2F"/>
    <w:rsid w:val="00112FFA"/>
    <w:rsid w:val="0011340D"/>
    <w:rsid w:val="00113925"/>
    <w:rsid w:val="0011394D"/>
    <w:rsid w:val="00113982"/>
    <w:rsid w:val="00114403"/>
    <w:rsid w:val="0011441B"/>
    <w:rsid w:val="00114D7E"/>
    <w:rsid w:val="0011542B"/>
    <w:rsid w:val="0011549E"/>
    <w:rsid w:val="0011558E"/>
    <w:rsid w:val="00115637"/>
    <w:rsid w:val="00115664"/>
    <w:rsid w:val="00115728"/>
    <w:rsid w:val="001159DC"/>
    <w:rsid w:val="00115AFA"/>
    <w:rsid w:val="00115E01"/>
    <w:rsid w:val="00116136"/>
    <w:rsid w:val="00116524"/>
    <w:rsid w:val="0011656D"/>
    <w:rsid w:val="0011689D"/>
    <w:rsid w:val="00116E97"/>
    <w:rsid w:val="00117380"/>
    <w:rsid w:val="001203B6"/>
    <w:rsid w:val="0012088D"/>
    <w:rsid w:val="00120BC8"/>
    <w:rsid w:val="00120F10"/>
    <w:rsid w:val="00121255"/>
    <w:rsid w:val="00121268"/>
    <w:rsid w:val="0012288D"/>
    <w:rsid w:val="001232C6"/>
    <w:rsid w:val="001233BD"/>
    <w:rsid w:val="0012366A"/>
    <w:rsid w:val="00123F2C"/>
    <w:rsid w:val="00124431"/>
    <w:rsid w:val="00124894"/>
    <w:rsid w:val="00124D7E"/>
    <w:rsid w:val="00124E5B"/>
    <w:rsid w:val="00124FAE"/>
    <w:rsid w:val="0012581D"/>
    <w:rsid w:val="001259BD"/>
    <w:rsid w:val="00125CE6"/>
    <w:rsid w:val="00125DBD"/>
    <w:rsid w:val="00126071"/>
    <w:rsid w:val="0012607D"/>
    <w:rsid w:val="0012680E"/>
    <w:rsid w:val="0012683B"/>
    <w:rsid w:val="001268F2"/>
    <w:rsid w:val="00126929"/>
    <w:rsid w:val="00127BFD"/>
    <w:rsid w:val="00127C39"/>
    <w:rsid w:val="00130070"/>
    <w:rsid w:val="00130243"/>
    <w:rsid w:val="0013106F"/>
    <w:rsid w:val="001311F4"/>
    <w:rsid w:val="00131492"/>
    <w:rsid w:val="00131BF9"/>
    <w:rsid w:val="00131E98"/>
    <w:rsid w:val="00132111"/>
    <w:rsid w:val="00132299"/>
    <w:rsid w:val="0013281A"/>
    <w:rsid w:val="00132DFF"/>
    <w:rsid w:val="00132EB6"/>
    <w:rsid w:val="001336A5"/>
    <w:rsid w:val="001336E7"/>
    <w:rsid w:val="00133B15"/>
    <w:rsid w:val="00133E5A"/>
    <w:rsid w:val="00134360"/>
    <w:rsid w:val="001348D3"/>
    <w:rsid w:val="00134A7A"/>
    <w:rsid w:val="00134AC3"/>
    <w:rsid w:val="00135663"/>
    <w:rsid w:val="00135A72"/>
    <w:rsid w:val="00135FF8"/>
    <w:rsid w:val="00136146"/>
    <w:rsid w:val="001367AD"/>
    <w:rsid w:val="001368C7"/>
    <w:rsid w:val="00136A0B"/>
    <w:rsid w:val="00136A8C"/>
    <w:rsid w:val="00136E24"/>
    <w:rsid w:val="0013717F"/>
    <w:rsid w:val="0013789F"/>
    <w:rsid w:val="001378BB"/>
    <w:rsid w:val="00137B5C"/>
    <w:rsid w:val="00137B74"/>
    <w:rsid w:val="00140251"/>
    <w:rsid w:val="0014042E"/>
    <w:rsid w:val="00140A93"/>
    <w:rsid w:val="00141785"/>
    <w:rsid w:val="00141C69"/>
    <w:rsid w:val="00141D6E"/>
    <w:rsid w:val="00141F7E"/>
    <w:rsid w:val="001429A5"/>
    <w:rsid w:val="00142AC3"/>
    <w:rsid w:val="00142FFC"/>
    <w:rsid w:val="00143822"/>
    <w:rsid w:val="0014388D"/>
    <w:rsid w:val="00143F46"/>
    <w:rsid w:val="0014478B"/>
    <w:rsid w:val="00144B46"/>
    <w:rsid w:val="00145A8A"/>
    <w:rsid w:val="00145BAD"/>
    <w:rsid w:val="00145D78"/>
    <w:rsid w:val="0014632C"/>
    <w:rsid w:val="001466DC"/>
    <w:rsid w:val="00146920"/>
    <w:rsid w:val="00146CE8"/>
    <w:rsid w:val="00147119"/>
    <w:rsid w:val="001473BB"/>
    <w:rsid w:val="00147C59"/>
    <w:rsid w:val="00150088"/>
    <w:rsid w:val="00150740"/>
    <w:rsid w:val="0015105B"/>
    <w:rsid w:val="00151218"/>
    <w:rsid w:val="001514D2"/>
    <w:rsid w:val="00151C57"/>
    <w:rsid w:val="001524DB"/>
    <w:rsid w:val="0015274B"/>
    <w:rsid w:val="00152838"/>
    <w:rsid w:val="00152974"/>
    <w:rsid w:val="00152A51"/>
    <w:rsid w:val="00152A78"/>
    <w:rsid w:val="0015327B"/>
    <w:rsid w:val="001532CF"/>
    <w:rsid w:val="00153334"/>
    <w:rsid w:val="0015392B"/>
    <w:rsid w:val="00153CC5"/>
    <w:rsid w:val="00153EE6"/>
    <w:rsid w:val="00154F3D"/>
    <w:rsid w:val="00155004"/>
    <w:rsid w:val="001550EC"/>
    <w:rsid w:val="00155302"/>
    <w:rsid w:val="001554FA"/>
    <w:rsid w:val="00155864"/>
    <w:rsid w:val="00155BC3"/>
    <w:rsid w:val="00155BCD"/>
    <w:rsid w:val="00155C9D"/>
    <w:rsid w:val="00156327"/>
    <w:rsid w:val="001569BE"/>
    <w:rsid w:val="00156B66"/>
    <w:rsid w:val="00156C26"/>
    <w:rsid w:val="00156D52"/>
    <w:rsid w:val="00160162"/>
    <w:rsid w:val="001604B0"/>
    <w:rsid w:val="00160C41"/>
    <w:rsid w:val="00161CBE"/>
    <w:rsid w:val="00161D5E"/>
    <w:rsid w:val="00162306"/>
    <w:rsid w:val="00162512"/>
    <w:rsid w:val="0016274B"/>
    <w:rsid w:val="00162A72"/>
    <w:rsid w:val="00162C29"/>
    <w:rsid w:val="00162C8B"/>
    <w:rsid w:val="00162D6A"/>
    <w:rsid w:val="00162F40"/>
    <w:rsid w:val="00162F6B"/>
    <w:rsid w:val="00162F8D"/>
    <w:rsid w:val="00163034"/>
    <w:rsid w:val="00163138"/>
    <w:rsid w:val="0016318A"/>
    <w:rsid w:val="001632C3"/>
    <w:rsid w:val="00163CE1"/>
    <w:rsid w:val="00163ECF"/>
    <w:rsid w:val="00163FF4"/>
    <w:rsid w:val="00165198"/>
    <w:rsid w:val="00166272"/>
    <w:rsid w:val="00166379"/>
    <w:rsid w:val="001664B1"/>
    <w:rsid w:val="001665DF"/>
    <w:rsid w:val="0016667C"/>
    <w:rsid w:val="00167130"/>
    <w:rsid w:val="001672A7"/>
    <w:rsid w:val="00167E80"/>
    <w:rsid w:val="00167FD2"/>
    <w:rsid w:val="00170014"/>
    <w:rsid w:val="00170230"/>
    <w:rsid w:val="00170619"/>
    <w:rsid w:val="001706DF"/>
    <w:rsid w:val="00170ABF"/>
    <w:rsid w:val="001711CF"/>
    <w:rsid w:val="001713E8"/>
    <w:rsid w:val="00171833"/>
    <w:rsid w:val="00171BF7"/>
    <w:rsid w:val="0017201C"/>
    <w:rsid w:val="001721D8"/>
    <w:rsid w:val="00172338"/>
    <w:rsid w:val="001725C5"/>
    <w:rsid w:val="001726AE"/>
    <w:rsid w:val="00172871"/>
    <w:rsid w:val="00172E4B"/>
    <w:rsid w:val="001731BB"/>
    <w:rsid w:val="00173D07"/>
    <w:rsid w:val="00173DCF"/>
    <w:rsid w:val="00173EF6"/>
    <w:rsid w:val="001744BF"/>
    <w:rsid w:val="00174812"/>
    <w:rsid w:val="00174970"/>
    <w:rsid w:val="001752CC"/>
    <w:rsid w:val="001752DE"/>
    <w:rsid w:val="00175819"/>
    <w:rsid w:val="00175E2C"/>
    <w:rsid w:val="001764EE"/>
    <w:rsid w:val="00176541"/>
    <w:rsid w:val="00176F37"/>
    <w:rsid w:val="0017730C"/>
    <w:rsid w:val="001774AD"/>
    <w:rsid w:val="00177506"/>
    <w:rsid w:val="0017773C"/>
    <w:rsid w:val="0017782F"/>
    <w:rsid w:val="00177907"/>
    <w:rsid w:val="00177AC5"/>
    <w:rsid w:val="00177B99"/>
    <w:rsid w:val="00177C2A"/>
    <w:rsid w:val="001800E1"/>
    <w:rsid w:val="001802CC"/>
    <w:rsid w:val="00180703"/>
    <w:rsid w:val="0018094E"/>
    <w:rsid w:val="001816A6"/>
    <w:rsid w:val="00181B50"/>
    <w:rsid w:val="001820D2"/>
    <w:rsid w:val="001825BF"/>
    <w:rsid w:val="00182F20"/>
    <w:rsid w:val="001830A7"/>
    <w:rsid w:val="0018345B"/>
    <w:rsid w:val="00183CF8"/>
    <w:rsid w:val="00184733"/>
    <w:rsid w:val="00184A50"/>
    <w:rsid w:val="00184B53"/>
    <w:rsid w:val="00184D37"/>
    <w:rsid w:val="00184D71"/>
    <w:rsid w:val="00184E2A"/>
    <w:rsid w:val="00184E41"/>
    <w:rsid w:val="0018604C"/>
    <w:rsid w:val="001865AB"/>
    <w:rsid w:val="00186639"/>
    <w:rsid w:val="0018689C"/>
    <w:rsid w:val="00186AD7"/>
    <w:rsid w:val="00186C1D"/>
    <w:rsid w:val="001873ED"/>
    <w:rsid w:val="001878B0"/>
    <w:rsid w:val="00187D59"/>
    <w:rsid w:val="00190476"/>
    <w:rsid w:val="00190624"/>
    <w:rsid w:val="00190889"/>
    <w:rsid w:val="00191350"/>
    <w:rsid w:val="001914CE"/>
    <w:rsid w:val="00191748"/>
    <w:rsid w:val="0019238A"/>
    <w:rsid w:val="001923CD"/>
    <w:rsid w:val="001928AC"/>
    <w:rsid w:val="00192C46"/>
    <w:rsid w:val="00193220"/>
    <w:rsid w:val="00193290"/>
    <w:rsid w:val="001939B2"/>
    <w:rsid w:val="00193EFF"/>
    <w:rsid w:val="001945B5"/>
    <w:rsid w:val="001945DE"/>
    <w:rsid w:val="00194984"/>
    <w:rsid w:val="001949DC"/>
    <w:rsid w:val="00194EA6"/>
    <w:rsid w:val="00194EC7"/>
    <w:rsid w:val="00195BE3"/>
    <w:rsid w:val="00195EE4"/>
    <w:rsid w:val="001960C3"/>
    <w:rsid w:val="0019638A"/>
    <w:rsid w:val="001964C0"/>
    <w:rsid w:val="00196F75"/>
    <w:rsid w:val="00197081"/>
    <w:rsid w:val="001970BB"/>
    <w:rsid w:val="001971B9"/>
    <w:rsid w:val="0019732E"/>
    <w:rsid w:val="00197E16"/>
    <w:rsid w:val="001A0083"/>
    <w:rsid w:val="001A0815"/>
    <w:rsid w:val="001A0BDA"/>
    <w:rsid w:val="001A0BE7"/>
    <w:rsid w:val="001A0C44"/>
    <w:rsid w:val="001A0F0D"/>
    <w:rsid w:val="001A1138"/>
    <w:rsid w:val="001A1210"/>
    <w:rsid w:val="001A149E"/>
    <w:rsid w:val="001A14EF"/>
    <w:rsid w:val="001A1527"/>
    <w:rsid w:val="001A2112"/>
    <w:rsid w:val="001A21D2"/>
    <w:rsid w:val="001A22B8"/>
    <w:rsid w:val="001A2353"/>
    <w:rsid w:val="001A2872"/>
    <w:rsid w:val="001A2997"/>
    <w:rsid w:val="001A2CC1"/>
    <w:rsid w:val="001A2DDD"/>
    <w:rsid w:val="001A2FF7"/>
    <w:rsid w:val="001A34F3"/>
    <w:rsid w:val="001A3676"/>
    <w:rsid w:val="001A3784"/>
    <w:rsid w:val="001A3916"/>
    <w:rsid w:val="001A3C83"/>
    <w:rsid w:val="001A3CF8"/>
    <w:rsid w:val="001A48CC"/>
    <w:rsid w:val="001A4D8E"/>
    <w:rsid w:val="001A4DD3"/>
    <w:rsid w:val="001A5273"/>
    <w:rsid w:val="001A54EF"/>
    <w:rsid w:val="001A577F"/>
    <w:rsid w:val="001A5CD0"/>
    <w:rsid w:val="001A6E7C"/>
    <w:rsid w:val="001A758B"/>
    <w:rsid w:val="001A75DA"/>
    <w:rsid w:val="001B011D"/>
    <w:rsid w:val="001B0948"/>
    <w:rsid w:val="001B0A03"/>
    <w:rsid w:val="001B0FCA"/>
    <w:rsid w:val="001B1137"/>
    <w:rsid w:val="001B130B"/>
    <w:rsid w:val="001B2074"/>
    <w:rsid w:val="001B22F8"/>
    <w:rsid w:val="001B2947"/>
    <w:rsid w:val="001B35A1"/>
    <w:rsid w:val="001B35E5"/>
    <w:rsid w:val="001B36A8"/>
    <w:rsid w:val="001B3A52"/>
    <w:rsid w:val="001B3CC7"/>
    <w:rsid w:val="001B3E1F"/>
    <w:rsid w:val="001B3E36"/>
    <w:rsid w:val="001B40CA"/>
    <w:rsid w:val="001B41F5"/>
    <w:rsid w:val="001B445D"/>
    <w:rsid w:val="001B485B"/>
    <w:rsid w:val="001B496F"/>
    <w:rsid w:val="001B4A6D"/>
    <w:rsid w:val="001B514B"/>
    <w:rsid w:val="001B5347"/>
    <w:rsid w:val="001B5E5E"/>
    <w:rsid w:val="001B6201"/>
    <w:rsid w:val="001B683D"/>
    <w:rsid w:val="001B68C9"/>
    <w:rsid w:val="001B743B"/>
    <w:rsid w:val="001B7564"/>
    <w:rsid w:val="001B78F8"/>
    <w:rsid w:val="001B7B6C"/>
    <w:rsid w:val="001B7BB2"/>
    <w:rsid w:val="001B7E49"/>
    <w:rsid w:val="001B7EF5"/>
    <w:rsid w:val="001C02EC"/>
    <w:rsid w:val="001C0583"/>
    <w:rsid w:val="001C066F"/>
    <w:rsid w:val="001C0A3C"/>
    <w:rsid w:val="001C0C59"/>
    <w:rsid w:val="001C1211"/>
    <w:rsid w:val="001C17F0"/>
    <w:rsid w:val="001C1854"/>
    <w:rsid w:val="001C1CD8"/>
    <w:rsid w:val="001C23B2"/>
    <w:rsid w:val="001C2410"/>
    <w:rsid w:val="001C2610"/>
    <w:rsid w:val="001C2B17"/>
    <w:rsid w:val="001C30A7"/>
    <w:rsid w:val="001C3747"/>
    <w:rsid w:val="001C3E0B"/>
    <w:rsid w:val="001C46DF"/>
    <w:rsid w:val="001C55EA"/>
    <w:rsid w:val="001C56C9"/>
    <w:rsid w:val="001C6416"/>
    <w:rsid w:val="001C643D"/>
    <w:rsid w:val="001C65EE"/>
    <w:rsid w:val="001C66FD"/>
    <w:rsid w:val="001C6822"/>
    <w:rsid w:val="001C6A30"/>
    <w:rsid w:val="001C6A4E"/>
    <w:rsid w:val="001C6FFB"/>
    <w:rsid w:val="001C72DB"/>
    <w:rsid w:val="001C7714"/>
    <w:rsid w:val="001C7A69"/>
    <w:rsid w:val="001C7A9B"/>
    <w:rsid w:val="001C7BEE"/>
    <w:rsid w:val="001C7F64"/>
    <w:rsid w:val="001C7F6A"/>
    <w:rsid w:val="001D0691"/>
    <w:rsid w:val="001D0B65"/>
    <w:rsid w:val="001D11E7"/>
    <w:rsid w:val="001D11EB"/>
    <w:rsid w:val="001D1B6B"/>
    <w:rsid w:val="001D1EC6"/>
    <w:rsid w:val="001D1F24"/>
    <w:rsid w:val="001D1F2F"/>
    <w:rsid w:val="001D2351"/>
    <w:rsid w:val="001D24A1"/>
    <w:rsid w:val="001D24E3"/>
    <w:rsid w:val="001D2554"/>
    <w:rsid w:val="001D26FC"/>
    <w:rsid w:val="001D270B"/>
    <w:rsid w:val="001D299A"/>
    <w:rsid w:val="001D2A28"/>
    <w:rsid w:val="001D2D6A"/>
    <w:rsid w:val="001D3173"/>
    <w:rsid w:val="001D31AC"/>
    <w:rsid w:val="001D35B8"/>
    <w:rsid w:val="001D39D8"/>
    <w:rsid w:val="001D3BA8"/>
    <w:rsid w:val="001D3CEB"/>
    <w:rsid w:val="001D43DB"/>
    <w:rsid w:val="001D4B96"/>
    <w:rsid w:val="001D4CC8"/>
    <w:rsid w:val="001D5638"/>
    <w:rsid w:val="001D5698"/>
    <w:rsid w:val="001D5BCC"/>
    <w:rsid w:val="001D6154"/>
    <w:rsid w:val="001D6DC3"/>
    <w:rsid w:val="001D72B3"/>
    <w:rsid w:val="001D7BC1"/>
    <w:rsid w:val="001D7E5B"/>
    <w:rsid w:val="001E0582"/>
    <w:rsid w:val="001E0D08"/>
    <w:rsid w:val="001E1472"/>
    <w:rsid w:val="001E17A2"/>
    <w:rsid w:val="001E1C18"/>
    <w:rsid w:val="001E249B"/>
    <w:rsid w:val="001E2D33"/>
    <w:rsid w:val="001E2DAC"/>
    <w:rsid w:val="001E2F32"/>
    <w:rsid w:val="001E3067"/>
    <w:rsid w:val="001E3307"/>
    <w:rsid w:val="001E33DE"/>
    <w:rsid w:val="001E3572"/>
    <w:rsid w:val="001E3933"/>
    <w:rsid w:val="001E428B"/>
    <w:rsid w:val="001E4584"/>
    <w:rsid w:val="001E4745"/>
    <w:rsid w:val="001E4747"/>
    <w:rsid w:val="001E4BCE"/>
    <w:rsid w:val="001E4C35"/>
    <w:rsid w:val="001E54B9"/>
    <w:rsid w:val="001E5B24"/>
    <w:rsid w:val="001E66FA"/>
    <w:rsid w:val="001E6956"/>
    <w:rsid w:val="001E6978"/>
    <w:rsid w:val="001E7613"/>
    <w:rsid w:val="001E796A"/>
    <w:rsid w:val="001E7D5A"/>
    <w:rsid w:val="001E7F98"/>
    <w:rsid w:val="001F022E"/>
    <w:rsid w:val="001F02B2"/>
    <w:rsid w:val="001F0332"/>
    <w:rsid w:val="001F0A7F"/>
    <w:rsid w:val="001F12F7"/>
    <w:rsid w:val="001F1356"/>
    <w:rsid w:val="001F198C"/>
    <w:rsid w:val="001F1A6F"/>
    <w:rsid w:val="001F212F"/>
    <w:rsid w:val="001F2781"/>
    <w:rsid w:val="001F2800"/>
    <w:rsid w:val="001F2D2D"/>
    <w:rsid w:val="001F32BC"/>
    <w:rsid w:val="001F386C"/>
    <w:rsid w:val="001F3CBE"/>
    <w:rsid w:val="001F40A8"/>
    <w:rsid w:val="001F437C"/>
    <w:rsid w:val="001F4939"/>
    <w:rsid w:val="001F4A10"/>
    <w:rsid w:val="001F4D61"/>
    <w:rsid w:val="001F5277"/>
    <w:rsid w:val="001F52FB"/>
    <w:rsid w:val="001F5923"/>
    <w:rsid w:val="001F627F"/>
    <w:rsid w:val="001F6A37"/>
    <w:rsid w:val="001F6AE9"/>
    <w:rsid w:val="001F6B1D"/>
    <w:rsid w:val="001F6C95"/>
    <w:rsid w:val="001F6D9F"/>
    <w:rsid w:val="001F7090"/>
    <w:rsid w:val="001F7173"/>
    <w:rsid w:val="001F771B"/>
    <w:rsid w:val="001F7A3C"/>
    <w:rsid w:val="00200023"/>
    <w:rsid w:val="002005A7"/>
    <w:rsid w:val="002007E2"/>
    <w:rsid w:val="0020092B"/>
    <w:rsid w:val="002009B4"/>
    <w:rsid w:val="00200AA8"/>
    <w:rsid w:val="00200D05"/>
    <w:rsid w:val="00200DEF"/>
    <w:rsid w:val="00200E0C"/>
    <w:rsid w:val="00201B66"/>
    <w:rsid w:val="00201E7F"/>
    <w:rsid w:val="00201F42"/>
    <w:rsid w:val="00201FE1"/>
    <w:rsid w:val="002020DC"/>
    <w:rsid w:val="002025BB"/>
    <w:rsid w:val="002026A8"/>
    <w:rsid w:val="00203537"/>
    <w:rsid w:val="002038E3"/>
    <w:rsid w:val="002042F1"/>
    <w:rsid w:val="002045FB"/>
    <w:rsid w:val="002048F4"/>
    <w:rsid w:val="002049F3"/>
    <w:rsid w:val="00204C2B"/>
    <w:rsid w:val="00204CF7"/>
    <w:rsid w:val="00204FE0"/>
    <w:rsid w:val="0020537B"/>
    <w:rsid w:val="002055B2"/>
    <w:rsid w:val="002059ED"/>
    <w:rsid w:val="0020651E"/>
    <w:rsid w:val="00206921"/>
    <w:rsid w:val="00206F70"/>
    <w:rsid w:val="0020706B"/>
    <w:rsid w:val="00207220"/>
    <w:rsid w:val="002073A2"/>
    <w:rsid w:val="00207474"/>
    <w:rsid w:val="002074FA"/>
    <w:rsid w:val="00207CD2"/>
    <w:rsid w:val="0021005F"/>
    <w:rsid w:val="0021023A"/>
    <w:rsid w:val="0021089F"/>
    <w:rsid w:val="00210CBB"/>
    <w:rsid w:val="00210D02"/>
    <w:rsid w:val="00210EBE"/>
    <w:rsid w:val="0021126A"/>
    <w:rsid w:val="00211965"/>
    <w:rsid w:val="00211B71"/>
    <w:rsid w:val="0021231F"/>
    <w:rsid w:val="00212BB4"/>
    <w:rsid w:val="00212BDE"/>
    <w:rsid w:val="00212C86"/>
    <w:rsid w:val="002137ED"/>
    <w:rsid w:val="00213A81"/>
    <w:rsid w:val="002146B8"/>
    <w:rsid w:val="002156E6"/>
    <w:rsid w:val="00215B44"/>
    <w:rsid w:val="00215B82"/>
    <w:rsid w:val="002163FE"/>
    <w:rsid w:val="002169B7"/>
    <w:rsid w:val="00216D23"/>
    <w:rsid w:val="0021758F"/>
    <w:rsid w:val="0021770F"/>
    <w:rsid w:val="002178C1"/>
    <w:rsid w:val="00217A73"/>
    <w:rsid w:val="00217BEE"/>
    <w:rsid w:val="002202FE"/>
    <w:rsid w:val="0022080F"/>
    <w:rsid w:val="0022103E"/>
    <w:rsid w:val="00221B73"/>
    <w:rsid w:val="00221F52"/>
    <w:rsid w:val="00221F87"/>
    <w:rsid w:val="00221F9A"/>
    <w:rsid w:val="0022284E"/>
    <w:rsid w:val="0022365C"/>
    <w:rsid w:val="00223B83"/>
    <w:rsid w:val="0022425C"/>
    <w:rsid w:val="00224384"/>
    <w:rsid w:val="002244D1"/>
    <w:rsid w:val="00224509"/>
    <w:rsid w:val="0022465E"/>
    <w:rsid w:val="002249C4"/>
    <w:rsid w:val="00224B56"/>
    <w:rsid w:val="00224E3F"/>
    <w:rsid w:val="00225E3A"/>
    <w:rsid w:val="00226230"/>
    <w:rsid w:val="0022631D"/>
    <w:rsid w:val="0022665E"/>
    <w:rsid w:val="00226F26"/>
    <w:rsid w:val="00227775"/>
    <w:rsid w:val="00227B98"/>
    <w:rsid w:val="00227F1C"/>
    <w:rsid w:val="002301AE"/>
    <w:rsid w:val="00230342"/>
    <w:rsid w:val="002304F9"/>
    <w:rsid w:val="00230713"/>
    <w:rsid w:val="002307B8"/>
    <w:rsid w:val="00231265"/>
    <w:rsid w:val="0023176E"/>
    <w:rsid w:val="00231A27"/>
    <w:rsid w:val="00232970"/>
    <w:rsid w:val="00232D75"/>
    <w:rsid w:val="00232DA0"/>
    <w:rsid w:val="00232EAF"/>
    <w:rsid w:val="0023356E"/>
    <w:rsid w:val="002338DE"/>
    <w:rsid w:val="0023395F"/>
    <w:rsid w:val="002339ED"/>
    <w:rsid w:val="00233CAE"/>
    <w:rsid w:val="002346EF"/>
    <w:rsid w:val="0023474B"/>
    <w:rsid w:val="002347BC"/>
    <w:rsid w:val="002349F5"/>
    <w:rsid w:val="00234C84"/>
    <w:rsid w:val="00234CE7"/>
    <w:rsid w:val="0023511B"/>
    <w:rsid w:val="0023516A"/>
    <w:rsid w:val="0023557F"/>
    <w:rsid w:val="002355DE"/>
    <w:rsid w:val="00235A12"/>
    <w:rsid w:val="00235E4F"/>
    <w:rsid w:val="00236B20"/>
    <w:rsid w:val="00236CD8"/>
    <w:rsid w:val="00236CE8"/>
    <w:rsid w:val="002373A5"/>
    <w:rsid w:val="002374F3"/>
    <w:rsid w:val="00237570"/>
    <w:rsid w:val="002379EF"/>
    <w:rsid w:val="0024006C"/>
    <w:rsid w:val="0024045A"/>
    <w:rsid w:val="00240582"/>
    <w:rsid w:val="002410C7"/>
    <w:rsid w:val="00241306"/>
    <w:rsid w:val="00241D37"/>
    <w:rsid w:val="00241D6C"/>
    <w:rsid w:val="00241D78"/>
    <w:rsid w:val="00242117"/>
    <w:rsid w:val="00242CCC"/>
    <w:rsid w:val="00242EE8"/>
    <w:rsid w:val="002439DF"/>
    <w:rsid w:val="00243A0B"/>
    <w:rsid w:val="00243B52"/>
    <w:rsid w:val="00243D2C"/>
    <w:rsid w:val="00243DE8"/>
    <w:rsid w:val="00244760"/>
    <w:rsid w:val="0024496F"/>
    <w:rsid w:val="00244B02"/>
    <w:rsid w:val="00244CD1"/>
    <w:rsid w:val="00244EBE"/>
    <w:rsid w:val="00244FB6"/>
    <w:rsid w:val="00245027"/>
    <w:rsid w:val="002456B8"/>
    <w:rsid w:val="0024584C"/>
    <w:rsid w:val="00245EA9"/>
    <w:rsid w:val="00245F6B"/>
    <w:rsid w:val="002464FE"/>
    <w:rsid w:val="00246EFE"/>
    <w:rsid w:val="00247119"/>
    <w:rsid w:val="002471CB"/>
    <w:rsid w:val="002476A0"/>
    <w:rsid w:val="00247907"/>
    <w:rsid w:val="00247BF5"/>
    <w:rsid w:val="00247CE1"/>
    <w:rsid w:val="00250404"/>
    <w:rsid w:val="002506B6"/>
    <w:rsid w:val="00250E4C"/>
    <w:rsid w:val="00250E4E"/>
    <w:rsid w:val="00251048"/>
    <w:rsid w:val="002510B9"/>
    <w:rsid w:val="00251999"/>
    <w:rsid w:val="002519E6"/>
    <w:rsid w:val="00251D71"/>
    <w:rsid w:val="00252070"/>
    <w:rsid w:val="002525C6"/>
    <w:rsid w:val="002526E9"/>
    <w:rsid w:val="0025299D"/>
    <w:rsid w:val="00253FF1"/>
    <w:rsid w:val="00254094"/>
    <w:rsid w:val="00254A25"/>
    <w:rsid w:val="00254F7C"/>
    <w:rsid w:val="00255482"/>
    <w:rsid w:val="00255904"/>
    <w:rsid w:val="002569E4"/>
    <w:rsid w:val="00257149"/>
    <w:rsid w:val="002576F3"/>
    <w:rsid w:val="002577A6"/>
    <w:rsid w:val="0025796E"/>
    <w:rsid w:val="00257B95"/>
    <w:rsid w:val="002602E3"/>
    <w:rsid w:val="002603CC"/>
    <w:rsid w:val="00260C8B"/>
    <w:rsid w:val="00260CB4"/>
    <w:rsid w:val="00260EB6"/>
    <w:rsid w:val="002612A3"/>
    <w:rsid w:val="002619C5"/>
    <w:rsid w:val="002620C0"/>
    <w:rsid w:val="00262201"/>
    <w:rsid w:val="0026235D"/>
    <w:rsid w:val="002624FE"/>
    <w:rsid w:val="002627A0"/>
    <w:rsid w:val="00262870"/>
    <w:rsid w:val="002629E3"/>
    <w:rsid w:val="00262CA8"/>
    <w:rsid w:val="002634E1"/>
    <w:rsid w:val="0026369B"/>
    <w:rsid w:val="00263AA1"/>
    <w:rsid w:val="00263C0B"/>
    <w:rsid w:val="00263EE6"/>
    <w:rsid w:val="002641BD"/>
    <w:rsid w:val="0026439D"/>
    <w:rsid w:val="00264B73"/>
    <w:rsid w:val="00264CBE"/>
    <w:rsid w:val="00264F54"/>
    <w:rsid w:val="0026503C"/>
    <w:rsid w:val="00265551"/>
    <w:rsid w:val="002655D2"/>
    <w:rsid w:val="00265FDD"/>
    <w:rsid w:val="002669B9"/>
    <w:rsid w:val="00266B3B"/>
    <w:rsid w:val="00266DF4"/>
    <w:rsid w:val="00266FDF"/>
    <w:rsid w:val="00267029"/>
    <w:rsid w:val="002672FE"/>
    <w:rsid w:val="00267E00"/>
    <w:rsid w:val="002707C1"/>
    <w:rsid w:val="00270883"/>
    <w:rsid w:val="002708B0"/>
    <w:rsid w:val="00270C3A"/>
    <w:rsid w:val="00271180"/>
    <w:rsid w:val="00271312"/>
    <w:rsid w:val="00271612"/>
    <w:rsid w:val="00271763"/>
    <w:rsid w:val="002717E9"/>
    <w:rsid w:val="00271978"/>
    <w:rsid w:val="00271C83"/>
    <w:rsid w:val="0027241E"/>
    <w:rsid w:val="002724FD"/>
    <w:rsid w:val="002727C9"/>
    <w:rsid w:val="00272AF9"/>
    <w:rsid w:val="00272B3F"/>
    <w:rsid w:val="00272B9D"/>
    <w:rsid w:val="00272F2F"/>
    <w:rsid w:val="0027348F"/>
    <w:rsid w:val="00274986"/>
    <w:rsid w:val="00274A80"/>
    <w:rsid w:val="00274B85"/>
    <w:rsid w:val="0027509E"/>
    <w:rsid w:val="002752AD"/>
    <w:rsid w:val="00275406"/>
    <w:rsid w:val="0027542D"/>
    <w:rsid w:val="00275669"/>
    <w:rsid w:val="00275722"/>
    <w:rsid w:val="0027587F"/>
    <w:rsid w:val="00275883"/>
    <w:rsid w:val="00275A2B"/>
    <w:rsid w:val="00275AEB"/>
    <w:rsid w:val="0027623A"/>
    <w:rsid w:val="00276825"/>
    <w:rsid w:val="0027693B"/>
    <w:rsid w:val="00276C1D"/>
    <w:rsid w:val="0027710C"/>
    <w:rsid w:val="0027712E"/>
    <w:rsid w:val="002771A4"/>
    <w:rsid w:val="00277648"/>
    <w:rsid w:val="00277C56"/>
    <w:rsid w:val="00280343"/>
    <w:rsid w:val="00280924"/>
    <w:rsid w:val="00280C7D"/>
    <w:rsid w:val="00280E50"/>
    <w:rsid w:val="00281618"/>
    <w:rsid w:val="00281A5D"/>
    <w:rsid w:val="00281C00"/>
    <w:rsid w:val="00281F1C"/>
    <w:rsid w:val="00281F68"/>
    <w:rsid w:val="00282038"/>
    <w:rsid w:val="0028254F"/>
    <w:rsid w:val="00282BB4"/>
    <w:rsid w:val="00282BED"/>
    <w:rsid w:val="00282ECB"/>
    <w:rsid w:val="00282FE0"/>
    <w:rsid w:val="002833BE"/>
    <w:rsid w:val="00283590"/>
    <w:rsid w:val="00283A77"/>
    <w:rsid w:val="00284395"/>
    <w:rsid w:val="00284631"/>
    <w:rsid w:val="0028499B"/>
    <w:rsid w:val="00284C38"/>
    <w:rsid w:val="00285180"/>
    <w:rsid w:val="0028559A"/>
    <w:rsid w:val="00285C87"/>
    <w:rsid w:val="00285CBA"/>
    <w:rsid w:val="00285DBC"/>
    <w:rsid w:val="00285DD5"/>
    <w:rsid w:val="00285EB5"/>
    <w:rsid w:val="0028625F"/>
    <w:rsid w:val="0028679A"/>
    <w:rsid w:val="00286C30"/>
    <w:rsid w:val="00286DD7"/>
    <w:rsid w:val="0028762E"/>
    <w:rsid w:val="00287EBE"/>
    <w:rsid w:val="00290696"/>
    <w:rsid w:val="00290A99"/>
    <w:rsid w:val="00290C75"/>
    <w:rsid w:val="00290EFB"/>
    <w:rsid w:val="002916D8"/>
    <w:rsid w:val="0029179A"/>
    <w:rsid w:val="002918E2"/>
    <w:rsid w:val="00291C2D"/>
    <w:rsid w:val="00291D7C"/>
    <w:rsid w:val="00291F83"/>
    <w:rsid w:val="002924A6"/>
    <w:rsid w:val="002926EC"/>
    <w:rsid w:val="00292E7F"/>
    <w:rsid w:val="00292F5A"/>
    <w:rsid w:val="002933EF"/>
    <w:rsid w:val="0029352A"/>
    <w:rsid w:val="00293790"/>
    <w:rsid w:val="00293FAC"/>
    <w:rsid w:val="00294E1B"/>
    <w:rsid w:val="00294FB3"/>
    <w:rsid w:val="002953B5"/>
    <w:rsid w:val="002958DC"/>
    <w:rsid w:val="0029630E"/>
    <w:rsid w:val="00296448"/>
    <w:rsid w:val="00296883"/>
    <w:rsid w:val="00296C42"/>
    <w:rsid w:val="00296CDB"/>
    <w:rsid w:val="002970A8"/>
    <w:rsid w:val="00297423"/>
    <w:rsid w:val="00297743"/>
    <w:rsid w:val="002977B8"/>
    <w:rsid w:val="002979B9"/>
    <w:rsid w:val="00297B90"/>
    <w:rsid w:val="00297F7D"/>
    <w:rsid w:val="002A0374"/>
    <w:rsid w:val="002A046C"/>
    <w:rsid w:val="002A0608"/>
    <w:rsid w:val="002A0709"/>
    <w:rsid w:val="002A0A12"/>
    <w:rsid w:val="002A0E28"/>
    <w:rsid w:val="002A0F20"/>
    <w:rsid w:val="002A15C4"/>
    <w:rsid w:val="002A1C7B"/>
    <w:rsid w:val="002A201B"/>
    <w:rsid w:val="002A203C"/>
    <w:rsid w:val="002A233E"/>
    <w:rsid w:val="002A287F"/>
    <w:rsid w:val="002A2A62"/>
    <w:rsid w:val="002A2B64"/>
    <w:rsid w:val="002A303B"/>
    <w:rsid w:val="002A3101"/>
    <w:rsid w:val="002A38A0"/>
    <w:rsid w:val="002A38EB"/>
    <w:rsid w:val="002A3A23"/>
    <w:rsid w:val="002A3E77"/>
    <w:rsid w:val="002A42C6"/>
    <w:rsid w:val="002A42FD"/>
    <w:rsid w:val="002A4390"/>
    <w:rsid w:val="002A456D"/>
    <w:rsid w:val="002A47A5"/>
    <w:rsid w:val="002A4B5D"/>
    <w:rsid w:val="002A51A9"/>
    <w:rsid w:val="002A545D"/>
    <w:rsid w:val="002A54DA"/>
    <w:rsid w:val="002A5B7D"/>
    <w:rsid w:val="002A5C84"/>
    <w:rsid w:val="002A5E3C"/>
    <w:rsid w:val="002A5E9A"/>
    <w:rsid w:val="002A67A8"/>
    <w:rsid w:val="002A6ADF"/>
    <w:rsid w:val="002A716C"/>
    <w:rsid w:val="002A7E83"/>
    <w:rsid w:val="002B0163"/>
    <w:rsid w:val="002B0592"/>
    <w:rsid w:val="002B0937"/>
    <w:rsid w:val="002B0C15"/>
    <w:rsid w:val="002B0EF3"/>
    <w:rsid w:val="002B10FF"/>
    <w:rsid w:val="002B1926"/>
    <w:rsid w:val="002B20F1"/>
    <w:rsid w:val="002B2839"/>
    <w:rsid w:val="002B2DA8"/>
    <w:rsid w:val="002B3A54"/>
    <w:rsid w:val="002B3AC2"/>
    <w:rsid w:val="002B457C"/>
    <w:rsid w:val="002B4810"/>
    <w:rsid w:val="002B4A2D"/>
    <w:rsid w:val="002B4D6F"/>
    <w:rsid w:val="002B507C"/>
    <w:rsid w:val="002B50E2"/>
    <w:rsid w:val="002B53D4"/>
    <w:rsid w:val="002B545C"/>
    <w:rsid w:val="002B577D"/>
    <w:rsid w:val="002B59F8"/>
    <w:rsid w:val="002B5B0C"/>
    <w:rsid w:val="002B5BC2"/>
    <w:rsid w:val="002B5C38"/>
    <w:rsid w:val="002B61C3"/>
    <w:rsid w:val="002B69CB"/>
    <w:rsid w:val="002B6EAC"/>
    <w:rsid w:val="002B72F9"/>
    <w:rsid w:val="002B76E7"/>
    <w:rsid w:val="002B7752"/>
    <w:rsid w:val="002B7C68"/>
    <w:rsid w:val="002C0A36"/>
    <w:rsid w:val="002C0E1B"/>
    <w:rsid w:val="002C1382"/>
    <w:rsid w:val="002C1464"/>
    <w:rsid w:val="002C18AA"/>
    <w:rsid w:val="002C1BFA"/>
    <w:rsid w:val="002C22B2"/>
    <w:rsid w:val="002C26F9"/>
    <w:rsid w:val="002C301C"/>
    <w:rsid w:val="002C3EE1"/>
    <w:rsid w:val="002C3FE0"/>
    <w:rsid w:val="002C40EE"/>
    <w:rsid w:val="002C4249"/>
    <w:rsid w:val="002C44C0"/>
    <w:rsid w:val="002C4B85"/>
    <w:rsid w:val="002C4C5E"/>
    <w:rsid w:val="002C50F0"/>
    <w:rsid w:val="002C51C0"/>
    <w:rsid w:val="002C5287"/>
    <w:rsid w:val="002C6873"/>
    <w:rsid w:val="002C6C9A"/>
    <w:rsid w:val="002C6E1D"/>
    <w:rsid w:val="002C6E46"/>
    <w:rsid w:val="002C725E"/>
    <w:rsid w:val="002C77F4"/>
    <w:rsid w:val="002C7ACC"/>
    <w:rsid w:val="002C7C54"/>
    <w:rsid w:val="002C7D52"/>
    <w:rsid w:val="002D0458"/>
    <w:rsid w:val="002D0583"/>
    <w:rsid w:val="002D06BB"/>
    <w:rsid w:val="002D0DA8"/>
    <w:rsid w:val="002D1349"/>
    <w:rsid w:val="002D1A70"/>
    <w:rsid w:val="002D1D77"/>
    <w:rsid w:val="002D26D0"/>
    <w:rsid w:val="002D2B7C"/>
    <w:rsid w:val="002D2E24"/>
    <w:rsid w:val="002D2E75"/>
    <w:rsid w:val="002D3584"/>
    <w:rsid w:val="002D3E49"/>
    <w:rsid w:val="002D42F1"/>
    <w:rsid w:val="002D4587"/>
    <w:rsid w:val="002D48B9"/>
    <w:rsid w:val="002D4A96"/>
    <w:rsid w:val="002D4E9C"/>
    <w:rsid w:val="002D52AD"/>
    <w:rsid w:val="002D5518"/>
    <w:rsid w:val="002D56BD"/>
    <w:rsid w:val="002D578A"/>
    <w:rsid w:val="002D6400"/>
    <w:rsid w:val="002D68A2"/>
    <w:rsid w:val="002D6F9A"/>
    <w:rsid w:val="002D70C9"/>
    <w:rsid w:val="002D7116"/>
    <w:rsid w:val="002D7273"/>
    <w:rsid w:val="002D7AC1"/>
    <w:rsid w:val="002D7FB2"/>
    <w:rsid w:val="002E02D6"/>
    <w:rsid w:val="002E0320"/>
    <w:rsid w:val="002E039C"/>
    <w:rsid w:val="002E0DCB"/>
    <w:rsid w:val="002E17DC"/>
    <w:rsid w:val="002E1E40"/>
    <w:rsid w:val="002E2142"/>
    <w:rsid w:val="002E2273"/>
    <w:rsid w:val="002E280F"/>
    <w:rsid w:val="002E290B"/>
    <w:rsid w:val="002E304A"/>
    <w:rsid w:val="002E31C8"/>
    <w:rsid w:val="002E341E"/>
    <w:rsid w:val="002E387F"/>
    <w:rsid w:val="002E4191"/>
    <w:rsid w:val="002E424C"/>
    <w:rsid w:val="002E45DF"/>
    <w:rsid w:val="002E4CFF"/>
    <w:rsid w:val="002E4F68"/>
    <w:rsid w:val="002E5379"/>
    <w:rsid w:val="002E585F"/>
    <w:rsid w:val="002E5DDC"/>
    <w:rsid w:val="002E5F08"/>
    <w:rsid w:val="002E5F91"/>
    <w:rsid w:val="002E6019"/>
    <w:rsid w:val="002E6064"/>
    <w:rsid w:val="002E614C"/>
    <w:rsid w:val="002E634B"/>
    <w:rsid w:val="002E63DD"/>
    <w:rsid w:val="002E63E2"/>
    <w:rsid w:val="002E63EA"/>
    <w:rsid w:val="002E6724"/>
    <w:rsid w:val="002E6DBA"/>
    <w:rsid w:val="002E6EC3"/>
    <w:rsid w:val="002E7089"/>
    <w:rsid w:val="002E7284"/>
    <w:rsid w:val="002E780F"/>
    <w:rsid w:val="002E7CC8"/>
    <w:rsid w:val="002E7EDF"/>
    <w:rsid w:val="002E7F7A"/>
    <w:rsid w:val="002F01B8"/>
    <w:rsid w:val="002F02BD"/>
    <w:rsid w:val="002F0339"/>
    <w:rsid w:val="002F08B0"/>
    <w:rsid w:val="002F0B6D"/>
    <w:rsid w:val="002F11FE"/>
    <w:rsid w:val="002F169C"/>
    <w:rsid w:val="002F17C7"/>
    <w:rsid w:val="002F193A"/>
    <w:rsid w:val="002F19FD"/>
    <w:rsid w:val="002F1AF4"/>
    <w:rsid w:val="002F2965"/>
    <w:rsid w:val="002F2D4B"/>
    <w:rsid w:val="002F2ED2"/>
    <w:rsid w:val="002F3176"/>
    <w:rsid w:val="002F35FE"/>
    <w:rsid w:val="002F3AE0"/>
    <w:rsid w:val="002F3DD1"/>
    <w:rsid w:val="002F3EAE"/>
    <w:rsid w:val="002F3F31"/>
    <w:rsid w:val="002F45D3"/>
    <w:rsid w:val="002F485D"/>
    <w:rsid w:val="002F4B29"/>
    <w:rsid w:val="002F4C1A"/>
    <w:rsid w:val="002F4D21"/>
    <w:rsid w:val="002F5005"/>
    <w:rsid w:val="002F5141"/>
    <w:rsid w:val="002F5A0A"/>
    <w:rsid w:val="002F5E26"/>
    <w:rsid w:val="002F5E36"/>
    <w:rsid w:val="002F61CD"/>
    <w:rsid w:val="002F64B3"/>
    <w:rsid w:val="002F66EF"/>
    <w:rsid w:val="002F68EE"/>
    <w:rsid w:val="002F6E2E"/>
    <w:rsid w:val="002F6F66"/>
    <w:rsid w:val="002F7255"/>
    <w:rsid w:val="002F733D"/>
    <w:rsid w:val="002F744B"/>
    <w:rsid w:val="002F74BB"/>
    <w:rsid w:val="002F78C0"/>
    <w:rsid w:val="003002B1"/>
    <w:rsid w:val="00300CD7"/>
    <w:rsid w:val="00300E0F"/>
    <w:rsid w:val="003013F4"/>
    <w:rsid w:val="0030140D"/>
    <w:rsid w:val="0030166F"/>
    <w:rsid w:val="00301D49"/>
    <w:rsid w:val="0030213D"/>
    <w:rsid w:val="00302494"/>
    <w:rsid w:val="00303162"/>
    <w:rsid w:val="003038D3"/>
    <w:rsid w:val="00303BB0"/>
    <w:rsid w:val="00303C44"/>
    <w:rsid w:val="0030413B"/>
    <w:rsid w:val="003041A4"/>
    <w:rsid w:val="003043A1"/>
    <w:rsid w:val="0030457C"/>
    <w:rsid w:val="00304C08"/>
    <w:rsid w:val="00305006"/>
    <w:rsid w:val="00305248"/>
    <w:rsid w:val="003054B4"/>
    <w:rsid w:val="00305787"/>
    <w:rsid w:val="0030587D"/>
    <w:rsid w:val="00305C19"/>
    <w:rsid w:val="00305EEA"/>
    <w:rsid w:val="003061D2"/>
    <w:rsid w:val="003068D3"/>
    <w:rsid w:val="00306D71"/>
    <w:rsid w:val="0030703F"/>
    <w:rsid w:val="00307B4B"/>
    <w:rsid w:val="00307EBF"/>
    <w:rsid w:val="0031023D"/>
    <w:rsid w:val="00310354"/>
    <w:rsid w:val="003104AF"/>
    <w:rsid w:val="0031055D"/>
    <w:rsid w:val="00310925"/>
    <w:rsid w:val="00310A7E"/>
    <w:rsid w:val="00311476"/>
    <w:rsid w:val="00311C8E"/>
    <w:rsid w:val="00311F2E"/>
    <w:rsid w:val="003121ED"/>
    <w:rsid w:val="003122A2"/>
    <w:rsid w:val="003129B4"/>
    <w:rsid w:val="003129C7"/>
    <w:rsid w:val="0031319D"/>
    <w:rsid w:val="00313428"/>
    <w:rsid w:val="0031369C"/>
    <w:rsid w:val="00313921"/>
    <w:rsid w:val="00313D85"/>
    <w:rsid w:val="00313D9B"/>
    <w:rsid w:val="00314006"/>
    <w:rsid w:val="00314D94"/>
    <w:rsid w:val="00314EF0"/>
    <w:rsid w:val="00314F13"/>
    <w:rsid w:val="0031578D"/>
    <w:rsid w:val="00315E9D"/>
    <w:rsid w:val="003160DE"/>
    <w:rsid w:val="00316C53"/>
    <w:rsid w:val="0031707E"/>
    <w:rsid w:val="0031781D"/>
    <w:rsid w:val="00317967"/>
    <w:rsid w:val="003200A0"/>
    <w:rsid w:val="0032024F"/>
    <w:rsid w:val="0032034F"/>
    <w:rsid w:val="003205FD"/>
    <w:rsid w:val="003208FC"/>
    <w:rsid w:val="003209E0"/>
    <w:rsid w:val="00321190"/>
    <w:rsid w:val="00321830"/>
    <w:rsid w:val="00321961"/>
    <w:rsid w:val="00322803"/>
    <w:rsid w:val="003229D4"/>
    <w:rsid w:val="003235BC"/>
    <w:rsid w:val="00323B0A"/>
    <w:rsid w:val="00323D40"/>
    <w:rsid w:val="00323D9E"/>
    <w:rsid w:val="00324357"/>
    <w:rsid w:val="0032485F"/>
    <w:rsid w:val="003249B0"/>
    <w:rsid w:val="00324B27"/>
    <w:rsid w:val="00325307"/>
    <w:rsid w:val="00325B4C"/>
    <w:rsid w:val="00325D1D"/>
    <w:rsid w:val="0032693C"/>
    <w:rsid w:val="00327749"/>
    <w:rsid w:val="003278EA"/>
    <w:rsid w:val="00327924"/>
    <w:rsid w:val="00327B25"/>
    <w:rsid w:val="00330669"/>
    <w:rsid w:val="0033079D"/>
    <w:rsid w:val="003309FF"/>
    <w:rsid w:val="003310B6"/>
    <w:rsid w:val="00331776"/>
    <w:rsid w:val="003318D4"/>
    <w:rsid w:val="00331A80"/>
    <w:rsid w:val="00331CB6"/>
    <w:rsid w:val="00331F4F"/>
    <w:rsid w:val="00331FAD"/>
    <w:rsid w:val="0033204F"/>
    <w:rsid w:val="003320DB"/>
    <w:rsid w:val="0033213A"/>
    <w:rsid w:val="003327BC"/>
    <w:rsid w:val="003328FD"/>
    <w:rsid w:val="00332988"/>
    <w:rsid w:val="0033347E"/>
    <w:rsid w:val="003337B9"/>
    <w:rsid w:val="00333A1E"/>
    <w:rsid w:val="00333A3B"/>
    <w:rsid w:val="00333A4A"/>
    <w:rsid w:val="00333B4B"/>
    <w:rsid w:val="00333C43"/>
    <w:rsid w:val="003342DF"/>
    <w:rsid w:val="00334BDD"/>
    <w:rsid w:val="00334CC3"/>
    <w:rsid w:val="00335D64"/>
    <w:rsid w:val="00335E0E"/>
    <w:rsid w:val="00335FB8"/>
    <w:rsid w:val="00335FBB"/>
    <w:rsid w:val="00335FEC"/>
    <w:rsid w:val="00336326"/>
    <w:rsid w:val="00336692"/>
    <w:rsid w:val="0033683F"/>
    <w:rsid w:val="00336BCB"/>
    <w:rsid w:val="00336DC9"/>
    <w:rsid w:val="00336FA9"/>
    <w:rsid w:val="00337CA7"/>
    <w:rsid w:val="00337D00"/>
    <w:rsid w:val="00337EE8"/>
    <w:rsid w:val="00340504"/>
    <w:rsid w:val="00340B52"/>
    <w:rsid w:val="00340C59"/>
    <w:rsid w:val="00341847"/>
    <w:rsid w:val="00341DA4"/>
    <w:rsid w:val="00342243"/>
    <w:rsid w:val="003428DE"/>
    <w:rsid w:val="0034298C"/>
    <w:rsid w:val="00342E7D"/>
    <w:rsid w:val="00343776"/>
    <w:rsid w:val="00343999"/>
    <w:rsid w:val="00343A16"/>
    <w:rsid w:val="00343ABB"/>
    <w:rsid w:val="003443E1"/>
    <w:rsid w:val="00344429"/>
    <w:rsid w:val="00344506"/>
    <w:rsid w:val="00344A66"/>
    <w:rsid w:val="00344AA3"/>
    <w:rsid w:val="00344D44"/>
    <w:rsid w:val="00344F62"/>
    <w:rsid w:val="00344F81"/>
    <w:rsid w:val="00345288"/>
    <w:rsid w:val="003454FB"/>
    <w:rsid w:val="00345DBA"/>
    <w:rsid w:val="00346615"/>
    <w:rsid w:val="00346636"/>
    <w:rsid w:val="00346F89"/>
    <w:rsid w:val="00347B32"/>
    <w:rsid w:val="00347CCA"/>
    <w:rsid w:val="00347E96"/>
    <w:rsid w:val="003507A7"/>
    <w:rsid w:val="00350A76"/>
    <w:rsid w:val="00350BC4"/>
    <w:rsid w:val="00351448"/>
    <w:rsid w:val="003519C7"/>
    <w:rsid w:val="00351A9F"/>
    <w:rsid w:val="0035264B"/>
    <w:rsid w:val="00352694"/>
    <w:rsid w:val="00352D46"/>
    <w:rsid w:val="00352DBB"/>
    <w:rsid w:val="003538BD"/>
    <w:rsid w:val="00353E6C"/>
    <w:rsid w:val="00353E92"/>
    <w:rsid w:val="00353F48"/>
    <w:rsid w:val="00354046"/>
    <w:rsid w:val="0035406E"/>
    <w:rsid w:val="003540E0"/>
    <w:rsid w:val="003544A2"/>
    <w:rsid w:val="00355573"/>
    <w:rsid w:val="00355AE7"/>
    <w:rsid w:val="00356099"/>
    <w:rsid w:val="003560DD"/>
    <w:rsid w:val="00356541"/>
    <w:rsid w:val="0035664C"/>
    <w:rsid w:val="003574DA"/>
    <w:rsid w:val="00357704"/>
    <w:rsid w:val="00357788"/>
    <w:rsid w:val="003577EA"/>
    <w:rsid w:val="00357AA7"/>
    <w:rsid w:val="00357AB9"/>
    <w:rsid w:val="0036032C"/>
    <w:rsid w:val="00360385"/>
    <w:rsid w:val="003604D4"/>
    <w:rsid w:val="00360620"/>
    <w:rsid w:val="00360809"/>
    <w:rsid w:val="0036082B"/>
    <w:rsid w:val="00360EEC"/>
    <w:rsid w:val="0036103F"/>
    <w:rsid w:val="003611A9"/>
    <w:rsid w:val="00361264"/>
    <w:rsid w:val="00361AEA"/>
    <w:rsid w:val="00361B04"/>
    <w:rsid w:val="00361F62"/>
    <w:rsid w:val="00362158"/>
    <w:rsid w:val="00362263"/>
    <w:rsid w:val="00362383"/>
    <w:rsid w:val="00363133"/>
    <w:rsid w:val="0036350D"/>
    <w:rsid w:val="00363586"/>
    <w:rsid w:val="0036381A"/>
    <w:rsid w:val="00363C5C"/>
    <w:rsid w:val="0036434B"/>
    <w:rsid w:val="00364E15"/>
    <w:rsid w:val="00365098"/>
    <w:rsid w:val="00365395"/>
    <w:rsid w:val="003653C2"/>
    <w:rsid w:val="0036582A"/>
    <w:rsid w:val="003659A3"/>
    <w:rsid w:val="00365A88"/>
    <w:rsid w:val="00366262"/>
    <w:rsid w:val="0036683A"/>
    <w:rsid w:val="00366B0D"/>
    <w:rsid w:val="00367064"/>
    <w:rsid w:val="0036732D"/>
    <w:rsid w:val="00367FEB"/>
    <w:rsid w:val="00370552"/>
    <w:rsid w:val="00370583"/>
    <w:rsid w:val="0037061D"/>
    <w:rsid w:val="00370F12"/>
    <w:rsid w:val="00371270"/>
    <w:rsid w:val="003715ED"/>
    <w:rsid w:val="003717D9"/>
    <w:rsid w:val="0037191B"/>
    <w:rsid w:val="00371E8C"/>
    <w:rsid w:val="00371FDB"/>
    <w:rsid w:val="00372280"/>
    <w:rsid w:val="003724EE"/>
    <w:rsid w:val="003725C2"/>
    <w:rsid w:val="00372C0E"/>
    <w:rsid w:val="00372DA0"/>
    <w:rsid w:val="00372F27"/>
    <w:rsid w:val="00372F5A"/>
    <w:rsid w:val="0037336F"/>
    <w:rsid w:val="00373550"/>
    <w:rsid w:val="00373658"/>
    <w:rsid w:val="00373751"/>
    <w:rsid w:val="00373EA1"/>
    <w:rsid w:val="00374210"/>
    <w:rsid w:val="003749CF"/>
    <w:rsid w:val="00374E0D"/>
    <w:rsid w:val="00374E17"/>
    <w:rsid w:val="00374F50"/>
    <w:rsid w:val="003752EA"/>
    <w:rsid w:val="00375597"/>
    <w:rsid w:val="003756C3"/>
    <w:rsid w:val="003758BB"/>
    <w:rsid w:val="00375A5E"/>
    <w:rsid w:val="00375AF5"/>
    <w:rsid w:val="00376058"/>
    <w:rsid w:val="00376BD1"/>
    <w:rsid w:val="00376FC7"/>
    <w:rsid w:val="0037727D"/>
    <w:rsid w:val="003774CD"/>
    <w:rsid w:val="0038034F"/>
    <w:rsid w:val="003804DB"/>
    <w:rsid w:val="00380B2E"/>
    <w:rsid w:val="0038123A"/>
    <w:rsid w:val="00381A98"/>
    <w:rsid w:val="00381AB9"/>
    <w:rsid w:val="00381D19"/>
    <w:rsid w:val="00381DE4"/>
    <w:rsid w:val="00382355"/>
    <w:rsid w:val="003824B8"/>
    <w:rsid w:val="00382D52"/>
    <w:rsid w:val="00382FB8"/>
    <w:rsid w:val="003831A5"/>
    <w:rsid w:val="0038324A"/>
    <w:rsid w:val="0038337B"/>
    <w:rsid w:val="00383988"/>
    <w:rsid w:val="00383BAD"/>
    <w:rsid w:val="003840A2"/>
    <w:rsid w:val="00384CEB"/>
    <w:rsid w:val="00384E5E"/>
    <w:rsid w:val="00384EC5"/>
    <w:rsid w:val="003851FA"/>
    <w:rsid w:val="00385583"/>
    <w:rsid w:val="0038558B"/>
    <w:rsid w:val="00386697"/>
    <w:rsid w:val="00386C26"/>
    <w:rsid w:val="00386E0F"/>
    <w:rsid w:val="00386F44"/>
    <w:rsid w:val="003871F7"/>
    <w:rsid w:val="00387486"/>
    <w:rsid w:val="0038797D"/>
    <w:rsid w:val="003879A5"/>
    <w:rsid w:val="00387B4C"/>
    <w:rsid w:val="00387D6C"/>
    <w:rsid w:val="00387E06"/>
    <w:rsid w:val="0039003E"/>
    <w:rsid w:val="0039021F"/>
    <w:rsid w:val="00390705"/>
    <w:rsid w:val="00390A1C"/>
    <w:rsid w:val="00390BDA"/>
    <w:rsid w:val="00390E26"/>
    <w:rsid w:val="00390EEC"/>
    <w:rsid w:val="0039140F"/>
    <w:rsid w:val="0039161E"/>
    <w:rsid w:val="003918F4"/>
    <w:rsid w:val="00391ED2"/>
    <w:rsid w:val="00391FEB"/>
    <w:rsid w:val="00392059"/>
    <w:rsid w:val="003922B0"/>
    <w:rsid w:val="0039268F"/>
    <w:rsid w:val="0039361C"/>
    <w:rsid w:val="00393C67"/>
    <w:rsid w:val="0039408F"/>
    <w:rsid w:val="0039418B"/>
    <w:rsid w:val="00394290"/>
    <w:rsid w:val="0039457F"/>
    <w:rsid w:val="003947A5"/>
    <w:rsid w:val="00394D57"/>
    <w:rsid w:val="00394F70"/>
    <w:rsid w:val="00395C24"/>
    <w:rsid w:val="00395CC5"/>
    <w:rsid w:val="00395EE2"/>
    <w:rsid w:val="00396506"/>
    <w:rsid w:val="00396815"/>
    <w:rsid w:val="00396D6B"/>
    <w:rsid w:val="00396DE3"/>
    <w:rsid w:val="0039719A"/>
    <w:rsid w:val="003974ED"/>
    <w:rsid w:val="003976E6"/>
    <w:rsid w:val="00397AB1"/>
    <w:rsid w:val="00397C50"/>
    <w:rsid w:val="00397C8A"/>
    <w:rsid w:val="00397D39"/>
    <w:rsid w:val="003A0434"/>
    <w:rsid w:val="003A04D6"/>
    <w:rsid w:val="003A04FE"/>
    <w:rsid w:val="003A080A"/>
    <w:rsid w:val="003A199A"/>
    <w:rsid w:val="003A2E22"/>
    <w:rsid w:val="003A2F0B"/>
    <w:rsid w:val="003A2F15"/>
    <w:rsid w:val="003A35A4"/>
    <w:rsid w:val="003A35A6"/>
    <w:rsid w:val="003A375C"/>
    <w:rsid w:val="003A3927"/>
    <w:rsid w:val="003A3C3D"/>
    <w:rsid w:val="003A427F"/>
    <w:rsid w:val="003A49EB"/>
    <w:rsid w:val="003A4C67"/>
    <w:rsid w:val="003A5605"/>
    <w:rsid w:val="003A5721"/>
    <w:rsid w:val="003A5789"/>
    <w:rsid w:val="003A596B"/>
    <w:rsid w:val="003A5A6F"/>
    <w:rsid w:val="003A5B54"/>
    <w:rsid w:val="003A5BC4"/>
    <w:rsid w:val="003A5D07"/>
    <w:rsid w:val="003A6645"/>
    <w:rsid w:val="003A6841"/>
    <w:rsid w:val="003A6909"/>
    <w:rsid w:val="003A6B3C"/>
    <w:rsid w:val="003A6DC3"/>
    <w:rsid w:val="003A713E"/>
    <w:rsid w:val="003A72B2"/>
    <w:rsid w:val="003B0D1D"/>
    <w:rsid w:val="003B14BD"/>
    <w:rsid w:val="003B16C9"/>
    <w:rsid w:val="003B1762"/>
    <w:rsid w:val="003B1822"/>
    <w:rsid w:val="003B19DD"/>
    <w:rsid w:val="003B2428"/>
    <w:rsid w:val="003B24C0"/>
    <w:rsid w:val="003B27F0"/>
    <w:rsid w:val="003B2B20"/>
    <w:rsid w:val="003B2C15"/>
    <w:rsid w:val="003B2DB7"/>
    <w:rsid w:val="003B302B"/>
    <w:rsid w:val="003B33DD"/>
    <w:rsid w:val="003B3630"/>
    <w:rsid w:val="003B3730"/>
    <w:rsid w:val="003B373F"/>
    <w:rsid w:val="003B3775"/>
    <w:rsid w:val="003B3EC4"/>
    <w:rsid w:val="003B415F"/>
    <w:rsid w:val="003B4252"/>
    <w:rsid w:val="003B4395"/>
    <w:rsid w:val="003B469B"/>
    <w:rsid w:val="003B47B1"/>
    <w:rsid w:val="003B4A44"/>
    <w:rsid w:val="003B4AED"/>
    <w:rsid w:val="003B4E58"/>
    <w:rsid w:val="003B5280"/>
    <w:rsid w:val="003B5547"/>
    <w:rsid w:val="003B5D00"/>
    <w:rsid w:val="003B5F66"/>
    <w:rsid w:val="003B6641"/>
    <w:rsid w:val="003B66C2"/>
    <w:rsid w:val="003B69B3"/>
    <w:rsid w:val="003B6B24"/>
    <w:rsid w:val="003B6CFA"/>
    <w:rsid w:val="003B72C4"/>
    <w:rsid w:val="003B7313"/>
    <w:rsid w:val="003B75BE"/>
    <w:rsid w:val="003B7A77"/>
    <w:rsid w:val="003C0BC9"/>
    <w:rsid w:val="003C0C22"/>
    <w:rsid w:val="003C0C2C"/>
    <w:rsid w:val="003C0E20"/>
    <w:rsid w:val="003C1268"/>
    <w:rsid w:val="003C189A"/>
    <w:rsid w:val="003C1950"/>
    <w:rsid w:val="003C199E"/>
    <w:rsid w:val="003C1BBA"/>
    <w:rsid w:val="003C1DC3"/>
    <w:rsid w:val="003C1E75"/>
    <w:rsid w:val="003C2414"/>
    <w:rsid w:val="003C278D"/>
    <w:rsid w:val="003C3333"/>
    <w:rsid w:val="003C370E"/>
    <w:rsid w:val="003C38A3"/>
    <w:rsid w:val="003C3925"/>
    <w:rsid w:val="003C3DBF"/>
    <w:rsid w:val="003C46BB"/>
    <w:rsid w:val="003C46FF"/>
    <w:rsid w:val="003C4847"/>
    <w:rsid w:val="003C4AD3"/>
    <w:rsid w:val="003C4BB9"/>
    <w:rsid w:val="003C4C31"/>
    <w:rsid w:val="003C4D57"/>
    <w:rsid w:val="003C4DE1"/>
    <w:rsid w:val="003C4E13"/>
    <w:rsid w:val="003C5774"/>
    <w:rsid w:val="003C5877"/>
    <w:rsid w:val="003C60C0"/>
    <w:rsid w:val="003C631A"/>
    <w:rsid w:val="003C6736"/>
    <w:rsid w:val="003C6949"/>
    <w:rsid w:val="003C6A92"/>
    <w:rsid w:val="003C6D47"/>
    <w:rsid w:val="003C6DD6"/>
    <w:rsid w:val="003C7317"/>
    <w:rsid w:val="003C77DA"/>
    <w:rsid w:val="003C7A10"/>
    <w:rsid w:val="003C7FCA"/>
    <w:rsid w:val="003D0018"/>
    <w:rsid w:val="003D0097"/>
    <w:rsid w:val="003D00DF"/>
    <w:rsid w:val="003D0251"/>
    <w:rsid w:val="003D07C3"/>
    <w:rsid w:val="003D0C28"/>
    <w:rsid w:val="003D0DE4"/>
    <w:rsid w:val="003D1705"/>
    <w:rsid w:val="003D1888"/>
    <w:rsid w:val="003D1DCA"/>
    <w:rsid w:val="003D21E2"/>
    <w:rsid w:val="003D23F8"/>
    <w:rsid w:val="003D2564"/>
    <w:rsid w:val="003D2645"/>
    <w:rsid w:val="003D2A00"/>
    <w:rsid w:val="003D2AA0"/>
    <w:rsid w:val="003D2CDF"/>
    <w:rsid w:val="003D30F9"/>
    <w:rsid w:val="003D3195"/>
    <w:rsid w:val="003D3317"/>
    <w:rsid w:val="003D3B96"/>
    <w:rsid w:val="003D3C19"/>
    <w:rsid w:val="003D3C8B"/>
    <w:rsid w:val="003D422A"/>
    <w:rsid w:val="003D4B03"/>
    <w:rsid w:val="003D53C4"/>
    <w:rsid w:val="003D54C3"/>
    <w:rsid w:val="003D5661"/>
    <w:rsid w:val="003D5839"/>
    <w:rsid w:val="003D5936"/>
    <w:rsid w:val="003D5B03"/>
    <w:rsid w:val="003D5D4C"/>
    <w:rsid w:val="003D67D2"/>
    <w:rsid w:val="003D6BD4"/>
    <w:rsid w:val="003D6EC7"/>
    <w:rsid w:val="003D719D"/>
    <w:rsid w:val="003D771F"/>
    <w:rsid w:val="003D7EBA"/>
    <w:rsid w:val="003E00FA"/>
    <w:rsid w:val="003E0895"/>
    <w:rsid w:val="003E0C40"/>
    <w:rsid w:val="003E0F13"/>
    <w:rsid w:val="003E1011"/>
    <w:rsid w:val="003E10B9"/>
    <w:rsid w:val="003E22A2"/>
    <w:rsid w:val="003E2AAB"/>
    <w:rsid w:val="003E2BC2"/>
    <w:rsid w:val="003E32B2"/>
    <w:rsid w:val="003E36D0"/>
    <w:rsid w:val="003E3953"/>
    <w:rsid w:val="003E4173"/>
    <w:rsid w:val="003E44D0"/>
    <w:rsid w:val="003E47F8"/>
    <w:rsid w:val="003E5798"/>
    <w:rsid w:val="003E5909"/>
    <w:rsid w:val="003E5BC9"/>
    <w:rsid w:val="003E613E"/>
    <w:rsid w:val="003E64F3"/>
    <w:rsid w:val="003E6818"/>
    <w:rsid w:val="003E68E8"/>
    <w:rsid w:val="003E71C9"/>
    <w:rsid w:val="003E7504"/>
    <w:rsid w:val="003E756F"/>
    <w:rsid w:val="003E7664"/>
    <w:rsid w:val="003E7979"/>
    <w:rsid w:val="003E7A03"/>
    <w:rsid w:val="003E7D1A"/>
    <w:rsid w:val="003E7D5A"/>
    <w:rsid w:val="003E7FA5"/>
    <w:rsid w:val="003F0255"/>
    <w:rsid w:val="003F04B8"/>
    <w:rsid w:val="003F0BCE"/>
    <w:rsid w:val="003F0D60"/>
    <w:rsid w:val="003F0FD0"/>
    <w:rsid w:val="003F18FB"/>
    <w:rsid w:val="003F1DED"/>
    <w:rsid w:val="003F1E13"/>
    <w:rsid w:val="003F1E88"/>
    <w:rsid w:val="003F238B"/>
    <w:rsid w:val="003F23A3"/>
    <w:rsid w:val="003F31B5"/>
    <w:rsid w:val="003F379E"/>
    <w:rsid w:val="003F382C"/>
    <w:rsid w:val="003F3E0E"/>
    <w:rsid w:val="003F3FBB"/>
    <w:rsid w:val="003F410A"/>
    <w:rsid w:val="003F4F19"/>
    <w:rsid w:val="003F52FE"/>
    <w:rsid w:val="003F5960"/>
    <w:rsid w:val="003F626A"/>
    <w:rsid w:val="003F68A9"/>
    <w:rsid w:val="003F6933"/>
    <w:rsid w:val="003F6DCB"/>
    <w:rsid w:val="003F6F3A"/>
    <w:rsid w:val="003F74AC"/>
    <w:rsid w:val="003F76D6"/>
    <w:rsid w:val="003F7A75"/>
    <w:rsid w:val="003F7B9B"/>
    <w:rsid w:val="003F7DDA"/>
    <w:rsid w:val="0040029F"/>
    <w:rsid w:val="0040039A"/>
    <w:rsid w:val="004003C0"/>
    <w:rsid w:val="004006BC"/>
    <w:rsid w:val="00400A08"/>
    <w:rsid w:val="004010C7"/>
    <w:rsid w:val="00401468"/>
    <w:rsid w:val="0040162F"/>
    <w:rsid w:val="00401833"/>
    <w:rsid w:val="0040195E"/>
    <w:rsid w:val="00401A79"/>
    <w:rsid w:val="00401AC9"/>
    <w:rsid w:val="00402144"/>
    <w:rsid w:val="00402570"/>
    <w:rsid w:val="00402B76"/>
    <w:rsid w:val="00402D19"/>
    <w:rsid w:val="004030A5"/>
    <w:rsid w:val="004032DF"/>
    <w:rsid w:val="00403BB0"/>
    <w:rsid w:val="00403CBB"/>
    <w:rsid w:val="00404097"/>
    <w:rsid w:val="00404363"/>
    <w:rsid w:val="00404444"/>
    <w:rsid w:val="00404810"/>
    <w:rsid w:val="004048E3"/>
    <w:rsid w:val="00404BE6"/>
    <w:rsid w:val="00404C34"/>
    <w:rsid w:val="00404EEE"/>
    <w:rsid w:val="004051EE"/>
    <w:rsid w:val="004052C4"/>
    <w:rsid w:val="004052C6"/>
    <w:rsid w:val="0040599D"/>
    <w:rsid w:val="004059F9"/>
    <w:rsid w:val="00405AAE"/>
    <w:rsid w:val="004061ED"/>
    <w:rsid w:val="00406820"/>
    <w:rsid w:val="00407119"/>
    <w:rsid w:val="00407A4F"/>
    <w:rsid w:val="00407D31"/>
    <w:rsid w:val="00410240"/>
    <w:rsid w:val="0041048F"/>
    <w:rsid w:val="00410AF5"/>
    <w:rsid w:val="00410C78"/>
    <w:rsid w:val="00411131"/>
    <w:rsid w:val="004114AA"/>
    <w:rsid w:val="004118EA"/>
    <w:rsid w:val="00411C8F"/>
    <w:rsid w:val="00411FA9"/>
    <w:rsid w:val="004120FA"/>
    <w:rsid w:val="00412142"/>
    <w:rsid w:val="0041224E"/>
    <w:rsid w:val="0041269A"/>
    <w:rsid w:val="00412783"/>
    <w:rsid w:val="00412D40"/>
    <w:rsid w:val="00412DCC"/>
    <w:rsid w:val="004134C9"/>
    <w:rsid w:val="004136C8"/>
    <w:rsid w:val="0041374A"/>
    <w:rsid w:val="004138DA"/>
    <w:rsid w:val="00413BA6"/>
    <w:rsid w:val="00413BC4"/>
    <w:rsid w:val="00413FD4"/>
    <w:rsid w:val="00413FFC"/>
    <w:rsid w:val="00414443"/>
    <w:rsid w:val="00414B25"/>
    <w:rsid w:val="00414D8F"/>
    <w:rsid w:val="00414E79"/>
    <w:rsid w:val="004155B2"/>
    <w:rsid w:val="004157D2"/>
    <w:rsid w:val="0041592B"/>
    <w:rsid w:val="004161F0"/>
    <w:rsid w:val="004163F2"/>
    <w:rsid w:val="00416431"/>
    <w:rsid w:val="004167BE"/>
    <w:rsid w:val="00417270"/>
    <w:rsid w:val="00417679"/>
    <w:rsid w:val="00417890"/>
    <w:rsid w:val="00417903"/>
    <w:rsid w:val="004179F1"/>
    <w:rsid w:val="00417A01"/>
    <w:rsid w:val="00417C2C"/>
    <w:rsid w:val="00417CC4"/>
    <w:rsid w:val="00417EA9"/>
    <w:rsid w:val="00420245"/>
    <w:rsid w:val="0042040A"/>
    <w:rsid w:val="00420417"/>
    <w:rsid w:val="0042053E"/>
    <w:rsid w:val="00421163"/>
    <w:rsid w:val="004211E6"/>
    <w:rsid w:val="00421C4F"/>
    <w:rsid w:val="00421E69"/>
    <w:rsid w:val="00422097"/>
    <w:rsid w:val="00422191"/>
    <w:rsid w:val="00422677"/>
    <w:rsid w:val="00422E02"/>
    <w:rsid w:val="0042377A"/>
    <w:rsid w:val="00423AA4"/>
    <w:rsid w:val="00423D07"/>
    <w:rsid w:val="00423DAC"/>
    <w:rsid w:val="004242E9"/>
    <w:rsid w:val="00424A4B"/>
    <w:rsid w:val="004258E1"/>
    <w:rsid w:val="00425E64"/>
    <w:rsid w:val="00425ED8"/>
    <w:rsid w:val="0042695E"/>
    <w:rsid w:val="00426B9F"/>
    <w:rsid w:val="00426D4B"/>
    <w:rsid w:val="00426ECB"/>
    <w:rsid w:val="0042741B"/>
    <w:rsid w:val="004275DF"/>
    <w:rsid w:val="004277CC"/>
    <w:rsid w:val="00427A4F"/>
    <w:rsid w:val="00427D1F"/>
    <w:rsid w:val="004306DE"/>
    <w:rsid w:val="00430B82"/>
    <w:rsid w:val="00430D4B"/>
    <w:rsid w:val="00430DF7"/>
    <w:rsid w:val="004314FC"/>
    <w:rsid w:val="00431A86"/>
    <w:rsid w:val="00431B29"/>
    <w:rsid w:val="00431C18"/>
    <w:rsid w:val="00431E7A"/>
    <w:rsid w:val="00432192"/>
    <w:rsid w:val="0043233E"/>
    <w:rsid w:val="00432515"/>
    <w:rsid w:val="004326A1"/>
    <w:rsid w:val="00432865"/>
    <w:rsid w:val="00432AD3"/>
    <w:rsid w:val="00432B9D"/>
    <w:rsid w:val="004336E5"/>
    <w:rsid w:val="00433F09"/>
    <w:rsid w:val="00433FD0"/>
    <w:rsid w:val="004340D4"/>
    <w:rsid w:val="00434536"/>
    <w:rsid w:val="004349F3"/>
    <w:rsid w:val="00434F34"/>
    <w:rsid w:val="0043500B"/>
    <w:rsid w:val="004355C7"/>
    <w:rsid w:val="004358D9"/>
    <w:rsid w:val="00435BBE"/>
    <w:rsid w:val="00435EEF"/>
    <w:rsid w:val="00435F53"/>
    <w:rsid w:val="00436047"/>
    <w:rsid w:val="004361A1"/>
    <w:rsid w:val="004362B6"/>
    <w:rsid w:val="0043632A"/>
    <w:rsid w:val="004363A2"/>
    <w:rsid w:val="0043661E"/>
    <w:rsid w:val="00436635"/>
    <w:rsid w:val="004366AE"/>
    <w:rsid w:val="00436CA8"/>
    <w:rsid w:val="00436F1F"/>
    <w:rsid w:val="004376A1"/>
    <w:rsid w:val="004376BE"/>
    <w:rsid w:val="0043793A"/>
    <w:rsid w:val="004379DB"/>
    <w:rsid w:val="00437ACE"/>
    <w:rsid w:val="00437B66"/>
    <w:rsid w:val="00437B7A"/>
    <w:rsid w:val="00440511"/>
    <w:rsid w:val="0044060F"/>
    <w:rsid w:val="004408AD"/>
    <w:rsid w:val="00440944"/>
    <w:rsid w:val="0044097E"/>
    <w:rsid w:val="004411D1"/>
    <w:rsid w:val="0044180B"/>
    <w:rsid w:val="0044183D"/>
    <w:rsid w:val="004418F2"/>
    <w:rsid w:val="004418F7"/>
    <w:rsid w:val="00441D5C"/>
    <w:rsid w:val="00441E62"/>
    <w:rsid w:val="004420EA"/>
    <w:rsid w:val="004421C6"/>
    <w:rsid w:val="004422A9"/>
    <w:rsid w:val="0044269C"/>
    <w:rsid w:val="00442735"/>
    <w:rsid w:val="004429E8"/>
    <w:rsid w:val="00442B9E"/>
    <w:rsid w:val="00442C1C"/>
    <w:rsid w:val="00442DED"/>
    <w:rsid w:val="00443014"/>
    <w:rsid w:val="00443450"/>
    <w:rsid w:val="00443554"/>
    <w:rsid w:val="004436C9"/>
    <w:rsid w:val="0044376F"/>
    <w:rsid w:val="0044396A"/>
    <w:rsid w:val="0044444B"/>
    <w:rsid w:val="004444B3"/>
    <w:rsid w:val="00444576"/>
    <w:rsid w:val="0044463F"/>
    <w:rsid w:val="00444873"/>
    <w:rsid w:val="004448D2"/>
    <w:rsid w:val="00444FE4"/>
    <w:rsid w:val="00445884"/>
    <w:rsid w:val="00445B94"/>
    <w:rsid w:val="00445C1F"/>
    <w:rsid w:val="00445CAD"/>
    <w:rsid w:val="00445E66"/>
    <w:rsid w:val="00445EFC"/>
    <w:rsid w:val="00446509"/>
    <w:rsid w:val="004475FA"/>
    <w:rsid w:val="0044789A"/>
    <w:rsid w:val="00447FE3"/>
    <w:rsid w:val="004505D0"/>
    <w:rsid w:val="0045069B"/>
    <w:rsid w:val="004507E8"/>
    <w:rsid w:val="00450A2B"/>
    <w:rsid w:val="00450C90"/>
    <w:rsid w:val="00451062"/>
    <w:rsid w:val="00451422"/>
    <w:rsid w:val="00451C9D"/>
    <w:rsid w:val="00451EAC"/>
    <w:rsid w:val="004528E6"/>
    <w:rsid w:val="00452A0B"/>
    <w:rsid w:val="00452B1F"/>
    <w:rsid w:val="00452B68"/>
    <w:rsid w:val="00452F95"/>
    <w:rsid w:val="0045330D"/>
    <w:rsid w:val="004534BE"/>
    <w:rsid w:val="0045383B"/>
    <w:rsid w:val="00453A6A"/>
    <w:rsid w:val="00453AB0"/>
    <w:rsid w:val="00453C96"/>
    <w:rsid w:val="00453D56"/>
    <w:rsid w:val="00453EB9"/>
    <w:rsid w:val="00454241"/>
    <w:rsid w:val="004549D0"/>
    <w:rsid w:val="00454D52"/>
    <w:rsid w:val="004550D6"/>
    <w:rsid w:val="00455842"/>
    <w:rsid w:val="00455A19"/>
    <w:rsid w:val="00456A5C"/>
    <w:rsid w:val="00457531"/>
    <w:rsid w:val="00457711"/>
    <w:rsid w:val="004579A5"/>
    <w:rsid w:val="00457A58"/>
    <w:rsid w:val="0046026B"/>
    <w:rsid w:val="0046026E"/>
    <w:rsid w:val="004606BD"/>
    <w:rsid w:val="00460ADC"/>
    <w:rsid w:val="00460D7A"/>
    <w:rsid w:val="00460E4A"/>
    <w:rsid w:val="00461345"/>
    <w:rsid w:val="00461390"/>
    <w:rsid w:val="004614A8"/>
    <w:rsid w:val="004617A0"/>
    <w:rsid w:val="00461A55"/>
    <w:rsid w:val="004621C9"/>
    <w:rsid w:val="00462B40"/>
    <w:rsid w:val="00462FA0"/>
    <w:rsid w:val="004630AC"/>
    <w:rsid w:val="00463647"/>
    <w:rsid w:val="004637DE"/>
    <w:rsid w:val="004638ED"/>
    <w:rsid w:val="00463BE2"/>
    <w:rsid w:val="00463C97"/>
    <w:rsid w:val="004640FF"/>
    <w:rsid w:val="00464172"/>
    <w:rsid w:val="00464390"/>
    <w:rsid w:val="004644E7"/>
    <w:rsid w:val="00464695"/>
    <w:rsid w:val="004647A2"/>
    <w:rsid w:val="00464B7E"/>
    <w:rsid w:val="004653BD"/>
    <w:rsid w:val="00465430"/>
    <w:rsid w:val="00465A67"/>
    <w:rsid w:val="00465ED9"/>
    <w:rsid w:val="00466DB3"/>
    <w:rsid w:val="00467026"/>
    <w:rsid w:val="00467762"/>
    <w:rsid w:val="00467D1C"/>
    <w:rsid w:val="00467ECF"/>
    <w:rsid w:val="004700B1"/>
    <w:rsid w:val="004707F0"/>
    <w:rsid w:val="00470CBC"/>
    <w:rsid w:val="00470EE5"/>
    <w:rsid w:val="0047142C"/>
    <w:rsid w:val="0047188F"/>
    <w:rsid w:val="00471BB8"/>
    <w:rsid w:val="00471FD6"/>
    <w:rsid w:val="00472162"/>
    <w:rsid w:val="0047224A"/>
    <w:rsid w:val="004722D9"/>
    <w:rsid w:val="00472562"/>
    <w:rsid w:val="00472C29"/>
    <w:rsid w:val="00472C7F"/>
    <w:rsid w:val="00472E58"/>
    <w:rsid w:val="00472F1D"/>
    <w:rsid w:val="00473302"/>
    <w:rsid w:val="00473304"/>
    <w:rsid w:val="00473393"/>
    <w:rsid w:val="004735F4"/>
    <w:rsid w:val="004739F9"/>
    <w:rsid w:val="004742FE"/>
    <w:rsid w:val="00474D12"/>
    <w:rsid w:val="00474E61"/>
    <w:rsid w:val="00474FCC"/>
    <w:rsid w:val="004755C9"/>
    <w:rsid w:val="004755D4"/>
    <w:rsid w:val="00475958"/>
    <w:rsid w:val="00475E70"/>
    <w:rsid w:val="00475FA7"/>
    <w:rsid w:val="00475FC7"/>
    <w:rsid w:val="004761A7"/>
    <w:rsid w:val="004764C5"/>
    <w:rsid w:val="00476E7B"/>
    <w:rsid w:val="0047727E"/>
    <w:rsid w:val="004774CD"/>
    <w:rsid w:val="00477888"/>
    <w:rsid w:val="004779EC"/>
    <w:rsid w:val="00477AFD"/>
    <w:rsid w:val="00477DEB"/>
    <w:rsid w:val="004801A7"/>
    <w:rsid w:val="00480290"/>
    <w:rsid w:val="00480417"/>
    <w:rsid w:val="00480B2A"/>
    <w:rsid w:val="00481211"/>
    <w:rsid w:val="00481590"/>
    <w:rsid w:val="00481A34"/>
    <w:rsid w:val="00482141"/>
    <w:rsid w:val="004825C0"/>
    <w:rsid w:val="0048299A"/>
    <w:rsid w:val="004832ED"/>
    <w:rsid w:val="0048330F"/>
    <w:rsid w:val="0048339B"/>
    <w:rsid w:val="00483AEC"/>
    <w:rsid w:val="00483B28"/>
    <w:rsid w:val="00483DD1"/>
    <w:rsid w:val="00483DD2"/>
    <w:rsid w:val="00483FB4"/>
    <w:rsid w:val="00484748"/>
    <w:rsid w:val="00484839"/>
    <w:rsid w:val="00484846"/>
    <w:rsid w:val="0048499C"/>
    <w:rsid w:val="00484C81"/>
    <w:rsid w:val="00485995"/>
    <w:rsid w:val="00485B2C"/>
    <w:rsid w:val="00485C0B"/>
    <w:rsid w:val="004861B2"/>
    <w:rsid w:val="00486393"/>
    <w:rsid w:val="0048676D"/>
    <w:rsid w:val="00486E49"/>
    <w:rsid w:val="0048751D"/>
    <w:rsid w:val="00487E7A"/>
    <w:rsid w:val="00490032"/>
    <w:rsid w:val="004900E7"/>
    <w:rsid w:val="0049029D"/>
    <w:rsid w:val="004904D5"/>
    <w:rsid w:val="00490754"/>
    <w:rsid w:val="0049081D"/>
    <w:rsid w:val="00490CE1"/>
    <w:rsid w:val="0049126B"/>
    <w:rsid w:val="004919AD"/>
    <w:rsid w:val="004919DD"/>
    <w:rsid w:val="00491D48"/>
    <w:rsid w:val="004920AC"/>
    <w:rsid w:val="004921F4"/>
    <w:rsid w:val="0049233C"/>
    <w:rsid w:val="004926B4"/>
    <w:rsid w:val="00492A92"/>
    <w:rsid w:val="00492F8A"/>
    <w:rsid w:val="004933C8"/>
    <w:rsid w:val="00493542"/>
    <w:rsid w:val="00493A6C"/>
    <w:rsid w:val="00493A7B"/>
    <w:rsid w:val="00493AC0"/>
    <w:rsid w:val="00493B7E"/>
    <w:rsid w:val="00493D53"/>
    <w:rsid w:val="004943BE"/>
    <w:rsid w:val="00494A58"/>
    <w:rsid w:val="00494AAB"/>
    <w:rsid w:val="00494D7F"/>
    <w:rsid w:val="004967C3"/>
    <w:rsid w:val="004968C6"/>
    <w:rsid w:val="004970E3"/>
    <w:rsid w:val="00497681"/>
    <w:rsid w:val="0049797D"/>
    <w:rsid w:val="00497A64"/>
    <w:rsid w:val="00497D26"/>
    <w:rsid w:val="00497FD4"/>
    <w:rsid w:val="004A00B9"/>
    <w:rsid w:val="004A0258"/>
    <w:rsid w:val="004A08DF"/>
    <w:rsid w:val="004A0939"/>
    <w:rsid w:val="004A0CA9"/>
    <w:rsid w:val="004A1484"/>
    <w:rsid w:val="004A1DAF"/>
    <w:rsid w:val="004A2024"/>
    <w:rsid w:val="004A2026"/>
    <w:rsid w:val="004A214D"/>
    <w:rsid w:val="004A21AC"/>
    <w:rsid w:val="004A2450"/>
    <w:rsid w:val="004A2783"/>
    <w:rsid w:val="004A28DC"/>
    <w:rsid w:val="004A2DBF"/>
    <w:rsid w:val="004A2EA6"/>
    <w:rsid w:val="004A33C7"/>
    <w:rsid w:val="004A3509"/>
    <w:rsid w:val="004A359D"/>
    <w:rsid w:val="004A39B9"/>
    <w:rsid w:val="004A3D19"/>
    <w:rsid w:val="004A4189"/>
    <w:rsid w:val="004A51C4"/>
    <w:rsid w:val="004A534C"/>
    <w:rsid w:val="004A53E8"/>
    <w:rsid w:val="004A566C"/>
    <w:rsid w:val="004A585E"/>
    <w:rsid w:val="004A62FC"/>
    <w:rsid w:val="004A65F3"/>
    <w:rsid w:val="004A6960"/>
    <w:rsid w:val="004A6F35"/>
    <w:rsid w:val="004A7264"/>
    <w:rsid w:val="004A727C"/>
    <w:rsid w:val="004A7529"/>
    <w:rsid w:val="004B072C"/>
    <w:rsid w:val="004B081A"/>
    <w:rsid w:val="004B0936"/>
    <w:rsid w:val="004B0AD7"/>
    <w:rsid w:val="004B0D95"/>
    <w:rsid w:val="004B0E71"/>
    <w:rsid w:val="004B0F76"/>
    <w:rsid w:val="004B16C6"/>
    <w:rsid w:val="004B1B68"/>
    <w:rsid w:val="004B2286"/>
    <w:rsid w:val="004B237E"/>
    <w:rsid w:val="004B2417"/>
    <w:rsid w:val="004B255B"/>
    <w:rsid w:val="004B27EB"/>
    <w:rsid w:val="004B2A3A"/>
    <w:rsid w:val="004B303B"/>
    <w:rsid w:val="004B32D6"/>
    <w:rsid w:val="004B345B"/>
    <w:rsid w:val="004B3828"/>
    <w:rsid w:val="004B3A6E"/>
    <w:rsid w:val="004B3CB8"/>
    <w:rsid w:val="004B410F"/>
    <w:rsid w:val="004B432B"/>
    <w:rsid w:val="004B44E2"/>
    <w:rsid w:val="004B4F9E"/>
    <w:rsid w:val="004B5546"/>
    <w:rsid w:val="004B56B5"/>
    <w:rsid w:val="004B579A"/>
    <w:rsid w:val="004B59DD"/>
    <w:rsid w:val="004B5FEE"/>
    <w:rsid w:val="004B63C9"/>
    <w:rsid w:val="004B65F1"/>
    <w:rsid w:val="004B6791"/>
    <w:rsid w:val="004B67EC"/>
    <w:rsid w:val="004B69AB"/>
    <w:rsid w:val="004B6C25"/>
    <w:rsid w:val="004B6E1A"/>
    <w:rsid w:val="004B7738"/>
    <w:rsid w:val="004B78C8"/>
    <w:rsid w:val="004B7A45"/>
    <w:rsid w:val="004B7DE5"/>
    <w:rsid w:val="004C00D9"/>
    <w:rsid w:val="004C08FD"/>
    <w:rsid w:val="004C09EF"/>
    <w:rsid w:val="004C1034"/>
    <w:rsid w:val="004C1094"/>
    <w:rsid w:val="004C1114"/>
    <w:rsid w:val="004C12B2"/>
    <w:rsid w:val="004C1A06"/>
    <w:rsid w:val="004C23B0"/>
    <w:rsid w:val="004C2438"/>
    <w:rsid w:val="004C2863"/>
    <w:rsid w:val="004C2EE0"/>
    <w:rsid w:val="004C30A5"/>
    <w:rsid w:val="004C3338"/>
    <w:rsid w:val="004C3558"/>
    <w:rsid w:val="004C36E3"/>
    <w:rsid w:val="004C403A"/>
    <w:rsid w:val="004C4043"/>
    <w:rsid w:val="004C4095"/>
    <w:rsid w:val="004C5196"/>
    <w:rsid w:val="004C534C"/>
    <w:rsid w:val="004C5626"/>
    <w:rsid w:val="004C5659"/>
    <w:rsid w:val="004C58DB"/>
    <w:rsid w:val="004C5996"/>
    <w:rsid w:val="004C5B06"/>
    <w:rsid w:val="004C5D4B"/>
    <w:rsid w:val="004C5E8C"/>
    <w:rsid w:val="004C6710"/>
    <w:rsid w:val="004C69BB"/>
    <w:rsid w:val="004C6A24"/>
    <w:rsid w:val="004C6CA4"/>
    <w:rsid w:val="004C700D"/>
    <w:rsid w:val="004C7911"/>
    <w:rsid w:val="004C7C45"/>
    <w:rsid w:val="004D0006"/>
    <w:rsid w:val="004D0137"/>
    <w:rsid w:val="004D0346"/>
    <w:rsid w:val="004D035B"/>
    <w:rsid w:val="004D052A"/>
    <w:rsid w:val="004D06A0"/>
    <w:rsid w:val="004D0D36"/>
    <w:rsid w:val="004D0DAD"/>
    <w:rsid w:val="004D2181"/>
    <w:rsid w:val="004D2408"/>
    <w:rsid w:val="004D241C"/>
    <w:rsid w:val="004D2841"/>
    <w:rsid w:val="004D2CB0"/>
    <w:rsid w:val="004D3861"/>
    <w:rsid w:val="004D3D48"/>
    <w:rsid w:val="004D3F03"/>
    <w:rsid w:val="004D3FAC"/>
    <w:rsid w:val="004D4019"/>
    <w:rsid w:val="004D4146"/>
    <w:rsid w:val="004D41E3"/>
    <w:rsid w:val="004D42F6"/>
    <w:rsid w:val="004D443B"/>
    <w:rsid w:val="004D44EA"/>
    <w:rsid w:val="004D4627"/>
    <w:rsid w:val="004D48CF"/>
    <w:rsid w:val="004D49AF"/>
    <w:rsid w:val="004D4BD5"/>
    <w:rsid w:val="004D4C68"/>
    <w:rsid w:val="004D4E66"/>
    <w:rsid w:val="004D4E92"/>
    <w:rsid w:val="004D4EC5"/>
    <w:rsid w:val="004D4EF8"/>
    <w:rsid w:val="004D4FD3"/>
    <w:rsid w:val="004D50CA"/>
    <w:rsid w:val="004D52D1"/>
    <w:rsid w:val="004D58A0"/>
    <w:rsid w:val="004D58E3"/>
    <w:rsid w:val="004D640B"/>
    <w:rsid w:val="004D6BCD"/>
    <w:rsid w:val="004D6DBE"/>
    <w:rsid w:val="004D6E4C"/>
    <w:rsid w:val="004D721F"/>
    <w:rsid w:val="004D72A9"/>
    <w:rsid w:val="004D739D"/>
    <w:rsid w:val="004D74E6"/>
    <w:rsid w:val="004D7F68"/>
    <w:rsid w:val="004E056E"/>
    <w:rsid w:val="004E0BC5"/>
    <w:rsid w:val="004E0CFA"/>
    <w:rsid w:val="004E1048"/>
    <w:rsid w:val="004E126C"/>
    <w:rsid w:val="004E12E8"/>
    <w:rsid w:val="004E12F9"/>
    <w:rsid w:val="004E19A1"/>
    <w:rsid w:val="004E19E0"/>
    <w:rsid w:val="004E24A6"/>
    <w:rsid w:val="004E25DA"/>
    <w:rsid w:val="004E3188"/>
    <w:rsid w:val="004E3204"/>
    <w:rsid w:val="004E3356"/>
    <w:rsid w:val="004E3D40"/>
    <w:rsid w:val="004E46F2"/>
    <w:rsid w:val="004E4E65"/>
    <w:rsid w:val="004E6953"/>
    <w:rsid w:val="004E69F8"/>
    <w:rsid w:val="004E6E00"/>
    <w:rsid w:val="004E7012"/>
    <w:rsid w:val="004E7591"/>
    <w:rsid w:val="004E7662"/>
    <w:rsid w:val="004E77CB"/>
    <w:rsid w:val="004E7950"/>
    <w:rsid w:val="004E7C08"/>
    <w:rsid w:val="004E7CE1"/>
    <w:rsid w:val="004F016A"/>
    <w:rsid w:val="004F0188"/>
    <w:rsid w:val="004F0254"/>
    <w:rsid w:val="004F0434"/>
    <w:rsid w:val="004F05A4"/>
    <w:rsid w:val="004F05AF"/>
    <w:rsid w:val="004F0682"/>
    <w:rsid w:val="004F0CE9"/>
    <w:rsid w:val="004F0D32"/>
    <w:rsid w:val="004F0DBC"/>
    <w:rsid w:val="004F1565"/>
    <w:rsid w:val="004F2BC1"/>
    <w:rsid w:val="004F2C5D"/>
    <w:rsid w:val="004F3439"/>
    <w:rsid w:val="004F3CA3"/>
    <w:rsid w:val="004F498C"/>
    <w:rsid w:val="004F4AF7"/>
    <w:rsid w:val="004F4C2B"/>
    <w:rsid w:val="004F5524"/>
    <w:rsid w:val="004F610E"/>
    <w:rsid w:val="004F6948"/>
    <w:rsid w:val="004F6CFF"/>
    <w:rsid w:val="004F79FF"/>
    <w:rsid w:val="004F7A03"/>
    <w:rsid w:val="004F7C4B"/>
    <w:rsid w:val="004F7D69"/>
    <w:rsid w:val="004F7EC2"/>
    <w:rsid w:val="00500235"/>
    <w:rsid w:val="005003F8"/>
    <w:rsid w:val="0050059A"/>
    <w:rsid w:val="00500D02"/>
    <w:rsid w:val="00501304"/>
    <w:rsid w:val="00501353"/>
    <w:rsid w:val="00501610"/>
    <w:rsid w:val="005019E8"/>
    <w:rsid w:val="00501DD2"/>
    <w:rsid w:val="005021E9"/>
    <w:rsid w:val="0050235D"/>
    <w:rsid w:val="005023A7"/>
    <w:rsid w:val="005023FB"/>
    <w:rsid w:val="00502473"/>
    <w:rsid w:val="0050291B"/>
    <w:rsid w:val="00502941"/>
    <w:rsid w:val="00502A79"/>
    <w:rsid w:val="00502F47"/>
    <w:rsid w:val="005037D0"/>
    <w:rsid w:val="00503918"/>
    <w:rsid w:val="00503A4A"/>
    <w:rsid w:val="00504637"/>
    <w:rsid w:val="0050471B"/>
    <w:rsid w:val="00504ACD"/>
    <w:rsid w:val="00504B62"/>
    <w:rsid w:val="005051C9"/>
    <w:rsid w:val="005052A4"/>
    <w:rsid w:val="00505318"/>
    <w:rsid w:val="0050551C"/>
    <w:rsid w:val="0050552E"/>
    <w:rsid w:val="0050568C"/>
    <w:rsid w:val="00505766"/>
    <w:rsid w:val="00505E86"/>
    <w:rsid w:val="00506A15"/>
    <w:rsid w:val="00506A60"/>
    <w:rsid w:val="00506B6F"/>
    <w:rsid w:val="00506E52"/>
    <w:rsid w:val="00507259"/>
    <w:rsid w:val="0050770B"/>
    <w:rsid w:val="00507E44"/>
    <w:rsid w:val="00507EFE"/>
    <w:rsid w:val="0051077F"/>
    <w:rsid w:val="005109E1"/>
    <w:rsid w:val="00510C3F"/>
    <w:rsid w:val="00510F37"/>
    <w:rsid w:val="005110DE"/>
    <w:rsid w:val="00511180"/>
    <w:rsid w:val="00511F60"/>
    <w:rsid w:val="00512631"/>
    <w:rsid w:val="00512AC7"/>
    <w:rsid w:val="00512C5A"/>
    <w:rsid w:val="00512ED2"/>
    <w:rsid w:val="00513314"/>
    <w:rsid w:val="00513C97"/>
    <w:rsid w:val="00513DF0"/>
    <w:rsid w:val="00513F63"/>
    <w:rsid w:val="00514349"/>
    <w:rsid w:val="0051438E"/>
    <w:rsid w:val="00514700"/>
    <w:rsid w:val="00514786"/>
    <w:rsid w:val="005147F8"/>
    <w:rsid w:val="0051486C"/>
    <w:rsid w:val="00514E94"/>
    <w:rsid w:val="005150E5"/>
    <w:rsid w:val="0051518B"/>
    <w:rsid w:val="005153B6"/>
    <w:rsid w:val="00515592"/>
    <w:rsid w:val="005157E1"/>
    <w:rsid w:val="00515A24"/>
    <w:rsid w:val="00515D44"/>
    <w:rsid w:val="00515EFD"/>
    <w:rsid w:val="00516973"/>
    <w:rsid w:val="005172E3"/>
    <w:rsid w:val="00517894"/>
    <w:rsid w:val="00517C75"/>
    <w:rsid w:val="00517DAC"/>
    <w:rsid w:val="00517E1B"/>
    <w:rsid w:val="0052062B"/>
    <w:rsid w:val="00520651"/>
    <w:rsid w:val="005206A7"/>
    <w:rsid w:val="00520790"/>
    <w:rsid w:val="005208E3"/>
    <w:rsid w:val="005210D1"/>
    <w:rsid w:val="005219A5"/>
    <w:rsid w:val="00521D5B"/>
    <w:rsid w:val="00522278"/>
    <w:rsid w:val="0052254A"/>
    <w:rsid w:val="0052294F"/>
    <w:rsid w:val="0052299C"/>
    <w:rsid w:val="005232B8"/>
    <w:rsid w:val="005235A1"/>
    <w:rsid w:val="00523612"/>
    <w:rsid w:val="005243F7"/>
    <w:rsid w:val="00524639"/>
    <w:rsid w:val="00524F3F"/>
    <w:rsid w:val="00525032"/>
    <w:rsid w:val="00525709"/>
    <w:rsid w:val="0052588F"/>
    <w:rsid w:val="00525CE5"/>
    <w:rsid w:val="00526190"/>
    <w:rsid w:val="005262A8"/>
    <w:rsid w:val="00526375"/>
    <w:rsid w:val="00526443"/>
    <w:rsid w:val="00526461"/>
    <w:rsid w:val="00526612"/>
    <w:rsid w:val="00526749"/>
    <w:rsid w:val="0052698F"/>
    <w:rsid w:val="00526A4E"/>
    <w:rsid w:val="00526C0D"/>
    <w:rsid w:val="00526FB3"/>
    <w:rsid w:val="00526FCC"/>
    <w:rsid w:val="0052721C"/>
    <w:rsid w:val="00527354"/>
    <w:rsid w:val="005276F4"/>
    <w:rsid w:val="00527726"/>
    <w:rsid w:val="00530463"/>
    <w:rsid w:val="00530721"/>
    <w:rsid w:val="005309C4"/>
    <w:rsid w:val="00530B17"/>
    <w:rsid w:val="00530C8D"/>
    <w:rsid w:val="0053124E"/>
    <w:rsid w:val="0053165C"/>
    <w:rsid w:val="00531762"/>
    <w:rsid w:val="00531D4A"/>
    <w:rsid w:val="00531F0B"/>
    <w:rsid w:val="00532895"/>
    <w:rsid w:val="005329B5"/>
    <w:rsid w:val="00532FED"/>
    <w:rsid w:val="00533654"/>
    <w:rsid w:val="00533B40"/>
    <w:rsid w:val="00533C6B"/>
    <w:rsid w:val="00533EF2"/>
    <w:rsid w:val="0053431A"/>
    <w:rsid w:val="00534A50"/>
    <w:rsid w:val="00534CE4"/>
    <w:rsid w:val="00534DB3"/>
    <w:rsid w:val="00535686"/>
    <w:rsid w:val="00535E30"/>
    <w:rsid w:val="00535EF3"/>
    <w:rsid w:val="0053628D"/>
    <w:rsid w:val="00536510"/>
    <w:rsid w:val="00536EDA"/>
    <w:rsid w:val="00537842"/>
    <w:rsid w:val="00537A1A"/>
    <w:rsid w:val="00537A9E"/>
    <w:rsid w:val="00540156"/>
    <w:rsid w:val="005402C0"/>
    <w:rsid w:val="00540D28"/>
    <w:rsid w:val="00540DAA"/>
    <w:rsid w:val="00540EFE"/>
    <w:rsid w:val="00540FFA"/>
    <w:rsid w:val="00541CED"/>
    <w:rsid w:val="005423C6"/>
    <w:rsid w:val="005427C8"/>
    <w:rsid w:val="00542A77"/>
    <w:rsid w:val="00542A9F"/>
    <w:rsid w:val="00543451"/>
    <w:rsid w:val="0054382C"/>
    <w:rsid w:val="005441B4"/>
    <w:rsid w:val="0054496F"/>
    <w:rsid w:val="00544A8E"/>
    <w:rsid w:val="00545BB0"/>
    <w:rsid w:val="0054671F"/>
    <w:rsid w:val="00546D02"/>
    <w:rsid w:val="00547180"/>
    <w:rsid w:val="00547295"/>
    <w:rsid w:val="005472AB"/>
    <w:rsid w:val="005474E7"/>
    <w:rsid w:val="00547542"/>
    <w:rsid w:val="005476C4"/>
    <w:rsid w:val="00547D41"/>
    <w:rsid w:val="0055078E"/>
    <w:rsid w:val="00550AE7"/>
    <w:rsid w:val="00550CF9"/>
    <w:rsid w:val="00550F48"/>
    <w:rsid w:val="005514DD"/>
    <w:rsid w:val="00551865"/>
    <w:rsid w:val="00551BF5"/>
    <w:rsid w:val="00552024"/>
    <w:rsid w:val="0055220B"/>
    <w:rsid w:val="00552554"/>
    <w:rsid w:val="005525A4"/>
    <w:rsid w:val="00552631"/>
    <w:rsid w:val="00552944"/>
    <w:rsid w:val="00553C7A"/>
    <w:rsid w:val="0055409D"/>
    <w:rsid w:val="00554212"/>
    <w:rsid w:val="0055441B"/>
    <w:rsid w:val="00554438"/>
    <w:rsid w:val="00554A21"/>
    <w:rsid w:val="00554B46"/>
    <w:rsid w:val="00554FBE"/>
    <w:rsid w:val="00555EC9"/>
    <w:rsid w:val="0055617A"/>
    <w:rsid w:val="00556C90"/>
    <w:rsid w:val="00556D8C"/>
    <w:rsid w:val="005572BF"/>
    <w:rsid w:val="00557891"/>
    <w:rsid w:val="005578F9"/>
    <w:rsid w:val="005579BB"/>
    <w:rsid w:val="00557C19"/>
    <w:rsid w:val="00560279"/>
    <w:rsid w:val="005603BB"/>
    <w:rsid w:val="00560A31"/>
    <w:rsid w:val="00560CEC"/>
    <w:rsid w:val="005612F5"/>
    <w:rsid w:val="00561DBE"/>
    <w:rsid w:val="0056241D"/>
    <w:rsid w:val="00562DD8"/>
    <w:rsid w:val="00562EE7"/>
    <w:rsid w:val="00562F9D"/>
    <w:rsid w:val="00563470"/>
    <w:rsid w:val="0056361F"/>
    <w:rsid w:val="005639DF"/>
    <w:rsid w:val="00563B19"/>
    <w:rsid w:val="00563D38"/>
    <w:rsid w:val="00563D76"/>
    <w:rsid w:val="00564083"/>
    <w:rsid w:val="005641FB"/>
    <w:rsid w:val="00564C40"/>
    <w:rsid w:val="0056502A"/>
    <w:rsid w:val="0056518E"/>
    <w:rsid w:val="00565264"/>
    <w:rsid w:val="00565647"/>
    <w:rsid w:val="00565DF7"/>
    <w:rsid w:val="005661AC"/>
    <w:rsid w:val="00566252"/>
    <w:rsid w:val="00566315"/>
    <w:rsid w:val="00566BBB"/>
    <w:rsid w:val="00566D75"/>
    <w:rsid w:val="00567581"/>
    <w:rsid w:val="00567617"/>
    <w:rsid w:val="00567A7B"/>
    <w:rsid w:val="00567B89"/>
    <w:rsid w:val="00567F1D"/>
    <w:rsid w:val="00570247"/>
    <w:rsid w:val="00570952"/>
    <w:rsid w:val="00570A47"/>
    <w:rsid w:val="00570F27"/>
    <w:rsid w:val="00570FD1"/>
    <w:rsid w:val="005712C6"/>
    <w:rsid w:val="005715B3"/>
    <w:rsid w:val="005716DB"/>
    <w:rsid w:val="0057173F"/>
    <w:rsid w:val="00571CB5"/>
    <w:rsid w:val="00572141"/>
    <w:rsid w:val="00572622"/>
    <w:rsid w:val="005727CB"/>
    <w:rsid w:val="005727DD"/>
    <w:rsid w:val="00572B79"/>
    <w:rsid w:val="005733B2"/>
    <w:rsid w:val="005736F5"/>
    <w:rsid w:val="0057451B"/>
    <w:rsid w:val="00574924"/>
    <w:rsid w:val="00574DD5"/>
    <w:rsid w:val="00574F8B"/>
    <w:rsid w:val="00575273"/>
    <w:rsid w:val="00575405"/>
    <w:rsid w:val="00575E30"/>
    <w:rsid w:val="00575E9E"/>
    <w:rsid w:val="005769C1"/>
    <w:rsid w:val="00576F04"/>
    <w:rsid w:val="00576F98"/>
    <w:rsid w:val="0057746C"/>
    <w:rsid w:val="00577484"/>
    <w:rsid w:val="00577A98"/>
    <w:rsid w:val="00577AF6"/>
    <w:rsid w:val="00577C5A"/>
    <w:rsid w:val="00577CFA"/>
    <w:rsid w:val="00577F55"/>
    <w:rsid w:val="005803DD"/>
    <w:rsid w:val="00580974"/>
    <w:rsid w:val="00580ECC"/>
    <w:rsid w:val="005811DF"/>
    <w:rsid w:val="00581BBE"/>
    <w:rsid w:val="00581F74"/>
    <w:rsid w:val="005822F4"/>
    <w:rsid w:val="00582ADE"/>
    <w:rsid w:val="00582DEF"/>
    <w:rsid w:val="0058318B"/>
    <w:rsid w:val="0058335B"/>
    <w:rsid w:val="00583768"/>
    <w:rsid w:val="005837A4"/>
    <w:rsid w:val="00583904"/>
    <w:rsid w:val="00583948"/>
    <w:rsid w:val="00583C6E"/>
    <w:rsid w:val="00583D27"/>
    <w:rsid w:val="00583D65"/>
    <w:rsid w:val="005841BD"/>
    <w:rsid w:val="0058422F"/>
    <w:rsid w:val="0058479D"/>
    <w:rsid w:val="00584A0F"/>
    <w:rsid w:val="00584CD0"/>
    <w:rsid w:val="005850C1"/>
    <w:rsid w:val="00585947"/>
    <w:rsid w:val="00585B4E"/>
    <w:rsid w:val="00585D59"/>
    <w:rsid w:val="00585EAA"/>
    <w:rsid w:val="00587938"/>
    <w:rsid w:val="00590241"/>
    <w:rsid w:val="00590AC8"/>
    <w:rsid w:val="0059116C"/>
    <w:rsid w:val="005911B8"/>
    <w:rsid w:val="00591D72"/>
    <w:rsid w:val="00593D28"/>
    <w:rsid w:val="00593E06"/>
    <w:rsid w:val="00593EE3"/>
    <w:rsid w:val="0059468E"/>
    <w:rsid w:val="00595453"/>
    <w:rsid w:val="005957A4"/>
    <w:rsid w:val="0059682F"/>
    <w:rsid w:val="00596E66"/>
    <w:rsid w:val="0059701B"/>
    <w:rsid w:val="005970A6"/>
    <w:rsid w:val="005972E4"/>
    <w:rsid w:val="00597CCB"/>
    <w:rsid w:val="00597F50"/>
    <w:rsid w:val="005A07E3"/>
    <w:rsid w:val="005A09C3"/>
    <w:rsid w:val="005A0F58"/>
    <w:rsid w:val="005A10FC"/>
    <w:rsid w:val="005A15E2"/>
    <w:rsid w:val="005A16FC"/>
    <w:rsid w:val="005A1EBC"/>
    <w:rsid w:val="005A1F4E"/>
    <w:rsid w:val="005A209E"/>
    <w:rsid w:val="005A2924"/>
    <w:rsid w:val="005A2B9C"/>
    <w:rsid w:val="005A3169"/>
    <w:rsid w:val="005A319E"/>
    <w:rsid w:val="005A3A83"/>
    <w:rsid w:val="005A3B8A"/>
    <w:rsid w:val="005A3D70"/>
    <w:rsid w:val="005A3F0B"/>
    <w:rsid w:val="005A3F8B"/>
    <w:rsid w:val="005A528C"/>
    <w:rsid w:val="005A53D2"/>
    <w:rsid w:val="005A5832"/>
    <w:rsid w:val="005A59D0"/>
    <w:rsid w:val="005A5B77"/>
    <w:rsid w:val="005A5C22"/>
    <w:rsid w:val="005A5FA8"/>
    <w:rsid w:val="005A5FF0"/>
    <w:rsid w:val="005A63D5"/>
    <w:rsid w:val="005A696B"/>
    <w:rsid w:val="005A6CD4"/>
    <w:rsid w:val="005A6EB5"/>
    <w:rsid w:val="005A7525"/>
    <w:rsid w:val="005A7A0B"/>
    <w:rsid w:val="005A7A6B"/>
    <w:rsid w:val="005A7BCD"/>
    <w:rsid w:val="005A7E7A"/>
    <w:rsid w:val="005B0317"/>
    <w:rsid w:val="005B0795"/>
    <w:rsid w:val="005B1143"/>
    <w:rsid w:val="005B1359"/>
    <w:rsid w:val="005B23BD"/>
    <w:rsid w:val="005B2800"/>
    <w:rsid w:val="005B28C4"/>
    <w:rsid w:val="005B2BEB"/>
    <w:rsid w:val="005B2DF9"/>
    <w:rsid w:val="005B3419"/>
    <w:rsid w:val="005B3497"/>
    <w:rsid w:val="005B3526"/>
    <w:rsid w:val="005B35C6"/>
    <w:rsid w:val="005B3D57"/>
    <w:rsid w:val="005B41B3"/>
    <w:rsid w:val="005B4467"/>
    <w:rsid w:val="005B4A2A"/>
    <w:rsid w:val="005B4DA3"/>
    <w:rsid w:val="005B556E"/>
    <w:rsid w:val="005B5803"/>
    <w:rsid w:val="005B5891"/>
    <w:rsid w:val="005B58DF"/>
    <w:rsid w:val="005B6323"/>
    <w:rsid w:val="005B63D0"/>
    <w:rsid w:val="005B656E"/>
    <w:rsid w:val="005B7050"/>
    <w:rsid w:val="005B7218"/>
    <w:rsid w:val="005B73F7"/>
    <w:rsid w:val="005B750E"/>
    <w:rsid w:val="005B7858"/>
    <w:rsid w:val="005B7C71"/>
    <w:rsid w:val="005B7D8E"/>
    <w:rsid w:val="005C0624"/>
    <w:rsid w:val="005C06FA"/>
    <w:rsid w:val="005C0D9A"/>
    <w:rsid w:val="005C173E"/>
    <w:rsid w:val="005C1763"/>
    <w:rsid w:val="005C1A08"/>
    <w:rsid w:val="005C1B9C"/>
    <w:rsid w:val="005C2181"/>
    <w:rsid w:val="005C29C5"/>
    <w:rsid w:val="005C35A0"/>
    <w:rsid w:val="005C35AB"/>
    <w:rsid w:val="005C3F9E"/>
    <w:rsid w:val="005C46A4"/>
    <w:rsid w:val="005C4A7F"/>
    <w:rsid w:val="005C4EBE"/>
    <w:rsid w:val="005C506A"/>
    <w:rsid w:val="005C5099"/>
    <w:rsid w:val="005C50BE"/>
    <w:rsid w:val="005C5161"/>
    <w:rsid w:val="005C54B9"/>
    <w:rsid w:val="005C5576"/>
    <w:rsid w:val="005C559F"/>
    <w:rsid w:val="005C5A01"/>
    <w:rsid w:val="005C5EB6"/>
    <w:rsid w:val="005C5FAF"/>
    <w:rsid w:val="005C6069"/>
    <w:rsid w:val="005C624A"/>
    <w:rsid w:val="005C686B"/>
    <w:rsid w:val="005C6C72"/>
    <w:rsid w:val="005C6E1E"/>
    <w:rsid w:val="005C6E75"/>
    <w:rsid w:val="005C6F8F"/>
    <w:rsid w:val="005C724A"/>
    <w:rsid w:val="005C783F"/>
    <w:rsid w:val="005C7E87"/>
    <w:rsid w:val="005D0030"/>
    <w:rsid w:val="005D0528"/>
    <w:rsid w:val="005D0750"/>
    <w:rsid w:val="005D09ED"/>
    <w:rsid w:val="005D0AC3"/>
    <w:rsid w:val="005D0B42"/>
    <w:rsid w:val="005D14BE"/>
    <w:rsid w:val="005D1508"/>
    <w:rsid w:val="005D164E"/>
    <w:rsid w:val="005D17B1"/>
    <w:rsid w:val="005D1807"/>
    <w:rsid w:val="005D1B61"/>
    <w:rsid w:val="005D1E5A"/>
    <w:rsid w:val="005D2424"/>
    <w:rsid w:val="005D2546"/>
    <w:rsid w:val="005D2928"/>
    <w:rsid w:val="005D2C25"/>
    <w:rsid w:val="005D2C99"/>
    <w:rsid w:val="005D311D"/>
    <w:rsid w:val="005D36B1"/>
    <w:rsid w:val="005D36B9"/>
    <w:rsid w:val="005D3AF5"/>
    <w:rsid w:val="005D3B62"/>
    <w:rsid w:val="005D3EF4"/>
    <w:rsid w:val="005D422E"/>
    <w:rsid w:val="005D4CA2"/>
    <w:rsid w:val="005D4D3C"/>
    <w:rsid w:val="005D58AC"/>
    <w:rsid w:val="005D640B"/>
    <w:rsid w:val="005D65E4"/>
    <w:rsid w:val="005D6B52"/>
    <w:rsid w:val="005D70C0"/>
    <w:rsid w:val="005D7740"/>
    <w:rsid w:val="005D7844"/>
    <w:rsid w:val="005D7939"/>
    <w:rsid w:val="005E02D0"/>
    <w:rsid w:val="005E051D"/>
    <w:rsid w:val="005E077B"/>
    <w:rsid w:val="005E0D97"/>
    <w:rsid w:val="005E0F9E"/>
    <w:rsid w:val="005E139E"/>
    <w:rsid w:val="005E2632"/>
    <w:rsid w:val="005E2A8C"/>
    <w:rsid w:val="005E2CC5"/>
    <w:rsid w:val="005E3065"/>
    <w:rsid w:val="005E322A"/>
    <w:rsid w:val="005E37D6"/>
    <w:rsid w:val="005E3FE8"/>
    <w:rsid w:val="005E4042"/>
    <w:rsid w:val="005E40B4"/>
    <w:rsid w:val="005E4424"/>
    <w:rsid w:val="005E4527"/>
    <w:rsid w:val="005E4659"/>
    <w:rsid w:val="005E5AD4"/>
    <w:rsid w:val="005E5E48"/>
    <w:rsid w:val="005E6B5D"/>
    <w:rsid w:val="005E735C"/>
    <w:rsid w:val="005E765C"/>
    <w:rsid w:val="005E78D2"/>
    <w:rsid w:val="005E79EF"/>
    <w:rsid w:val="005F01C0"/>
    <w:rsid w:val="005F03EE"/>
    <w:rsid w:val="005F0686"/>
    <w:rsid w:val="005F093D"/>
    <w:rsid w:val="005F097F"/>
    <w:rsid w:val="005F0E55"/>
    <w:rsid w:val="005F13DB"/>
    <w:rsid w:val="005F226A"/>
    <w:rsid w:val="005F26E8"/>
    <w:rsid w:val="005F279D"/>
    <w:rsid w:val="005F3915"/>
    <w:rsid w:val="005F3DAE"/>
    <w:rsid w:val="005F3F20"/>
    <w:rsid w:val="005F3FEB"/>
    <w:rsid w:val="005F40EF"/>
    <w:rsid w:val="005F4601"/>
    <w:rsid w:val="005F464E"/>
    <w:rsid w:val="005F48F3"/>
    <w:rsid w:val="005F4AA6"/>
    <w:rsid w:val="005F4B0E"/>
    <w:rsid w:val="005F4B76"/>
    <w:rsid w:val="005F4C73"/>
    <w:rsid w:val="005F514B"/>
    <w:rsid w:val="005F516C"/>
    <w:rsid w:val="005F5C4A"/>
    <w:rsid w:val="005F6468"/>
    <w:rsid w:val="005F65A4"/>
    <w:rsid w:val="005F65BC"/>
    <w:rsid w:val="005F6C4D"/>
    <w:rsid w:val="005F7120"/>
    <w:rsid w:val="005F77C2"/>
    <w:rsid w:val="005F7AA0"/>
    <w:rsid w:val="00600646"/>
    <w:rsid w:val="00600728"/>
    <w:rsid w:val="0060079E"/>
    <w:rsid w:val="00600A34"/>
    <w:rsid w:val="00600AEB"/>
    <w:rsid w:val="00601307"/>
    <w:rsid w:val="006015BE"/>
    <w:rsid w:val="0060175E"/>
    <w:rsid w:val="006019EF"/>
    <w:rsid w:val="00601A83"/>
    <w:rsid w:val="00601F0F"/>
    <w:rsid w:val="00602650"/>
    <w:rsid w:val="00602D31"/>
    <w:rsid w:val="00602E9B"/>
    <w:rsid w:val="00603257"/>
    <w:rsid w:val="00603957"/>
    <w:rsid w:val="006039C5"/>
    <w:rsid w:val="00603A1C"/>
    <w:rsid w:val="00603B06"/>
    <w:rsid w:val="00604185"/>
    <w:rsid w:val="00604329"/>
    <w:rsid w:val="00604538"/>
    <w:rsid w:val="0060458C"/>
    <w:rsid w:val="00604FC5"/>
    <w:rsid w:val="0060525A"/>
    <w:rsid w:val="0060619A"/>
    <w:rsid w:val="00606720"/>
    <w:rsid w:val="00606DEB"/>
    <w:rsid w:val="006070D6"/>
    <w:rsid w:val="0060746B"/>
    <w:rsid w:val="00607D7F"/>
    <w:rsid w:val="006101D7"/>
    <w:rsid w:val="006103C2"/>
    <w:rsid w:val="006109AA"/>
    <w:rsid w:val="00610A16"/>
    <w:rsid w:val="00610DAE"/>
    <w:rsid w:val="00610E1E"/>
    <w:rsid w:val="0061113D"/>
    <w:rsid w:val="006114B9"/>
    <w:rsid w:val="00612163"/>
    <w:rsid w:val="00612742"/>
    <w:rsid w:val="0061328B"/>
    <w:rsid w:val="00613587"/>
    <w:rsid w:val="0061381D"/>
    <w:rsid w:val="00613BF7"/>
    <w:rsid w:val="00613FAB"/>
    <w:rsid w:val="0061419F"/>
    <w:rsid w:val="006141F5"/>
    <w:rsid w:val="00614619"/>
    <w:rsid w:val="00614865"/>
    <w:rsid w:val="00614B17"/>
    <w:rsid w:val="00614CED"/>
    <w:rsid w:val="00615445"/>
    <w:rsid w:val="00615556"/>
    <w:rsid w:val="006155F1"/>
    <w:rsid w:val="00615A87"/>
    <w:rsid w:val="00615D37"/>
    <w:rsid w:val="006166A1"/>
    <w:rsid w:val="00616B4D"/>
    <w:rsid w:val="006179C4"/>
    <w:rsid w:val="00617EC9"/>
    <w:rsid w:val="006204E2"/>
    <w:rsid w:val="006206C9"/>
    <w:rsid w:val="0062077F"/>
    <w:rsid w:val="00620839"/>
    <w:rsid w:val="00620A79"/>
    <w:rsid w:val="00620B5C"/>
    <w:rsid w:val="00620CC5"/>
    <w:rsid w:val="00620D0D"/>
    <w:rsid w:val="00621031"/>
    <w:rsid w:val="00621046"/>
    <w:rsid w:val="00621BA8"/>
    <w:rsid w:val="00621CB4"/>
    <w:rsid w:val="00621E3F"/>
    <w:rsid w:val="0062287A"/>
    <w:rsid w:val="006230E3"/>
    <w:rsid w:val="0062380E"/>
    <w:rsid w:val="006238DA"/>
    <w:rsid w:val="006239AF"/>
    <w:rsid w:val="00623AA7"/>
    <w:rsid w:val="006243DC"/>
    <w:rsid w:val="00624FB7"/>
    <w:rsid w:val="00625095"/>
    <w:rsid w:val="0062522F"/>
    <w:rsid w:val="00625305"/>
    <w:rsid w:val="006254D8"/>
    <w:rsid w:val="006254F3"/>
    <w:rsid w:val="00625C09"/>
    <w:rsid w:val="006264DF"/>
    <w:rsid w:val="00626976"/>
    <w:rsid w:val="00626D9F"/>
    <w:rsid w:val="0062721A"/>
    <w:rsid w:val="0062762A"/>
    <w:rsid w:val="0062793A"/>
    <w:rsid w:val="00627ADA"/>
    <w:rsid w:val="00627DFA"/>
    <w:rsid w:val="00627E79"/>
    <w:rsid w:val="00630125"/>
    <w:rsid w:val="00630335"/>
    <w:rsid w:val="00630DB3"/>
    <w:rsid w:val="00631A2B"/>
    <w:rsid w:val="0063256E"/>
    <w:rsid w:val="00632A05"/>
    <w:rsid w:val="00632A9E"/>
    <w:rsid w:val="00632E76"/>
    <w:rsid w:val="00633169"/>
    <w:rsid w:val="0063330E"/>
    <w:rsid w:val="0063338D"/>
    <w:rsid w:val="00633C6E"/>
    <w:rsid w:val="00633FAE"/>
    <w:rsid w:val="00634110"/>
    <w:rsid w:val="0063412F"/>
    <w:rsid w:val="006344C3"/>
    <w:rsid w:val="0063455B"/>
    <w:rsid w:val="0063485D"/>
    <w:rsid w:val="00634F4B"/>
    <w:rsid w:val="006350AA"/>
    <w:rsid w:val="006350AC"/>
    <w:rsid w:val="006358FA"/>
    <w:rsid w:val="006359B2"/>
    <w:rsid w:val="00635DE8"/>
    <w:rsid w:val="00636166"/>
    <w:rsid w:val="00636AB7"/>
    <w:rsid w:val="006378E5"/>
    <w:rsid w:val="00637E0B"/>
    <w:rsid w:val="00640206"/>
    <w:rsid w:val="0064037A"/>
    <w:rsid w:val="00640470"/>
    <w:rsid w:val="00640ECA"/>
    <w:rsid w:val="006422D2"/>
    <w:rsid w:val="0064261C"/>
    <w:rsid w:val="006427FF"/>
    <w:rsid w:val="00642BCC"/>
    <w:rsid w:val="0064311C"/>
    <w:rsid w:val="00643149"/>
    <w:rsid w:val="006431AC"/>
    <w:rsid w:val="00643778"/>
    <w:rsid w:val="00643CCF"/>
    <w:rsid w:val="00643CD4"/>
    <w:rsid w:val="006440B1"/>
    <w:rsid w:val="0064418F"/>
    <w:rsid w:val="006443F4"/>
    <w:rsid w:val="00644B7D"/>
    <w:rsid w:val="006450C3"/>
    <w:rsid w:val="0064516E"/>
    <w:rsid w:val="00645243"/>
    <w:rsid w:val="006452D8"/>
    <w:rsid w:val="0064555C"/>
    <w:rsid w:val="00645AC3"/>
    <w:rsid w:val="00645D90"/>
    <w:rsid w:val="006460D8"/>
    <w:rsid w:val="006460FD"/>
    <w:rsid w:val="00646472"/>
    <w:rsid w:val="0064687E"/>
    <w:rsid w:val="00646BCB"/>
    <w:rsid w:val="00646C65"/>
    <w:rsid w:val="00646F58"/>
    <w:rsid w:val="00647092"/>
    <w:rsid w:val="006471C9"/>
    <w:rsid w:val="006475E9"/>
    <w:rsid w:val="00647B32"/>
    <w:rsid w:val="00647B60"/>
    <w:rsid w:val="006503AF"/>
    <w:rsid w:val="00650B4A"/>
    <w:rsid w:val="00650C81"/>
    <w:rsid w:val="006516B8"/>
    <w:rsid w:val="0065176A"/>
    <w:rsid w:val="006521F0"/>
    <w:rsid w:val="0065246C"/>
    <w:rsid w:val="00652479"/>
    <w:rsid w:val="00652AF4"/>
    <w:rsid w:val="0065322E"/>
    <w:rsid w:val="006533BE"/>
    <w:rsid w:val="0065352B"/>
    <w:rsid w:val="006535BA"/>
    <w:rsid w:val="00653872"/>
    <w:rsid w:val="00653FAC"/>
    <w:rsid w:val="006541E1"/>
    <w:rsid w:val="0065459A"/>
    <w:rsid w:val="00654F28"/>
    <w:rsid w:val="0065527C"/>
    <w:rsid w:val="00655948"/>
    <w:rsid w:val="00655AFE"/>
    <w:rsid w:val="00655DC5"/>
    <w:rsid w:val="00656094"/>
    <w:rsid w:val="006571C2"/>
    <w:rsid w:val="00657D18"/>
    <w:rsid w:val="00657DAE"/>
    <w:rsid w:val="00657E14"/>
    <w:rsid w:val="00657E59"/>
    <w:rsid w:val="00657F47"/>
    <w:rsid w:val="00660048"/>
    <w:rsid w:val="00660B21"/>
    <w:rsid w:val="00660EEA"/>
    <w:rsid w:val="006616DF"/>
    <w:rsid w:val="006619FC"/>
    <w:rsid w:val="00661ADA"/>
    <w:rsid w:val="00661B82"/>
    <w:rsid w:val="00661F3D"/>
    <w:rsid w:val="00661FE1"/>
    <w:rsid w:val="0066226E"/>
    <w:rsid w:val="006622A5"/>
    <w:rsid w:val="0066271B"/>
    <w:rsid w:val="006627B6"/>
    <w:rsid w:val="00662F78"/>
    <w:rsid w:val="00663041"/>
    <w:rsid w:val="006633B4"/>
    <w:rsid w:val="006637B8"/>
    <w:rsid w:val="006637BA"/>
    <w:rsid w:val="006637C2"/>
    <w:rsid w:val="00663975"/>
    <w:rsid w:val="006639F8"/>
    <w:rsid w:val="00663FA5"/>
    <w:rsid w:val="00663FC8"/>
    <w:rsid w:val="00664516"/>
    <w:rsid w:val="00664744"/>
    <w:rsid w:val="006648BF"/>
    <w:rsid w:val="00665103"/>
    <w:rsid w:val="0066532D"/>
    <w:rsid w:val="0066585C"/>
    <w:rsid w:val="0066632F"/>
    <w:rsid w:val="006665E1"/>
    <w:rsid w:val="00666765"/>
    <w:rsid w:val="006667C0"/>
    <w:rsid w:val="00666E8A"/>
    <w:rsid w:val="00667224"/>
    <w:rsid w:val="0066725E"/>
    <w:rsid w:val="0066731A"/>
    <w:rsid w:val="00667613"/>
    <w:rsid w:val="006679A6"/>
    <w:rsid w:val="00670662"/>
    <w:rsid w:val="00670812"/>
    <w:rsid w:val="00670985"/>
    <w:rsid w:val="00670B50"/>
    <w:rsid w:val="00670D18"/>
    <w:rsid w:val="00671681"/>
    <w:rsid w:val="00671693"/>
    <w:rsid w:val="00671869"/>
    <w:rsid w:val="00671925"/>
    <w:rsid w:val="00671949"/>
    <w:rsid w:val="00671DB7"/>
    <w:rsid w:val="006722CE"/>
    <w:rsid w:val="00672326"/>
    <w:rsid w:val="00672606"/>
    <w:rsid w:val="00672C77"/>
    <w:rsid w:val="00672F2F"/>
    <w:rsid w:val="006732C8"/>
    <w:rsid w:val="006735B4"/>
    <w:rsid w:val="00673CBF"/>
    <w:rsid w:val="00673E75"/>
    <w:rsid w:val="00674003"/>
    <w:rsid w:val="00674269"/>
    <w:rsid w:val="00674E04"/>
    <w:rsid w:val="0067501D"/>
    <w:rsid w:val="006756A5"/>
    <w:rsid w:val="00675BCC"/>
    <w:rsid w:val="00675E5A"/>
    <w:rsid w:val="00675F16"/>
    <w:rsid w:val="00676164"/>
    <w:rsid w:val="006761BC"/>
    <w:rsid w:val="006767A0"/>
    <w:rsid w:val="006767AE"/>
    <w:rsid w:val="006769EE"/>
    <w:rsid w:val="00676B39"/>
    <w:rsid w:val="006771B7"/>
    <w:rsid w:val="006777A1"/>
    <w:rsid w:val="006778BE"/>
    <w:rsid w:val="00677C2F"/>
    <w:rsid w:val="00677CF4"/>
    <w:rsid w:val="00677EB0"/>
    <w:rsid w:val="00680BA5"/>
    <w:rsid w:val="00680C30"/>
    <w:rsid w:val="00680C86"/>
    <w:rsid w:val="0068125A"/>
    <w:rsid w:val="006815D6"/>
    <w:rsid w:val="00681773"/>
    <w:rsid w:val="00681A26"/>
    <w:rsid w:val="00681B4C"/>
    <w:rsid w:val="00681D39"/>
    <w:rsid w:val="00681E11"/>
    <w:rsid w:val="00681E45"/>
    <w:rsid w:val="00681E80"/>
    <w:rsid w:val="00682053"/>
    <w:rsid w:val="00682085"/>
    <w:rsid w:val="00682233"/>
    <w:rsid w:val="006825E7"/>
    <w:rsid w:val="00682849"/>
    <w:rsid w:val="00682BCC"/>
    <w:rsid w:val="00682DEF"/>
    <w:rsid w:val="006832A7"/>
    <w:rsid w:val="0068341F"/>
    <w:rsid w:val="00683BE0"/>
    <w:rsid w:val="00683DA8"/>
    <w:rsid w:val="00683DF5"/>
    <w:rsid w:val="00683FD6"/>
    <w:rsid w:val="0068470D"/>
    <w:rsid w:val="00685627"/>
    <w:rsid w:val="006857DB"/>
    <w:rsid w:val="00685A84"/>
    <w:rsid w:val="00685EA8"/>
    <w:rsid w:val="00685FB6"/>
    <w:rsid w:val="0068711B"/>
    <w:rsid w:val="0068712A"/>
    <w:rsid w:val="0068712E"/>
    <w:rsid w:val="006879AA"/>
    <w:rsid w:val="00687A30"/>
    <w:rsid w:val="00687A9B"/>
    <w:rsid w:val="00690787"/>
    <w:rsid w:val="00690E64"/>
    <w:rsid w:val="006913CA"/>
    <w:rsid w:val="006915EE"/>
    <w:rsid w:val="0069161A"/>
    <w:rsid w:val="00691AFE"/>
    <w:rsid w:val="00692D2D"/>
    <w:rsid w:val="00693262"/>
    <w:rsid w:val="0069396C"/>
    <w:rsid w:val="00693B3B"/>
    <w:rsid w:val="00693BFC"/>
    <w:rsid w:val="00693C8C"/>
    <w:rsid w:val="00693FC2"/>
    <w:rsid w:val="00694073"/>
    <w:rsid w:val="00694574"/>
    <w:rsid w:val="006945DD"/>
    <w:rsid w:val="00694F9A"/>
    <w:rsid w:val="0069533F"/>
    <w:rsid w:val="00695720"/>
    <w:rsid w:val="006957C0"/>
    <w:rsid w:val="006958A1"/>
    <w:rsid w:val="00695F48"/>
    <w:rsid w:val="00696158"/>
    <w:rsid w:val="00696AF0"/>
    <w:rsid w:val="006972F0"/>
    <w:rsid w:val="00697391"/>
    <w:rsid w:val="0069756F"/>
    <w:rsid w:val="00697BF5"/>
    <w:rsid w:val="006A0096"/>
    <w:rsid w:val="006A066A"/>
    <w:rsid w:val="006A0680"/>
    <w:rsid w:val="006A07AF"/>
    <w:rsid w:val="006A092A"/>
    <w:rsid w:val="006A0BDD"/>
    <w:rsid w:val="006A0F5C"/>
    <w:rsid w:val="006A1067"/>
    <w:rsid w:val="006A11E8"/>
    <w:rsid w:val="006A12EE"/>
    <w:rsid w:val="006A19E6"/>
    <w:rsid w:val="006A1A48"/>
    <w:rsid w:val="006A1D0E"/>
    <w:rsid w:val="006A2386"/>
    <w:rsid w:val="006A240F"/>
    <w:rsid w:val="006A25D8"/>
    <w:rsid w:val="006A296B"/>
    <w:rsid w:val="006A2A91"/>
    <w:rsid w:val="006A2C19"/>
    <w:rsid w:val="006A2F3A"/>
    <w:rsid w:val="006A3483"/>
    <w:rsid w:val="006A37D4"/>
    <w:rsid w:val="006A387E"/>
    <w:rsid w:val="006A3F6B"/>
    <w:rsid w:val="006A4078"/>
    <w:rsid w:val="006A42C2"/>
    <w:rsid w:val="006A5267"/>
    <w:rsid w:val="006A551A"/>
    <w:rsid w:val="006A554A"/>
    <w:rsid w:val="006A5589"/>
    <w:rsid w:val="006A5790"/>
    <w:rsid w:val="006A5D34"/>
    <w:rsid w:val="006A5DB5"/>
    <w:rsid w:val="006A5E3E"/>
    <w:rsid w:val="006A5F57"/>
    <w:rsid w:val="006A6116"/>
    <w:rsid w:val="006A635C"/>
    <w:rsid w:val="006A63D8"/>
    <w:rsid w:val="006A6553"/>
    <w:rsid w:val="006A662A"/>
    <w:rsid w:val="006A6668"/>
    <w:rsid w:val="006A6D57"/>
    <w:rsid w:val="006A6EEA"/>
    <w:rsid w:val="006A6F7F"/>
    <w:rsid w:val="006A7542"/>
    <w:rsid w:val="006A7AFC"/>
    <w:rsid w:val="006B010C"/>
    <w:rsid w:val="006B0507"/>
    <w:rsid w:val="006B05A7"/>
    <w:rsid w:val="006B0ABA"/>
    <w:rsid w:val="006B0C25"/>
    <w:rsid w:val="006B0FA8"/>
    <w:rsid w:val="006B1281"/>
    <w:rsid w:val="006B1401"/>
    <w:rsid w:val="006B144A"/>
    <w:rsid w:val="006B167B"/>
    <w:rsid w:val="006B1688"/>
    <w:rsid w:val="006B1A70"/>
    <w:rsid w:val="006B1A86"/>
    <w:rsid w:val="006B270D"/>
    <w:rsid w:val="006B28BF"/>
    <w:rsid w:val="006B28FB"/>
    <w:rsid w:val="006B2B74"/>
    <w:rsid w:val="006B3118"/>
    <w:rsid w:val="006B3A3F"/>
    <w:rsid w:val="006B44AD"/>
    <w:rsid w:val="006B4D30"/>
    <w:rsid w:val="006B52F0"/>
    <w:rsid w:val="006B55A7"/>
    <w:rsid w:val="006B58E0"/>
    <w:rsid w:val="006B599B"/>
    <w:rsid w:val="006B5C04"/>
    <w:rsid w:val="006B63E2"/>
    <w:rsid w:val="006B6929"/>
    <w:rsid w:val="006B6E50"/>
    <w:rsid w:val="006B73CC"/>
    <w:rsid w:val="006B753A"/>
    <w:rsid w:val="006B7ED0"/>
    <w:rsid w:val="006C033B"/>
    <w:rsid w:val="006C03C2"/>
    <w:rsid w:val="006C0999"/>
    <w:rsid w:val="006C0CF3"/>
    <w:rsid w:val="006C11AC"/>
    <w:rsid w:val="006C1529"/>
    <w:rsid w:val="006C160C"/>
    <w:rsid w:val="006C1623"/>
    <w:rsid w:val="006C1791"/>
    <w:rsid w:val="006C1C43"/>
    <w:rsid w:val="006C2DA2"/>
    <w:rsid w:val="006C2E87"/>
    <w:rsid w:val="006C35C0"/>
    <w:rsid w:val="006C3768"/>
    <w:rsid w:val="006C390E"/>
    <w:rsid w:val="006C3A1C"/>
    <w:rsid w:val="006C4079"/>
    <w:rsid w:val="006C422D"/>
    <w:rsid w:val="006C479D"/>
    <w:rsid w:val="006C57FE"/>
    <w:rsid w:val="006C58E9"/>
    <w:rsid w:val="006C599D"/>
    <w:rsid w:val="006C5FEF"/>
    <w:rsid w:val="006C6231"/>
    <w:rsid w:val="006C6338"/>
    <w:rsid w:val="006C66D2"/>
    <w:rsid w:val="006C6CD8"/>
    <w:rsid w:val="006C6E30"/>
    <w:rsid w:val="006C72C7"/>
    <w:rsid w:val="006C7627"/>
    <w:rsid w:val="006C76BB"/>
    <w:rsid w:val="006C7760"/>
    <w:rsid w:val="006C7C18"/>
    <w:rsid w:val="006C7F21"/>
    <w:rsid w:val="006D0522"/>
    <w:rsid w:val="006D05C4"/>
    <w:rsid w:val="006D0AD8"/>
    <w:rsid w:val="006D0B83"/>
    <w:rsid w:val="006D1361"/>
    <w:rsid w:val="006D1885"/>
    <w:rsid w:val="006D18D2"/>
    <w:rsid w:val="006D18F1"/>
    <w:rsid w:val="006D19B4"/>
    <w:rsid w:val="006D1B1C"/>
    <w:rsid w:val="006D21E4"/>
    <w:rsid w:val="006D22D4"/>
    <w:rsid w:val="006D24C5"/>
    <w:rsid w:val="006D2856"/>
    <w:rsid w:val="006D29A2"/>
    <w:rsid w:val="006D2B5B"/>
    <w:rsid w:val="006D2BCF"/>
    <w:rsid w:val="006D389E"/>
    <w:rsid w:val="006D3A10"/>
    <w:rsid w:val="006D3F3C"/>
    <w:rsid w:val="006D4037"/>
    <w:rsid w:val="006D4887"/>
    <w:rsid w:val="006D48F8"/>
    <w:rsid w:val="006D4B9A"/>
    <w:rsid w:val="006D4D72"/>
    <w:rsid w:val="006D4E4D"/>
    <w:rsid w:val="006D52BA"/>
    <w:rsid w:val="006D5842"/>
    <w:rsid w:val="006D5D0F"/>
    <w:rsid w:val="006D5E06"/>
    <w:rsid w:val="006D6610"/>
    <w:rsid w:val="006D67FA"/>
    <w:rsid w:val="006D6F04"/>
    <w:rsid w:val="006D7230"/>
    <w:rsid w:val="006D7583"/>
    <w:rsid w:val="006D76DC"/>
    <w:rsid w:val="006E0113"/>
    <w:rsid w:val="006E01A4"/>
    <w:rsid w:val="006E038E"/>
    <w:rsid w:val="006E0AE4"/>
    <w:rsid w:val="006E0B4E"/>
    <w:rsid w:val="006E12CF"/>
    <w:rsid w:val="006E1373"/>
    <w:rsid w:val="006E18E1"/>
    <w:rsid w:val="006E205A"/>
    <w:rsid w:val="006E210A"/>
    <w:rsid w:val="006E2163"/>
    <w:rsid w:val="006E264D"/>
    <w:rsid w:val="006E28FE"/>
    <w:rsid w:val="006E2925"/>
    <w:rsid w:val="006E2AAA"/>
    <w:rsid w:val="006E2BDC"/>
    <w:rsid w:val="006E2C05"/>
    <w:rsid w:val="006E2F94"/>
    <w:rsid w:val="006E377B"/>
    <w:rsid w:val="006E3D20"/>
    <w:rsid w:val="006E3D34"/>
    <w:rsid w:val="006E3DB8"/>
    <w:rsid w:val="006E4405"/>
    <w:rsid w:val="006E4577"/>
    <w:rsid w:val="006E5492"/>
    <w:rsid w:val="006E5509"/>
    <w:rsid w:val="006E5939"/>
    <w:rsid w:val="006E5B2F"/>
    <w:rsid w:val="006E613A"/>
    <w:rsid w:val="006E6208"/>
    <w:rsid w:val="006E6471"/>
    <w:rsid w:val="006E6C03"/>
    <w:rsid w:val="006E7CE6"/>
    <w:rsid w:val="006E7E1F"/>
    <w:rsid w:val="006F02BB"/>
    <w:rsid w:val="006F05DD"/>
    <w:rsid w:val="006F06C4"/>
    <w:rsid w:val="006F08BF"/>
    <w:rsid w:val="006F09F8"/>
    <w:rsid w:val="006F0ABF"/>
    <w:rsid w:val="006F1495"/>
    <w:rsid w:val="006F16AF"/>
    <w:rsid w:val="006F28BB"/>
    <w:rsid w:val="006F3019"/>
    <w:rsid w:val="006F329C"/>
    <w:rsid w:val="006F3A8B"/>
    <w:rsid w:val="006F3E3D"/>
    <w:rsid w:val="006F406E"/>
    <w:rsid w:val="006F4095"/>
    <w:rsid w:val="006F4500"/>
    <w:rsid w:val="006F4644"/>
    <w:rsid w:val="006F4808"/>
    <w:rsid w:val="006F4DC8"/>
    <w:rsid w:val="006F504A"/>
    <w:rsid w:val="006F5687"/>
    <w:rsid w:val="006F5F49"/>
    <w:rsid w:val="006F629C"/>
    <w:rsid w:val="006F6704"/>
    <w:rsid w:val="006F6806"/>
    <w:rsid w:val="006F6AE3"/>
    <w:rsid w:val="006F6C6C"/>
    <w:rsid w:val="006F7165"/>
    <w:rsid w:val="006F7634"/>
    <w:rsid w:val="006F7653"/>
    <w:rsid w:val="006F7CDD"/>
    <w:rsid w:val="006F7EC2"/>
    <w:rsid w:val="006F7FE2"/>
    <w:rsid w:val="007000F7"/>
    <w:rsid w:val="007003E4"/>
    <w:rsid w:val="00700614"/>
    <w:rsid w:val="00701411"/>
    <w:rsid w:val="00701F87"/>
    <w:rsid w:val="00701FC4"/>
    <w:rsid w:val="00702002"/>
    <w:rsid w:val="007023E1"/>
    <w:rsid w:val="0070265E"/>
    <w:rsid w:val="00702D0D"/>
    <w:rsid w:val="0070408C"/>
    <w:rsid w:val="007042D1"/>
    <w:rsid w:val="00704A5E"/>
    <w:rsid w:val="00704B94"/>
    <w:rsid w:val="00705192"/>
    <w:rsid w:val="007051E9"/>
    <w:rsid w:val="00705506"/>
    <w:rsid w:val="00705B6D"/>
    <w:rsid w:val="0070704C"/>
    <w:rsid w:val="0070739F"/>
    <w:rsid w:val="0070755B"/>
    <w:rsid w:val="007075D9"/>
    <w:rsid w:val="007076C6"/>
    <w:rsid w:val="007101A4"/>
    <w:rsid w:val="007104A2"/>
    <w:rsid w:val="0071069C"/>
    <w:rsid w:val="00710FCA"/>
    <w:rsid w:val="00711282"/>
    <w:rsid w:val="00711840"/>
    <w:rsid w:val="0071195B"/>
    <w:rsid w:val="00711A5C"/>
    <w:rsid w:val="00711B3B"/>
    <w:rsid w:val="00711EF0"/>
    <w:rsid w:val="00711F60"/>
    <w:rsid w:val="007127E7"/>
    <w:rsid w:val="007128FB"/>
    <w:rsid w:val="00712B79"/>
    <w:rsid w:val="007131D5"/>
    <w:rsid w:val="007134FA"/>
    <w:rsid w:val="0071360F"/>
    <w:rsid w:val="00713FF9"/>
    <w:rsid w:val="00714067"/>
    <w:rsid w:val="0071407D"/>
    <w:rsid w:val="00714AA9"/>
    <w:rsid w:val="00714D52"/>
    <w:rsid w:val="00714E72"/>
    <w:rsid w:val="007154E7"/>
    <w:rsid w:val="007159FC"/>
    <w:rsid w:val="00715A2F"/>
    <w:rsid w:val="00715B3E"/>
    <w:rsid w:val="00715E66"/>
    <w:rsid w:val="0071677B"/>
    <w:rsid w:val="00717387"/>
    <w:rsid w:val="00717AB0"/>
    <w:rsid w:val="00717AB2"/>
    <w:rsid w:val="00717B43"/>
    <w:rsid w:val="00717D05"/>
    <w:rsid w:val="00717DE8"/>
    <w:rsid w:val="00717E10"/>
    <w:rsid w:val="00717EA1"/>
    <w:rsid w:val="00717EAC"/>
    <w:rsid w:val="007204A7"/>
    <w:rsid w:val="00720A58"/>
    <w:rsid w:val="00720A86"/>
    <w:rsid w:val="00720C36"/>
    <w:rsid w:val="00720E2C"/>
    <w:rsid w:val="0072114D"/>
    <w:rsid w:val="00721910"/>
    <w:rsid w:val="00722037"/>
    <w:rsid w:val="00722721"/>
    <w:rsid w:val="00722D7A"/>
    <w:rsid w:val="00722FC7"/>
    <w:rsid w:val="00723124"/>
    <w:rsid w:val="0072364C"/>
    <w:rsid w:val="007236E8"/>
    <w:rsid w:val="00724307"/>
    <w:rsid w:val="0072438B"/>
    <w:rsid w:val="00724408"/>
    <w:rsid w:val="007249E2"/>
    <w:rsid w:val="00724AD2"/>
    <w:rsid w:val="00724BBF"/>
    <w:rsid w:val="00726037"/>
    <w:rsid w:val="0072688D"/>
    <w:rsid w:val="00726895"/>
    <w:rsid w:val="00726D53"/>
    <w:rsid w:val="00727711"/>
    <w:rsid w:val="0072775A"/>
    <w:rsid w:val="00727810"/>
    <w:rsid w:val="00727A31"/>
    <w:rsid w:val="00730639"/>
    <w:rsid w:val="007306F5"/>
    <w:rsid w:val="0073080F"/>
    <w:rsid w:val="00730A1D"/>
    <w:rsid w:val="00730B04"/>
    <w:rsid w:val="00730C5A"/>
    <w:rsid w:val="00730CB7"/>
    <w:rsid w:val="00730CE1"/>
    <w:rsid w:val="00730FAD"/>
    <w:rsid w:val="007315A1"/>
    <w:rsid w:val="00731963"/>
    <w:rsid w:val="00731F45"/>
    <w:rsid w:val="00732003"/>
    <w:rsid w:val="0073204E"/>
    <w:rsid w:val="007325C7"/>
    <w:rsid w:val="00733211"/>
    <w:rsid w:val="0073392C"/>
    <w:rsid w:val="00733935"/>
    <w:rsid w:val="00733D1E"/>
    <w:rsid w:val="00734224"/>
    <w:rsid w:val="00734308"/>
    <w:rsid w:val="00734596"/>
    <w:rsid w:val="00734D27"/>
    <w:rsid w:val="00735055"/>
    <w:rsid w:val="0073509B"/>
    <w:rsid w:val="0073597E"/>
    <w:rsid w:val="00735DDA"/>
    <w:rsid w:val="00736D0A"/>
    <w:rsid w:val="0073711F"/>
    <w:rsid w:val="00737172"/>
    <w:rsid w:val="007373BD"/>
    <w:rsid w:val="0073783B"/>
    <w:rsid w:val="00737A9E"/>
    <w:rsid w:val="00737F69"/>
    <w:rsid w:val="00740685"/>
    <w:rsid w:val="00740706"/>
    <w:rsid w:val="00740A59"/>
    <w:rsid w:val="00740BCB"/>
    <w:rsid w:val="00740D0C"/>
    <w:rsid w:val="00740D78"/>
    <w:rsid w:val="00740FEF"/>
    <w:rsid w:val="00741123"/>
    <w:rsid w:val="007414C5"/>
    <w:rsid w:val="00741A86"/>
    <w:rsid w:val="00742042"/>
    <w:rsid w:val="00742100"/>
    <w:rsid w:val="007425B1"/>
    <w:rsid w:val="0074278E"/>
    <w:rsid w:val="00742940"/>
    <w:rsid w:val="00742B40"/>
    <w:rsid w:val="00742C07"/>
    <w:rsid w:val="00742D90"/>
    <w:rsid w:val="00743527"/>
    <w:rsid w:val="007440BE"/>
    <w:rsid w:val="007443BC"/>
    <w:rsid w:val="007449E1"/>
    <w:rsid w:val="00744D45"/>
    <w:rsid w:val="00744DB3"/>
    <w:rsid w:val="00745222"/>
    <w:rsid w:val="007452F8"/>
    <w:rsid w:val="007454C4"/>
    <w:rsid w:val="007462E0"/>
    <w:rsid w:val="00746597"/>
    <w:rsid w:val="007468DB"/>
    <w:rsid w:val="00746C0F"/>
    <w:rsid w:val="00746E07"/>
    <w:rsid w:val="00746F98"/>
    <w:rsid w:val="00746F9F"/>
    <w:rsid w:val="007472F9"/>
    <w:rsid w:val="007476C5"/>
    <w:rsid w:val="00747958"/>
    <w:rsid w:val="0075062E"/>
    <w:rsid w:val="00750AC1"/>
    <w:rsid w:val="0075101B"/>
    <w:rsid w:val="007513D5"/>
    <w:rsid w:val="0075145A"/>
    <w:rsid w:val="007516EB"/>
    <w:rsid w:val="00751A80"/>
    <w:rsid w:val="00751A8B"/>
    <w:rsid w:val="0075265B"/>
    <w:rsid w:val="00752669"/>
    <w:rsid w:val="00753144"/>
    <w:rsid w:val="007535B5"/>
    <w:rsid w:val="00753A7F"/>
    <w:rsid w:val="00753AE0"/>
    <w:rsid w:val="00754278"/>
    <w:rsid w:val="007545A4"/>
    <w:rsid w:val="007546B8"/>
    <w:rsid w:val="00754947"/>
    <w:rsid w:val="00755057"/>
    <w:rsid w:val="00755155"/>
    <w:rsid w:val="0075599B"/>
    <w:rsid w:val="00756120"/>
    <w:rsid w:val="00756D8F"/>
    <w:rsid w:val="00756E46"/>
    <w:rsid w:val="007570A8"/>
    <w:rsid w:val="007574F9"/>
    <w:rsid w:val="00757FBA"/>
    <w:rsid w:val="00760526"/>
    <w:rsid w:val="0076089F"/>
    <w:rsid w:val="00761193"/>
    <w:rsid w:val="007620DE"/>
    <w:rsid w:val="0076257B"/>
    <w:rsid w:val="0076264F"/>
    <w:rsid w:val="00762904"/>
    <w:rsid w:val="00762EFA"/>
    <w:rsid w:val="00763351"/>
    <w:rsid w:val="0076388B"/>
    <w:rsid w:val="007639C0"/>
    <w:rsid w:val="00763AAA"/>
    <w:rsid w:val="00763B5F"/>
    <w:rsid w:val="00763F6C"/>
    <w:rsid w:val="00763FD0"/>
    <w:rsid w:val="0076429C"/>
    <w:rsid w:val="00764708"/>
    <w:rsid w:val="00764C1F"/>
    <w:rsid w:val="00764DB5"/>
    <w:rsid w:val="0076537E"/>
    <w:rsid w:val="007656C9"/>
    <w:rsid w:val="007656F6"/>
    <w:rsid w:val="0076574E"/>
    <w:rsid w:val="007657DA"/>
    <w:rsid w:val="00765E34"/>
    <w:rsid w:val="007660E4"/>
    <w:rsid w:val="007662FE"/>
    <w:rsid w:val="00766551"/>
    <w:rsid w:val="0076670F"/>
    <w:rsid w:val="00767C12"/>
    <w:rsid w:val="00767D8B"/>
    <w:rsid w:val="00767EF6"/>
    <w:rsid w:val="007701BF"/>
    <w:rsid w:val="0077040C"/>
    <w:rsid w:val="007705D1"/>
    <w:rsid w:val="00770E92"/>
    <w:rsid w:val="00771734"/>
    <w:rsid w:val="007721DB"/>
    <w:rsid w:val="0077275D"/>
    <w:rsid w:val="007728D3"/>
    <w:rsid w:val="00772DCD"/>
    <w:rsid w:val="00772E1D"/>
    <w:rsid w:val="007730AA"/>
    <w:rsid w:val="0077327B"/>
    <w:rsid w:val="0077345C"/>
    <w:rsid w:val="0077355D"/>
    <w:rsid w:val="00773D5E"/>
    <w:rsid w:val="00773EF8"/>
    <w:rsid w:val="00773F1D"/>
    <w:rsid w:val="00774781"/>
    <w:rsid w:val="007749D1"/>
    <w:rsid w:val="0077520F"/>
    <w:rsid w:val="00775330"/>
    <w:rsid w:val="007753E1"/>
    <w:rsid w:val="007762E3"/>
    <w:rsid w:val="007762E5"/>
    <w:rsid w:val="00776560"/>
    <w:rsid w:val="0077672E"/>
    <w:rsid w:val="0077683C"/>
    <w:rsid w:val="00776A09"/>
    <w:rsid w:val="00776A5D"/>
    <w:rsid w:val="00776CD8"/>
    <w:rsid w:val="00776CF0"/>
    <w:rsid w:val="00776D17"/>
    <w:rsid w:val="00777015"/>
    <w:rsid w:val="00777061"/>
    <w:rsid w:val="007771B6"/>
    <w:rsid w:val="00777AB7"/>
    <w:rsid w:val="007801A8"/>
    <w:rsid w:val="00780369"/>
    <w:rsid w:val="007805F6"/>
    <w:rsid w:val="0078078C"/>
    <w:rsid w:val="007812AA"/>
    <w:rsid w:val="0078139C"/>
    <w:rsid w:val="007814FE"/>
    <w:rsid w:val="0078250D"/>
    <w:rsid w:val="0078263C"/>
    <w:rsid w:val="00782AAE"/>
    <w:rsid w:val="00783594"/>
    <w:rsid w:val="007836B0"/>
    <w:rsid w:val="0078381A"/>
    <w:rsid w:val="00783E29"/>
    <w:rsid w:val="00783F5A"/>
    <w:rsid w:val="007840DE"/>
    <w:rsid w:val="00784802"/>
    <w:rsid w:val="00784AC7"/>
    <w:rsid w:val="0078530B"/>
    <w:rsid w:val="00785394"/>
    <w:rsid w:val="00785623"/>
    <w:rsid w:val="00785686"/>
    <w:rsid w:val="00785828"/>
    <w:rsid w:val="007859BF"/>
    <w:rsid w:val="00785ABE"/>
    <w:rsid w:val="00785C42"/>
    <w:rsid w:val="00785E93"/>
    <w:rsid w:val="00786462"/>
    <w:rsid w:val="0078695B"/>
    <w:rsid w:val="0078718A"/>
    <w:rsid w:val="007873CA"/>
    <w:rsid w:val="00787739"/>
    <w:rsid w:val="00787BD8"/>
    <w:rsid w:val="00787F73"/>
    <w:rsid w:val="0079037A"/>
    <w:rsid w:val="0079061F"/>
    <w:rsid w:val="00790F21"/>
    <w:rsid w:val="00790F49"/>
    <w:rsid w:val="00790FBA"/>
    <w:rsid w:val="007913B8"/>
    <w:rsid w:val="0079158F"/>
    <w:rsid w:val="0079172E"/>
    <w:rsid w:val="00791D3F"/>
    <w:rsid w:val="00791E4C"/>
    <w:rsid w:val="00792095"/>
    <w:rsid w:val="007921A2"/>
    <w:rsid w:val="00792590"/>
    <w:rsid w:val="00792EB5"/>
    <w:rsid w:val="00793099"/>
    <w:rsid w:val="007938F6"/>
    <w:rsid w:val="00793D3C"/>
    <w:rsid w:val="00793F7A"/>
    <w:rsid w:val="0079404B"/>
    <w:rsid w:val="007943E3"/>
    <w:rsid w:val="00794AC2"/>
    <w:rsid w:val="00794C65"/>
    <w:rsid w:val="00794EA4"/>
    <w:rsid w:val="00795205"/>
    <w:rsid w:val="00795525"/>
    <w:rsid w:val="007955BB"/>
    <w:rsid w:val="00795714"/>
    <w:rsid w:val="00795737"/>
    <w:rsid w:val="00795AC1"/>
    <w:rsid w:val="00795E13"/>
    <w:rsid w:val="00796125"/>
    <w:rsid w:val="00796B16"/>
    <w:rsid w:val="00796C0B"/>
    <w:rsid w:val="007973F8"/>
    <w:rsid w:val="007A0019"/>
    <w:rsid w:val="007A0119"/>
    <w:rsid w:val="007A07A1"/>
    <w:rsid w:val="007A0DCD"/>
    <w:rsid w:val="007A1459"/>
    <w:rsid w:val="007A1E81"/>
    <w:rsid w:val="007A2206"/>
    <w:rsid w:val="007A2576"/>
    <w:rsid w:val="007A3170"/>
    <w:rsid w:val="007A3991"/>
    <w:rsid w:val="007A3B72"/>
    <w:rsid w:val="007A3DE3"/>
    <w:rsid w:val="007A4136"/>
    <w:rsid w:val="007A41DF"/>
    <w:rsid w:val="007A4281"/>
    <w:rsid w:val="007A46BD"/>
    <w:rsid w:val="007A4C33"/>
    <w:rsid w:val="007A4C3E"/>
    <w:rsid w:val="007A4E24"/>
    <w:rsid w:val="007A4EC3"/>
    <w:rsid w:val="007A5371"/>
    <w:rsid w:val="007A5392"/>
    <w:rsid w:val="007A5C0C"/>
    <w:rsid w:val="007A5DDE"/>
    <w:rsid w:val="007A5F0F"/>
    <w:rsid w:val="007A6021"/>
    <w:rsid w:val="007A64FD"/>
    <w:rsid w:val="007A6688"/>
    <w:rsid w:val="007A67EF"/>
    <w:rsid w:val="007A68B6"/>
    <w:rsid w:val="007A6C92"/>
    <w:rsid w:val="007A6CCF"/>
    <w:rsid w:val="007A6D55"/>
    <w:rsid w:val="007A7147"/>
    <w:rsid w:val="007A74D2"/>
    <w:rsid w:val="007A7599"/>
    <w:rsid w:val="007A7E47"/>
    <w:rsid w:val="007B0182"/>
    <w:rsid w:val="007B0235"/>
    <w:rsid w:val="007B0B14"/>
    <w:rsid w:val="007B120D"/>
    <w:rsid w:val="007B1577"/>
    <w:rsid w:val="007B19C8"/>
    <w:rsid w:val="007B222F"/>
    <w:rsid w:val="007B23F2"/>
    <w:rsid w:val="007B2A46"/>
    <w:rsid w:val="007B2ADC"/>
    <w:rsid w:val="007B2B5B"/>
    <w:rsid w:val="007B2CB4"/>
    <w:rsid w:val="007B41DF"/>
    <w:rsid w:val="007B45E0"/>
    <w:rsid w:val="007B45F3"/>
    <w:rsid w:val="007B4B38"/>
    <w:rsid w:val="007B4CC7"/>
    <w:rsid w:val="007B5022"/>
    <w:rsid w:val="007B51B1"/>
    <w:rsid w:val="007B539C"/>
    <w:rsid w:val="007B580D"/>
    <w:rsid w:val="007B581C"/>
    <w:rsid w:val="007B5A07"/>
    <w:rsid w:val="007B5BF4"/>
    <w:rsid w:val="007B61DC"/>
    <w:rsid w:val="007B636A"/>
    <w:rsid w:val="007B6C64"/>
    <w:rsid w:val="007B6C9A"/>
    <w:rsid w:val="007B70A7"/>
    <w:rsid w:val="007B7942"/>
    <w:rsid w:val="007B7C28"/>
    <w:rsid w:val="007B7C71"/>
    <w:rsid w:val="007C0022"/>
    <w:rsid w:val="007C01B0"/>
    <w:rsid w:val="007C02ED"/>
    <w:rsid w:val="007C0623"/>
    <w:rsid w:val="007C063B"/>
    <w:rsid w:val="007C06A7"/>
    <w:rsid w:val="007C08AC"/>
    <w:rsid w:val="007C0959"/>
    <w:rsid w:val="007C097D"/>
    <w:rsid w:val="007C0C35"/>
    <w:rsid w:val="007C1037"/>
    <w:rsid w:val="007C13AC"/>
    <w:rsid w:val="007C14F4"/>
    <w:rsid w:val="007C1530"/>
    <w:rsid w:val="007C1B96"/>
    <w:rsid w:val="007C2376"/>
    <w:rsid w:val="007C243D"/>
    <w:rsid w:val="007C26B4"/>
    <w:rsid w:val="007C2830"/>
    <w:rsid w:val="007C29D3"/>
    <w:rsid w:val="007C2D2A"/>
    <w:rsid w:val="007C315F"/>
    <w:rsid w:val="007C3743"/>
    <w:rsid w:val="007C3751"/>
    <w:rsid w:val="007C3A9C"/>
    <w:rsid w:val="007C42A9"/>
    <w:rsid w:val="007C4574"/>
    <w:rsid w:val="007C48F6"/>
    <w:rsid w:val="007C4D41"/>
    <w:rsid w:val="007C4DA8"/>
    <w:rsid w:val="007C4E2F"/>
    <w:rsid w:val="007C51C0"/>
    <w:rsid w:val="007C52D9"/>
    <w:rsid w:val="007C53D8"/>
    <w:rsid w:val="007C58A5"/>
    <w:rsid w:val="007C5BDD"/>
    <w:rsid w:val="007C5F65"/>
    <w:rsid w:val="007C60A9"/>
    <w:rsid w:val="007C6268"/>
    <w:rsid w:val="007C650D"/>
    <w:rsid w:val="007C65A5"/>
    <w:rsid w:val="007C66E5"/>
    <w:rsid w:val="007C6996"/>
    <w:rsid w:val="007C6A2A"/>
    <w:rsid w:val="007C6CB5"/>
    <w:rsid w:val="007C6E53"/>
    <w:rsid w:val="007C70C7"/>
    <w:rsid w:val="007C7D19"/>
    <w:rsid w:val="007C7D1E"/>
    <w:rsid w:val="007C7EB0"/>
    <w:rsid w:val="007C7EB2"/>
    <w:rsid w:val="007C7FD0"/>
    <w:rsid w:val="007D01FA"/>
    <w:rsid w:val="007D0F12"/>
    <w:rsid w:val="007D11AF"/>
    <w:rsid w:val="007D1591"/>
    <w:rsid w:val="007D163B"/>
    <w:rsid w:val="007D16E6"/>
    <w:rsid w:val="007D1801"/>
    <w:rsid w:val="007D1B9F"/>
    <w:rsid w:val="007D1ED6"/>
    <w:rsid w:val="007D2196"/>
    <w:rsid w:val="007D2ACE"/>
    <w:rsid w:val="007D2D79"/>
    <w:rsid w:val="007D3357"/>
    <w:rsid w:val="007D3C0A"/>
    <w:rsid w:val="007D4501"/>
    <w:rsid w:val="007D49B4"/>
    <w:rsid w:val="007D4D91"/>
    <w:rsid w:val="007D511F"/>
    <w:rsid w:val="007D54AB"/>
    <w:rsid w:val="007D55FB"/>
    <w:rsid w:val="007D596C"/>
    <w:rsid w:val="007D5EAE"/>
    <w:rsid w:val="007D61EB"/>
    <w:rsid w:val="007D670A"/>
    <w:rsid w:val="007D69AE"/>
    <w:rsid w:val="007D6BB5"/>
    <w:rsid w:val="007D6D15"/>
    <w:rsid w:val="007D7248"/>
    <w:rsid w:val="007D7298"/>
    <w:rsid w:val="007D7966"/>
    <w:rsid w:val="007E0441"/>
    <w:rsid w:val="007E047B"/>
    <w:rsid w:val="007E0866"/>
    <w:rsid w:val="007E0A41"/>
    <w:rsid w:val="007E1361"/>
    <w:rsid w:val="007E1821"/>
    <w:rsid w:val="007E18DB"/>
    <w:rsid w:val="007E1AA5"/>
    <w:rsid w:val="007E1DA8"/>
    <w:rsid w:val="007E22D5"/>
    <w:rsid w:val="007E258D"/>
    <w:rsid w:val="007E26CB"/>
    <w:rsid w:val="007E2B43"/>
    <w:rsid w:val="007E34AD"/>
    <w:rsid w:val="007E3549"/>
    <w:rsid w:val="007E386A"/>
    <w:rsid w:val="007E3C6E"/>
    <w:rsid w:val="007E3E4E"/>
    <w:rsid w:val="007E430F"/>
    <w:rsid w:val="007E4719"/>
    <w:rsid w:val="007E474B"/>
    <w:rsid w:val="007E4800"/>
    <w:rsid w:val="007E4A53"/>
    <w:rsid w:val="007E4C6D"/>
    <w:rsid w:val="007E4E83"/>
    <w:rsid w:val="007E51A4"/>
    <w:rsid w:val="007E5FB7"/>
    <w:rsid w:val="007E61D3"/>
    <w:rsid w:val="007E6284"/>
    <w:rsid w:val="007E680E"/>
    <w:rsid w:val="007E690E"/>
    <w:rsid w:val="007E6A67"/>
    <w:rsid w:val="007E6D3A"/>
    <w:rsid w:val="007E6DD0"/>
    <w:rsid w:val="007E742D"/>
    <w:rsid w:val="007E790B"/>
    <w:rsid w:val="007E7951"/>
    <w:rsid w:val="007F0683"/>
    <w:rsid w:val="007F13D5"/>
    <w:rsid w:val="007F15AB"/>
    <w:rsid w:val="007F1942"/>
    <w:rsid w:val="007F1A4A"/>
    <w:rsid w:val="007F1AEE"/>
    <w:rsid w:val="007F21D5"/>
    <w:rsid w:val="007F28F7"/>
    <w:rsid w:val="007F2ED2"/>
    <w:rsid w:val="007F31AF"/>
    <w:rsid w:val="007F4171"/>
    <w:rsid w:val="007F4243"/>
    <w:rsid w:val="007F43DB"/>
    <w:rsid w:val="007F48F3"/>
    <w:rsid w:val="007F4DBC"/>
    <w:rsid w:val="007F5120"/>
    <w:rsid w:val="007F51C7"/>
    <w:rsid w:val="007F564E"/>
    <w:rsid w:val="007F5F7A"/>
    <w:rsid w:val="007F6227"/>
    <w:rsid w:val="007F6A4C"/>
    <w:rsid w:val="007F6B6E"/>
    <w:rsid w:val="007F776B"/>
    <w:rsid w:val="007F7C44"/>
    <w:rsid w:val="007F7CEB"/>
    <w:rsid w:val="00800011"/>
    <w:rsid w:val="0080082C"/>
    <w:rsid w:val="00800940"/>
    <w:rsid w:val="00800C86"/>
    <w:rsid w:val="0080106A"/>
    <w:rsid w:val="00801AC1"/>
    <w:rsid w:val="00801ADD"/>
    <w:rsid w:val="00801F9D"/>
    <w:rsid w:val="00802285"/>
    <w:rsid w:val="008022C4"/>
    <w:rsid w:val="0080249D"/>
    <w:rsid w:val="008024DE"/>
    <w:rsid w:val="00802B1C"/>
    <w:rsid w:val="00802E75"/>
    <w:rsid w:val="00802FB1"/>
    <w:rsid w:val="008035AD"/>
    <w:rsid w:val="00803793"/>
    <w:rsid w:val="00803E36"/>
    <w:rsid w:val="00804794"/>
    <w:rsid w:val="0080498D"/>
    <w:rsid w:val="00804A79"/>
    <w:rsid w:val="00804B35"/>
    <w:rsid w:val="00804BEB"/>
    <w:rsid w:val="0080500E"/>
    <w:rsid w:val="00805207"/>
    <w:rsid w:val="00805E5C"/>
    <w:rsid w:val="00805FF2"/>
    <w:rsid w:val="0080619A"/>
    <w:rsid w:val="0080622A"/>
    <w:rsid w:val="00806270"/>
    <w:rsid w:val="008071C6"/>
    <w:rsid w:val="00807C06"/>
    <w:rsid w:val="00807C5C"/>
    <w:rsid w:val="00807DB3"/>
    <w:rsid w:val="0081028B"/>
    <w:rsid w:val="008109F9"/>
    <w:rsid w:val="0081133C"/>
    <w:rsid w:val="0081142F"/>
    <w:rsid w:val="008114DD"/>
    <w:rsid w:val="00811B8D"/>
    <w:rsid w:val="00812173"/>
    <w:rsid w:val="008121B5"/>
    <w:rsid w:val="0081237B"/>
    <w:rsid w:val="008127CF"/>
    <w:rsid w:val="008127F0"/>
    <w:rsid w:val="00812809"/>
    <w:rsid w:val="0081296F"/>
    <w:rsid w:val="00812D6E"/>
    <w:rsid w:val="00813328"/>
    <w:rsid w:val="0081332F"/>
    <w:rsid w:val="00813A99"/>
    <w:rsid w:val="00813C80"/>
    <w:rsid w:val="00813F88"/>
    <w:rsid w:val="00813FE7"/>
    <w:rsid w:val="00814564"/>
    <w:rsid w:val="008146A8"/>
    <w:rsid w:val="00814C55"/>
    <w:rsid w:val="00814DC3"/>
    <w:rsid w:val="008150A1"/>
    <w:rsid w:val="008152DD"/>
    <w:rsid w:val="008153EA"/>
    <w:rsid w:val="00815619"/>
    <w:rsid w:val="008156B6"/>
    <w:rsid w:val="00815835"/>
    <w:rsid w:val="00815858"/>
    <w:rsid w:val="00815FC3"/>
    <w:rsid w:val="00816C9E"/>
    <w:rsid w:val="00816DAF"/>
    <w:rsid w:val="00817472"/>
    <w:rsid w:val="008176D0"/>
    <w:rsid w:val="008177DF"/>
    <w:rsid w:val="00817CE6"/>
    <w:rsid w:val="008203E2"/>
    <w:rsid w:val="008203EE"/>
    <w:rsid w:val="00820DEA"/>
    <w:rsid w:val="00820FBE"/>
    <w:rsid w:val="00821455"/>
    <w:rsid w:val="00821BC6"/>
    <w:rsid w:val="00822075"/>
    <w:rsid w:val="0082274E"/>
    <w:rsid w:val="0082274F"/>
    <w:rsid w:val="00822D2B"/>
    <w:rsid w:val="00823002"/>
    <w:rsid w:val="008239DE"/>
    <w:rsid w:val="00823AD6"/>
    <w:rsid w:val="00823D17"/>
    <w:rsid w:val="00823DD2"/>
    <w:rsid w:val="00824525"/>
    <w:rsid w:val="008245E1"/>
    <w:rsid w:val="008248A6"/>
    <w:rsid w:val="00824A8D"/>
    <w:rsid w:val="00824F16"/>
    <w:rsid w:val="00824F42"/>
    <w:rsid w:val="00825371"/>
    <w:rsid w:val="008256F5"/>
    <w:rsid w:val="008258C8"/>
    <w:rsid w:val="00825DCB"/>
    <w:rsid w:val="00826134"/>
    <w:rsid w:val="00826563"/>
    <w:rsid w:val="00826A39"/>
    <w:rsid w:val="00826CF4"/>
    <w:rsid w:val="00827355"/>
    <w:rsid w:val="0082786F"/>
    <w:rsid w:val="00827B2D"/>
    <w:rsid w:val="00827BF2"/>
    <w:rsid w:val="00827EC2"/>
    <w:rsid w:val="008300B3"/>
    <w:rsid w:val="00830614"/>
    <w:rsid w:val="00830814"/>
    <w:rsid w:val="0083096F"/>
    <w:rsid w:val="008309A1"/>
    <w:rsid w:val="00830AF7"/>
    <w:rsid w:val="008312AF"/>
    <w:rsid w:val="0083141D"/>
    <w:rsid w:val="008322BF"/>
    <w:rsid w:val="00832373"/>
    <w:rsid w:val="00832409"/>
    <w:rsid w:val="00832729"/>
    <w:rsid w:val="00832819"/>
    <w:rsid w:val="00832856"/>
    <w:rsid w:val="00832A79"/>
    <w:rsid w:val="00832F28"/>
    <w:rsid w:val="0083330F"/>
    <w:rsid w:val="008335F7"/>
    <w:rsid w:val="00833919"/>
    <w:rsid w:val="00833A5A"/>
    <w:rsid w:val="00833B06"/>
    <w:rsid w:val="00833D38"/>
    <w:rsid w:val="00833D74"/>
    <w:rsid w:val="008341AC"/>
    <w:rsid w:val="008345CF"/>
    <w:rsid w:val="00834823"/>
    <w:rsid w:val="00834A9C"/>
    <w:rsid w:val="00834C4A"/>
    <w:rsid w:val="00835200"/>
    <w:rsid w:val="00835569"/>
    <w:rsid w:val="00835653"/>
    <w:rsid w:val="00835DBE"/>
    <w:rsid w:val="00835F50"/>
    <w:rsid w:val="00836530"/>
    <w:rsid w:val="00836619"/>
    <w:rsid w:val="008368EB"/>
    <w:rsid w:val="00836A58"/>
    <w:rsid w:val="00836B0B"/>
    <w:rsid w:val="00836C0B"/>
    <w:rsid w:val="00837650"/>
    <w:rsid w:val="008378CA"/>
    <w:rsid w:val="00840463"/>
    <w:rsid w:val="0084046F"/>
    <w:rsid w:val="00840543"/>
    <w:rsid w:val="008408B0"/>
    <w:rsid w:val="00840A23"/>
    <w:rsid w:val="00840AE8"/>
    <w:rsid w:val="00840BB3"/>
    <w:rsid w:val="00840BEC"/>
    <w:rsid w:val="008411F9"/>
    <w:rsid w:val="008414EE"/>
    <w:rsid w:val="008417C0"/>
    <w:rsid w:val="008418CD"/>
    <w:rsid w:val="00841A02"/>
    <w:rsid w:val="00841CB0"/>
    <w:rsid w:val="008423A3"/>
    <w:rsid w:val="00842511"/>
    <w:rsid w:val="00842607"/>
    <w:rsid w:val="00842772"/>
    <w:rsid w:val="00842A26"/>
    <w:rsid w:val="00842D01"/>
    <w:rsid w:val="00842D7B"/>
    <w:rsid w:val="00842DD9"/>
    <w:rsid w:val="0084328A"/>
    <w:rsid w:val="0084358D"/>
    <w:rsid w:val="00843ADF"/>
    <w:rsid w:val="00843EB9"/>
    <w:rsid w:val="00844C7F"/>
    <w:rsid w:val="00844D80"/>
    <w:rsid w:val="00844FB4"/>
    <w:rsid w:val="0084503A"/>
    <w:rsid w:val="0084568C"/>
    <w:rsid w:val="00845960"/>
    <w:rsid w:val="00845A09"/>
    <w:rsid w:val="00845C55"/>
    <w:rsid w:val="00845FD8"/>
    <w:rsid w:val="0084619E"/>
    <w:rsid w:val="0084681D"/>
    <w:rsid w:val="00846A30"/>
    <w:rsid w:val="00846F8E"/>
    <w:rsid w:val="00847165"/>
    <w:rsid w:val="0084731A"/>
    <w:rsid w:val="0084738C"/>
    <w:rsid w:val="008475C9"/>
    <w:rsid w:val="00847949"/>
    <w:rsid w:val="00847AC9"/>
    <w:rsid w:val="00847BA2"/>
    <w:rsid w:val="00847CDC"/>
    <w:rsid w:val="00847D3B"/>
    <w:rsid w:val="00847D57"/>
    <w:rsid w:val="00847E66"/>
    <w:rsid w:val="00847EE3"/>
    <w:rsid w:val="008512B6"/>
    <w:rsid w:val="008527E7"/>
    <w:rsid w:val="008535A3"/>
    <w:rsid w:val="008537AB"/>
    <w:rsid w:val="00853C56"/>
    <w:rsid w:val="008543A3"/>
    <w:rsid w:val="00854453"/>
    <w:rsid w:val="0085469B"/>
    <w:rsid w:val="00854B26"/>
    <w:rsid w:val="00854DDE"/>
    <w:rsid w:val="00855195"/>
    <w:rsid w:val="00855247"/>
    <w:rsid w:val="008556D0"/>
    <w:rsid w:val="00856159"/>
    <w:rsid w:val="0085621A"/>
    <w:rsid w:val="008563A7"/>
    <w:rsid w:val="008564FF"/>
    <w:rsid w:val="008565BD"/>
    <w:rsid w:val="00856CC6"/>
    <w:rsid w:val="00857A46"/>
    <w:rsid w:val="00857ED6"/>
    <w:rsid w:val="008604C4"/>
    <w:rsid w:val="008608D1"/>
    <w:rsid w:val="00860C3D"/>
    <w:rsid w:val="00860FEA"/>
    <w:rsid w:val="0086119F"/>
    <w:rsid w:val="00861716"/>
    <w:rsid w:val="008619A2"/>
    <w:rsid w:val="008619B9"/>
    <w:rsid w:val="00861C57"/>
    <w:rsid w:val="00861CA3"/>
    <w:rsid w:val="00861E0F"/>
    <w:rsid w:val="008624F6"/>
    <w:rsid w:val="00862FDF"/>
    <w:rsid w:val="008632BD"/>
    <w:rsid w:val="0086339F"/>
    <w:rsid w:val="008639D7"/>
    <w:rsid w:val="008643A3"/>
    <w:rsid w:val="0086441C"/>
    <w:rsid w:val="008645FC"/>
    <w:rsid w:val="00864681"/>
    <w:rsid w:val="00864B6B"/>
    <w:rsid w:val="008651ED"/>
    <w:rsid w:val="0086545B"/>
    <w:rsid w:val="00865714"/>
    <w:rsid w:val="00865BCD"/>
    <w:rsid w:val="00865D5C"/>
    <w:rsid w:val="008661B8"/>
    <w:rsid w:val="008662BC"/>
    <w:rsid w:val="0086698B"/>
    <w:rsid w:val="00866D47"/>
    <w:rsid w:val="00866D50"/>
    <w:rsid w:val="00866F8F"/>
    <w:rsid w:val="008672B7"/>
    <w:rsid w:val="008703BD"/>
    <w:rsid w:val="00870AA1"/>
    <w:rsid w:val="0087134D"/>
    <w:rsid w:val="00871F7D"/>
    <w:rsid w:val="00871FE2"/>
    <w:rsid w:val="00872014"/>
    <w:rsid w:val="0087270A"/>
    <w:rsid w:val="0087273A"/>
    <w:rsid w:val="00872C2F"/>
    <w:rsid w:val="0087362F"/>
    <w:rsid w:val="00873CC8"/>
    <w:rsid w:val="00873DB2"/>
    <w:rsid w:val="00873F46"/>
    <w:rsid w:val="00875831"/>
    <w:rsid w:val="00875D10"/>
    <w:rsid w:val="00875E26"/>
    <w:rsid w:val="0087609C"/>
    <w:rsid w:val="008760D2"/>
    <w:rsid w:val="008763EE"/>
    <w:rsid w:val="00876979"/>
    <w:rsid w:val="008778FC"/>
    <w:rsid w:val="00877DA2"/>
    <w:rsid w:val="00880392"/>
    <w:rsid w:val="0088088B"/>
    <w:rsid w:val="00880EC4"/>
    <w:rsid w:val="008810FC"/>
    <w:rsid w:val="00881298"/>
    <w:rsid w:val="00881527"/>
    <w:rsid w:val="00881647"/>
    <w:rsid w:val="00881C5B"/>
    <w:rsid w:val="0088232E"/>
    <w:rsid w:val="00882881"/>
    <w:rsid w:val="00882A67"/>
    <w:rsid w:val="00883181"/>
    <w:rsid w:val="00883A33"/>
    <w:rsid w:val="00883CD9"/>
    <w:rsid w:val="00883E93"/>
    <w:rsid w:val="00884350"/>
    <w:rsid w:val="00884385"/>
    <w:rsid w:val="0088445B"/>
    <w:rsid w:val="00884B98"/>
    <w:rsid w:val="00884D97"/>
    <w:rsid w:val="00885240"/>
    <w:rsid w:val="00885973"/>
    <w:rsid w:val="00885B84"/>
    <w:rsid w:val="00885BBA"/>
    <w:rsid w:val="00885D1A"/>
    <w:rsid w:val="00886106"/>
    <w:rsid w:val="008873EE"/>
    <w:rsid w:val="0088762F"/>
    <w:rsid w:val="00887C7A"/>
    <w:rsid w:val="00887FCA"/>
    <w:rsid w:val="00887FDA"/>
    <w:rsid w:val="00890221"/>
    <w:rsid w:val="00890388"/>
    <w:rsid w:val="00890730"/>
    <w:rsid w:val="00891355"/>
    <w:rsid w:val="00891392"/>
    <w:rsid w:val="008915C6"/>
    <w:rsid w:val="00891833"/>
    <w:rsid w:val="00891B2F"/>
    <w:rsid w:val="00891EF3"/>
    <w:rsid w:val="008922B1"/>
    <w:rsid w:val="0089267E"/>
    <w:rsid w:val="00892AE2"/>
    <w:rsid w:val="00892B40"/>
    <w:rsid w:val="00893128"/>
    <w:rsid w:val="0089348C"/>
    <w:rsid w:val="00893740"/>
    <w:rsid w:val="0089451E"/>
    <w:rsid w:val="00894601"/>
    <w:rsid w:val="0089475A"/>
    <w:rsid w:val="00894AB7"/>
    <w:rsid w:val="00894B93"/>
    <w:rsid w:val="00894C62"/>
    <w:rsid w:val="00894D5F"/>
    <w:rsid w:val="008950EE"/>
    <w:rsid w:val="0089541F"/>
    <w:rsid w:val="0089578D"/>
    <w:rsid w:val="008959B9"/>
    <w:rsid w:val="00895B5E"/>
    <w:rsid w:val="00896173"/>
    <w:rsid w:val="008964EE"/>
    <w:rsid w:val="0089656A"/>
    <w:rsid w:val="00896B5B"/>
    <w:rsid w:val="0089754F"/>
    <w:rsid w:val="00897C51"/>
    <w:rsid w:val="008A0005"/>
    <w:rsid w:val="008A0341"/>
    <w:rsid w:val="008A06B1"/>
    <w:rsid w:val="008A07C4"/>
    <w:rsid w:val="008A0DF3"/>
    <w:rsid w:val="008A0E09"/>
    <w:rsid w:val="008A1192"/>
    <w:rsid w:val="008A1339"/>
    <w:rsid w:val="008A1520"/>
    <w:rsid w:val="008A178C"/>
    <w:rsid w:val="008A211B"/>
    <w:rsid w:val="008A21AF"/>
    <w:rsid w:val="008A22CA"/>
    <w:rsid w:val="008A23F0"/>
    <w:rsid w:val="008A2988"/>
    <w:rsid w:val="008A2AE7"/>
    <w:rsid w:val="008A2D37"/>
    <w:rsid w:val="008A2E2C"/>
    <w:rsid w:val="008A2FF2"/>
    <w:rsid w:val="008A37BD"/>
    <w:rsid w:val="008A3DE9"/>
    <w:rsid w:val="008A3E66"/>
    <w:rsid w:val="008A3F89"/>
    <w:rsid w:val="008A4036"/>
    <w:rsid w:val="008A40E7"/>
    <w:rsid w:val="008A41DC"/>
    <w:rsid w:val="008A4438"/>
    <w:rsid w:val="008A462F"/>
    <w:rsid w:val="008A5267"/>
    <w:rsid w:val="008A5268"/>
    <w:rsid w:val="008A5656"/>
    <w:rsid w:val="008A5A95"/>
    <w:rsid w:val="008A5B38"/>
    <w:rsid w:val="008A6057"/>
    <w:rsid w:val="008A7228"/>
    <w:rsid w:val="008A7549"/>
    <w:rsid w:val="008A7648"/>
    <w:rsid w:val="008A76EA"/>
    <w:rsid w:val="008A77D6"/>
    <w:rsid w:val="008A7B29"/>
    <w:rsid w:val="008A7CBB"/>
    <w:rsid w:val="008A7D45"/>
    <w:rsid w:val="008B0A2F"/>
    <w:rsid w:val="008B0BA4"/>
    <w:rsid w:val="008B10CB"/>
    <w:rsid w:val="008B1219"/>
    <w:rsid w:val="008B127E"/>
    <w:rsid w:val="008B198F"/>
    <w:rsid w:val="008B19AA"/>
    <w:rsid w:val="008B1D49"/>
    <w:rsid w:val="008B2130"/>
    <w:rsid w:val="008B2220"/>
    <w:rsid w:val="008B2660"/>
    <w:rsid w:val="008B2B73"/>
    <w:rsid w:val="008B2C7A"/>
    <w:rsid w:val="008B3208"/>
    <w:rsid w:val="008B4293"/>
    <w:rsid w:val="008B45F9"/>
    <w:rsid w:val="008B4A69"/>
    <w:rsid w:val="008B4CA4"/>
    <w:rsid w:val="008B4CD5"/>
    <w:rsid w:val="008B5551"/>
    <w:rsid w:val="008B5603"/>
    <w:rsid w:val="008B5706"/>
    <w:rsid w:val="008B5A72"/>
    <w:rsid w:val="008B5B1D"/>
    <w:rsid w:val="008B5BD5"/>
    <w:rsid w:val="008B5F4E"/>
    <w:rsid w:val="008B602D"/>
    <w:rsid w:val="008B6825"/>
    <w:rsid w:val="008B6852"/>
    <w:rsid w:val="008B6B3C"/>
    <w:rsid w:val="008B6F4F"/>
    <w:rsid w:val="008B70C2"/>
    <w:rsid w:val="008B71CE"/>
    <w:rsid w:val="008B76F4"/>
    <w:rsid w:val="008B7909"/>
    <w:rsid w:val="008B7C96"/>
    <w:rsid w:val="008B7F6E"/>
    <w:rsid w:val="008C00B8"/>
    <w:rsid w:val="008C06A1"/>
    <w:rsid w:val="008C0AE3"/>
    <w:rsid w:val="008C148A"/>
    <w:rsid w:val="008C1789"/>
    <w:rsid w:val="008C1AFB"/>
    <w:rsid w:val="008C1D97"/>
    <w:rsid w:val="008C1EA4"/>
    <w:rsid w:val="008C22B4"/>
    <w:rsid w:val="008C27FF"/>
    <w:rsid w:val="008C2B58"/>
    <w:rsid w:val="008C2BAD"/>
    <w:rsid w:val="008C2F84"/>
    <w:rsid w:val="008C3038"/>
    <w:rsid w:val="008C313A"/>
    <w:rsid w:val="008C31B9"/>
    <w:rsid w:val="008C350B"/>
    <w:rsid w:val="008C3BDB"/>
    <w:rsid w:val="008C3D85"/>
    <w:rsid w:val="008C44DD"/>
    <w:rsid w:val="008C485C"/>
    <w:rsid w:val="008C49D6"/>
    <w:rsid w:val="008C4BE7"/>
    <w:rsid w:val="008C58E8"/>
    <w:rsid w:val="008C62F3"/>
    <w:rsid w:val="008C66B0"/>
    <w:rsid w:val="008C694F"/>
    <w:rsid w:val="008C6A4B"/>
    <w:rsid w:val="008C6BC8"/>
    <w:rsid w:val="008C6BE8"/>
    <w:rsid w:val="008C6BF5"/>
    <w:rsid w:val="008C6CFD"/>
    <w:rsid w:val="008C79A3"/>
    <w:rsid w:val="008C7AFD"/>
    <w:rsid w:val="008C7C10"/>
    <w:rsid w:val="008C7D55"/>
    <w:rsid w:val="008C7F97"/>
    <w:rsid w:val="008D0165"/>
    <w:rsid w:val="008D0686"/>
    <w:rsid w:val="008D0E3F"/>
    <w:rsid w:val="008D1671"/>
    <w:rsid w:val="008D1B11"/>
    <w:rsid w:val="008D1CCC"/>
    <w:rsid w:val="008D1DDF"/>
    <w:rsid w:val="008D246B"/>
    <w:rsid w:val="008D2DDA"/>
    <w:rsid w:val="008D2E8B"/>
    <w:rsid w:val="008D3366"/>
    <w:rsid w:val="008D3FA9"/>
    <w:rsid w:val="008D419D"/>
    <w:rsid w:val="008D4201"/>
    <w:rsid w:val="008D4430"/>
    <w:rsid w:val="008D4487"/>
    <w:rsid w:val="008D4850"/>
    <w:rsid w:val="008D56AD"/>
    <w:rsid w:val="008D5F16"/>
    <w:rsid w:val="008D64ED"/>
    <w:rsid w:val="008D6780"/>
    <w:rsid w:val="008D6AED"/>
    <w:rsid w:val="008D7739"/>
    <w:rsid w:val="008D7790"/>
    <w:rsid w:val="008D782E"/>
    <w:rsid w:val="008D79DD"/>
    <w:rsid w:val="008D7FDC"/>
    <w:rsid w:val="008E01B6"/>
    <w:rsid w:val="008E0BCD"/>
    <w:rsid w:val="008E0C5F"/>
    <w:rsid w:val="008E14FD"/>
    <w:rsid w:val="008E1700"/>
    <w:rsid w:val="008E19C3"/>
    <w:rsid w:val="008E1C6E"/>
    <w:rsid w:val="008E1DB9"/>
    <w:rsid w:val="008E2381"/>
    <w:rsid w:val="008E2453"/>
    <w:rsid w:val="008E24C4"/>
    <w:rsid w:val="008E2536"/>
    <w:rsid w:val="008E2B44"/>
    <w:rsid w:val="008E2D57"/>
    <w:rsid w:val="008E2D96"/>
    <w:rsid w:val="008E349A"/>
    <w:rsid w:val="008E37FC"/>
    <w:rsid w:val="008E3994"/>
    <w:rsid w:val="008E3CEB"/>
    <w:rsid w:val="008E3DEF"/>
    <w:rsid w:val="008E459B"/>
    <w:rsid w:val="008E483E"/>
    <w:rsid w:val="008E4885"/>
    <w:rsid w:val="008E50BF"/>
    <w:rsid w:val="008E51A2"/>
    <w:rsid w:val="008E54BF"/>
    <w:rsid w:val="008E5BC4"/>
    <w:rsid w:val="008E600E"/>
    <w:rsid w:val="008E619B"/>
    <w:rsid w:val="008E6D56"/>
    <w:rsid w:val="008E6F4A"/>
    <w:rsid w:val="008F0208"/>
    <w:rsid w:val="008F032C"/>
    <w:rsid w:val="008F0D40"/>
    <w:rsid w:val="008F0EEF"/>
    <w:rsid w:val="008F0FCF"/>
    <w:rsid w:val="008F105D"/>
    <w:rsid w:val="008F120B"/>
    <w:rsid w:val="008F17CE"/>
    <w:rsid w:val="008F1944"/>
    <w:rsid w:val="008F1B14"/>
    <w:rsid w:val="008F33A3"/>
    <w:rsid w:val="008F33D0"/>
    <w:rsid w:val="008F33F3"/>
    <w:rsid w:val="008F37A1"/>
    <w:rsid w:val="008F38A2"/>
    <w:rsid w:val="008F3987"/>
    <w:rsid w:val="008F3A05"/>
    <w:rsid w:val="008F3AE2"/>
    <w:rsid w:val="008F3B9C"/>
    <w:rsid w:val="008F3BCA"/>
    <w:rsid w:val="008F4181"/>
    <w:rsid w:val="008F46D3"/>
    <w:rsid w:val="008F4A8F"/>
    <w:rsid w:val="008F4B75"/>
    <w:rsid w:val="008F4E0A"/>
    <w:rsid w:val="008F5072"/>
    <w:rsid w:val="008F52AF"/>
    <w:rsid w:val="008F5335"/>
    <w:rsid w:val="008F5CA2"/>
    <w:rsid w:val="008F5D62"/>
    <w:rsid w:val="008F6527"/>
    <w:rsid w:val="008F68E4"/>
    <w:rsid w:val="008F68FC"/>
    <w:rsid w:val="008F6C12"/>
    <w:rsid w:val="008F6D96"/>
    <w:rsid w:val="008F6E78"/>
    <w:rsid w:val="008F7233"/>
    <w:rsid w:val="008F72B5"/>
    <w:rsid w:val="008F7A9E"/>
    <w:rsid w:val="008F7B23"/>
    <w:rsid w:val="008F7BD5"/>
    <w:rsid w:val="008F7CC0"/>
    <w:rsid w:val="008F7CD1"/>
    <w:rsid w:val="008F7DB9"/>
    <w:rsid w:val="00900636"/>
    <w:rsid w:val="00900998"/>
    <w:rsid w:val="00900CEA"/>
    <w:rsid w:val="00900D17"/>
    <w:rsid w:val="00900D6B"/>
    <w:rsid w:val="009011D1"/>
    <w:rsid w:val="009012A6"/>
    <w:rsid w:val="00902204"/>
    <w:rsid w:val="0090247B"/>
    <w:rsid w:val="009026F3"/>
    <w:rsid w:val="00902824"/>
    <w:rsid w:val="0090295F"/>
    <w:rsid w:val="00902FAF"/>
    <w:rsid w:val="00903212"/>
    <w:rsid w:val="009032E3"/>
    <w:rsid w:val="009034A9"/>
    <w:rsid w:val="0090359A"/>
    <w:rsid w:val="00903723"/>
    <w:rsid w:val="0090408A"/>
    <w:rsid w:val="00904689"/>
    <w:rsid w:val="009046D9"/>
    <w:rsid w:val="00904CDF"/>
    <w:rsid w:val="00905945"/>
    <w:rsid w:val="00905EF6"/>
    <w:rsid w:val="0090601A"/>
    <w:rsid w:val="00906151"/>
    <w:rsid w:val="0090618E"/>
    <w:rsid w:val="009061B5"/>
    <w:rsid w:val="00906743"/>
    <w:rsid w:val="00906B22"/>
    <w:rsid w:val="00906EEE"/>
    <w:rsid w:val="00906FFE"/>
    <w:rsid w:val="009070BD"/>
    <w:rsid w:val="00907111"/>
    <w:rsid w:val="00907596"/>
    <w:rsid w:val="009075D3"/>
    <w:rsid w:val="009075E6"/>
    <w:rsid w:val="00907E98"/>
    <w:rsid w:val="0091099D"/>
    <w:rsid w:val="00910AA5"/>
    <w:rsid w:val="00910FF6"/>
    <w:rsid w:val="0091173A"/>
    <w:rsid w:val="00911AE3"/>
    <w:rsid w:val="00911CC2"/>
    <w:rsid w:val="00912049"/>
    <w:rsid w:val="00912182"/>
    <w:rsid w:val="0091227A"/>
    <w:rsid w:val="009122D6"/>
    <w:rsid w:val="00913571"/>
    <w:rsid w:val="00913660"/>
    <w:rsid w:val="009139FC"/>
    <w:rsid w:val="00914620"/>
    <w:rsid w:val="00915151"/>
    <w:rsid w:val="0091541C"/>
    <w:rsid w:val="009156EA"/>
    <w:rsid w:val="00915AF0"/>
    <w:rsid w:val="00915E88"/>
    <w:rsid w:val="00916037"/>
    <w:rsid w:val="00916195"/>
    <w:rsid w:val="009169E7"/>
    <w:rsid w:val="009170A9"/>
    <w:rsid w:val="0091725B"/>
    <w:rsid w:val="0091765A"/>
    <w:rsid w:val="00917B21"/>
    <w:rsid w:val="00917E2B"/>
    <w:rsid w:val="00917EA1"/>
    <w:rsid w:val="009206BE"/>
    <w:rsid w:val="00920DE9"/>
    <w:rsid w:val="00921443"/>
    <w:rsid w:val="009214FB"/>
    <w:rsid w:val="009215EC"/>
    <w:rsid w:val="0092168E"/>
    <w:rsid w:val="00921CC1"/>
    <w:rsid w:val="00921F05"/>
    <w:rsid w:val="00922161"/>
    <w:rsid w:val="00922479"/>
    <w:rsid w:val="009224A8"/>
    <w:rsid w:val="009228F2"/>
    <w:rsid w:val="00922CF5"/>
    <w:rsid w:val="00923016"/>
    <w:rsid w:val="00923073"/>
    <w:rsid w:val="00923096"/>
    <w:rsid w:val="0092339A"/>
    <w:rsid w:val="0092342F"/>
    <w:rsid w:val="00923481"/>
    <w:rsid w:val="00923D07"/>
    <w:rsid w:val="00923F9C"/>
    <w:rsid w:val="00924667"/>
    <w:rsid w:val="00924858"/>
    <w:rsid w:val="00924C5E"/>
    <w:rsid w:val="00924E27"/>
    <w:rsid w:val="0092509F"/>
    <w:rsid w:val="009251DF"/>
    <w:rsid w:val="009252F3"/>
    <w:rsid w:val="009255DF"/>
    <w:rsid w:val="00925642"/>
    <w:rsid w:val="00925694"/>
    <w:rsid w:val="00925FDB"/>
    <w:rsid w:val="0092655B"/>
    <w:rsid w:val="009265F3"/>
    <w:rsid w:val="00926E4D"/>
    <w:rsid w:val="009272E0"/>
    <w:rsid w:val="0092745C"/>
    <w:rsid w:val="00927586"/>
    <w:rsid w:val="009302D8"/>
    <w:rsid w:val="00930860"/>
    <w:rsid w:val="009308A1"/>
    <w:rsid w:val="00930BB2"/>
    <w:rsid w:val="00930DDE"/>
    <w:rsid w:val="0093129C"/>
    <w:rsid w:val="0093148B"/>
    <w:rsid w:val="00931D06"/>
    <w:rsid w:val="00931D14"/>
    <w:rsid w:val="00932158"/>
    <w:rsid w:val="00932A00"/>
    <w:rsid w:val="00932F48"/>
    <w:rsid w:val="00933049"/>
    <w:rsid w:val="00933091"/>
    <w:rsid w:val="00933216"/>
    <w:rsid w:val="009332DE"/>
    <w:rsid w:val="0093331A"/>
    <w:rsid w:val="009333E9"/>
    <w:rsid w:val="00933B4A"/>
    <w:rsid w:val="00933B51"/>
    <w:rsid w:val="00933CA4"/>
    <w:rsid w:val="00933E8C"/>
    <w:rsid w:val="00934125"/>
    <w:rsid w:val="00934442"/>
    <w:rsid w:val="00934695"/>
    <w:rsid w:val="009347BF"/>
    <w:rsid w:val="00934827"/>
    <w:rsid w:val="00934880"/>
    <w:rsid w:val="00934CDC"/>
    <w:rsid w:val="00934F82"/>
    <w:rsid w:val="0093559E"/>
    <w:rsid w:val="00935D35"/>
    <w:rsid w:val="009360C4"/>
    <w:rsid w:val="0093631F"/>
    <w:rsid w:val="0093658F"/>
    <w:rsid w:val="0093728A"/>
    <w:rsid w:val="009375FB"/>
    <w:rsid w:val="00937C75"/>
    <w:rsid w:val="00940241"/>
    <w:rsid w:val="0094025C"/>
    <w:rsid w:val="00940526"/>
    <w:rsid w:val="00940CDE"/>
    <w:rsid w:val="00940E95"/>
    <w:rsid w:val="00940EB3"/>
    <w:rsid w:val="00940FA1"/>
    <w:rsid w:val="00941455"/>
    <w:rsid w:val="0094176E"/>
    <w:rsid w:val="00941819"/>
    <w:rsid w:val="00942C7D"/>
    <w:rsid w:val="00943135"/>
    <w:rsid w:val="00943255"/>
    <w:rsid w:val="00943487"/>
    <w:rsid w:val="00943E08"/>
    <w:rsid w:val="00944499"/>
    <w:rsid w:val="009444FD"/>
    <w:rsid w:val="00944511"/>
    <w:rsid w:val="00944693"/>
    <w:rsid w:val="00944BAA"/>
    <w:rsid w:val="00944F55"/>
    <w:rsid w:val="00945870"/>
    <w:rsid w:val="00945AAA"/>
    <w:rsid w:val="00945F05"/>
    <w:rsid w:val="0094620E"/>
    <w:rsid w:val="00946942"/>
    <w:rsid w:val="00946CF6"/>
    <w:rsid w:val="00947025"/>
    <w:rsid w:val="0094725D"/>
    <w:rsid w:val="009473A9"/>
    <w:rsid w:val="00947406"/>
    <w:rsid w:val="009475C0"/>
    <w:rsid w:val="009478AB"/>
    <w:rsid w:val="00947974"/>
    <w:rsid w:val="00947EF1"/>
    <w:rsid w:val="00947F68"/>
    <w:rsid w:val="009501AD"/>
    <w:rsid w:val="009506DE"/>
    <w:rsid w:val="009509D2"/>
    <w:rsid w:val="00950E9A"/>
    <w:rsid w:val="009512F7"/>
    <w:rsid w:val="00951376"/>
    <w:rsid w:val="00951EB3"/>
    <w:rsid w:val="00951F44"/>
    <w:rsid w:val="0095250E"/>
    <w:rsid w:val="00952539"/>
    <w:rsid w:val="009526B6"/>
    <w:rsid w:val="00952A01"/>
    <w:rsid w:val="00952B32"/>
    <w:rsid w:val="00953496"/>
    <w:rsid w:val="00953EC2"/>
    <w:rsid w:val="00954656"/>
    <w:rsid w:val="009548A4"/>
    <w:rsid w:val="00954983"/>
    <w:rsid w:val="00954B84"/>
    <w:rsid w:val="00954DA7"/>
    <w:rsid w:val="0095510F"/>
    <w:rsid w:val="00955483"/>
    <w:rsid w:val="0095550E"/>
    <w:rsid w:val="00955562"/>
    <w:rsid w:val="0095587F"/>
    <w:rsid w:val="009559BF"/>
    <w:rsid w:val="00955B7C"/>
    <w:rsid w:val="00955F9E"/>
    <w:rsid w:val="009560E4"/>
    <w:rsid w:val="00956324"/>
    <w:rsid w:val="00956B30"/>
    <w:rsid w:val="00957BB3"/>
    <w:rsid w:val="00957FD7"/>
    <w:rsid w:val="009601A4"/>
    <w:rsid w:val="00960451"/>
    <w:rsid w:val="00960B32"/>
    <w:rsid w:val="00960CA5"/>
    <w:rsid w:val="00960EEC"/>
    <w:rsid w:val="00961127"/>
    <w:rsid w:val="00961150"/>
    <w:rsid w:val="0096122A"/>
    <w:rsid w:val="0096133D"/>
    <w:rsid w:val="00961398"/>
    <w:rsid w:val="00961432"/>
    <w:rsid w:val="00961602"/>
    <w:rsid w:val="00961700"/>
    <w:rsid w:val="009617FB"/>
    <w:rsid w:val="00961B35"/>
    <w:rsid w:val="00961CAE"/>
    <w:rsid w:val="0096230E"/>
    <w:rsid w:val="00962EEE"/>
    <w:rsid w:val="00962F00"/>
    <w:rsid w:val="00963088"/>
    <w:rsid w:val="00963592"/>
    <w:rsid w:val="00963E9E"/>
    <w:rsid w:val="00963EB8"/>
    <w:rsid w:val="009640D6"/>
    <w:rsid w:val="0096443A"/>
    <w:rsid w:val="00964659"/>
    <w:rsid w:val="00964C55"/>
    <w:rsid w:val="009652C7"/>
    <w:rsid w:val="009654D4"/>
    <w:rsid w:val="00965856"/>
    <w:rsid w:val="00965CDC"/>
    <w:rsid w:val="0096686F"/>
    <w:rsid w:val="00966F0A"/>
    <w:rsid w:val="009672D0"/>
    <w:rsid w:val="00967355"/>
    <w:rsid w:val="0096788D"/>
    <w:rsid w:val="00967A21"/>
    <w:rsid w:val="00967C37"/>
    <w:rsid w:val="00967C99"/>
    <w:rsid w:val="00967D81"/>
    <w:rsid w:val="00967F2D"/>
    <w:rsid w:val="009700A0"/>
    <w:rsid w:val="009700FB"/>
    <w:rsid w:val="009703E6"/>
    <w:rsid w:val="00970721"/>
    <w:rsid w:val="00970D80"/>
    <w:rsid w:val="00970DA1"/>
    <w:rsid w:val="009712D0"/>
    <w:rsid w:val="0097153B"/>
    <w:rsid w:val="00971726"/>
    <w:rsid w:val="00971861"/>
    <w:rsid w:val="0097199E"/>
    <w:rsid w:val="00971A2C"/>
    <w:rsid w:val="00971E65"/>
    <w:rsid w:val="00971EB0"/>
    <w:rsid w:val="00971EBA"/>
    <w:rsid w:val="00971F88"/>
    <w:rsid w:val="0097236C"/>
    <w:rsid w:val="009723D3"/>
    <w:rsid w:val="0097270C"/>
    <w:rsid w:val="00972729"/>
    <w:rsid w:val="00972B5E"/>
    <w:rsid w:val="009732A0"/>
    <w:rsid w:val="00973455"/>
    <w:rsid w:val="00973B71"/>
    <w:rsid w:val="00973EE2"/>
    <w:rsid w:val="00974589"/>
    <w:rsid w:val="00974663"/>
    <w:rsid w:val="00975273"/>
    <w:rsid w:val="00975502"/>
    <w:rsid w:val="0097597A"/>
    <w:rsid w:val="00975ABC"/>
    <w:rsid w:val="00975BC0"/>
    <w:rsid w:val="0097606C"/>
    <w:rsid w:val="0097666A"/>
    <w:rsid w:val="00976687"/>
    <w:rsid w:val="00976695"/>
    <w:rsid w:val="00976DEF"/>
    <w:rsid w:val="009770C1"/>
    <w:rsid w:val="009774A5"/>
    <w:rsid w:val="0097780A"/>
    <w:rsid w:val="00977AD2"/>
    <w:rsid w:val="009801F0"/>
    <w:rsid w:val="0098023C"/>
    <w:rsid w:val="00980531"/>
    <w:rsid w:val="00980796"/>
    <w:rsid w:val="00980A02"/>
    <w:rsid w:val="00980A17"/>
    <w:rsid w:val="00980AC8"/>
    <w:rsid w:val="00980E93"/>
    <w:rsid w:val="009810B1"/>
    <w:rsid w:val="009813D2"/>
    <w:rsid w:val="00981662"/>
    <w:rsid w:val="009819BE"/>
    <w:rsid w:val="00981D12"/>
    <w:rsid w:val="00982119"/>
    <w:rsid w:val="009826E3"/>
    <w:rsid w:val="0098295D"/>
    <w:rsid w:val="0098296D"/>
    <w:rsid w:val="00982E78"/>
    <w:rsid w:val="009838A3"/>
    <w:rsid w:val="009841E9"/>
    <w:rsid w:val="00984426"/>
    <w:rsid w:val="009847B2"/>
    <w:rsid w:val="00984D64"/>
    <w:rsid w:val="00985221"/>
    <w:rsid w:val="00985CDD"/>
    <w:rsid w:val="00985CEF"/>
    <w:rsid w:val="00986012"/>
    <w:rsid w:val="009861FD"/>
    <w:rsid w:val="0098688A"/>
    <w:rsid w:val="00986C9A"/>
    <w:rsid w:val="00986CAA"/>
    <w:rsid w:val="00986E72"/>
    <w:rsid w:val="00986ECB"/>
    <w:rsid w:val="009870FE"/>
    <w:rsid w:val="00987A1B"/>
    <w:rsid w:val="00987AF5"/>
    <w:rsid w:val="00987E02"/>
    <w:rsid w:val="0099003B"/>
    <w:rsid w:val="009904FB"/>
    <w:rsid w:val="009908C1"/>
    <w:rsid w:val="00991055"/>
    <w:rsid w:val="0099111E"/>
    <w:rsid w:val="00991194"/>
    <w:rsid w:val="00991C5C"/>
    <w:rsid w:val="00992669"/>
    <w:rsid w:val="0099275E"/>
    <w:rsid w:val="009928D2"/>
    <w:rsid w:val="00992BDA"/>
    <w:rsid w:val="0099338C"/>
    <w:rsid w:val="009934A5"/>
    <w:rsid w:val="00993526"/>
    <w:rsid w:val="00993753"/>
    <w:rsid w:val="009937EF"/>
    <w:rsid w:val="00993A22"/>
    <w:rsid w:val="00993AED"/>
    <w:rsid w:val="00993CB9"/>
    <w:rsid w:val="00994399"/>
    <w:rsid w:val="009953B3"/>
    <w:rsid w:val="00995667"/>
    <w:rsid w:val="0099569A"/>
    <w:rsid w:val="009958F0"/>
    <w:rsid w:val="00995CDC"/>
    <w:rsid w:val="00995F9F"/>
    <w:rsid w:val="009962DD"/>
    <w:rsid w:val="009966B8"/>
    <w:rsid w:val="00996A49"/>
    <w:rsid w:val="00996D30"/>
    <w:rsid w:val="00997154"/>
    <w:rsid w:val="009971D9"/>
    <w:rsid w:val="009975BE"/>
    <w:rsid w:val="009978D7"/>
    <w:rsid w:val="00997D05"/>
    <w:rsid w:val="009A0189"/>
    <w:rsid w:val="009A0283"/>
    <w:rsid w:val="009A0832"/>
    <w:rsid w:val="009A0A6D"/>
    <w:rsid w:val="009A0A80"/>
    <w:rsid w:val="009A0F65"/>
    <w:rsid w:val="009A1774"/>
    <w:rsid w:val="009A197C"/>
    <w:rsid w:val="009A1A32"/>
    <w:rsid w:val="009A1A86"/>
    <w:rsid w:val="009A1AB9"/>
    <w:rsid w:val="009A2283"/>
    <w:rsid w:val="009A27A2"/>
    <w:rsid w:val="009A2A0D"/>
    <w:rsid w:val="009A37DB"/>
    <w:rsid w:val="009A3A8C"/>
    <w:rsid w:val="009A3C6A"/>
    <w:rsid w:val="009A405F"/>
    <w:rsid w:val="009A4518"/>
    <w:rsid w:val="009A456B"/>
    <w:rsid w:val="009A4756"/>
    <w:rsid w:val="009A490B"/>
    <w:rsid w:val="009A4D05"/>
    <w:rsid w:val="009A5165"/>
    <w:rsid w:val="009A5777"/>
    <w:rsid w:val="009A59AC"/>
    <w:rsid w:val="009A5AAF"/>
    <w:rsid w:val="009A5E17"/>
    <w:rsid w:val="009A615D"/>
    <w:rsid w:val="009A68FD"/>
    <w:rsid w:val="009A6929"/>
    <w:rsid w:val="009A6B43"/>
    <w:rsid w:val="009A6B45"/>
    <w:rsid w:val="009A72E4"/>
    <w:rsid w:val="009A7677"/>
    <w:rsid w:val="009A779D"/>
    <w:rsid w:val="009A7816"/>
    <w:rsid w:val="009A7B1E"/>
    <w:rsid w:val="009B02D8"/>
    <w:rsid w:val="009B128F"/>
    <w:rsid w:val="009B13A8"/>
    <w:rsid w:val="009B1523"/>
    <w:rsid w:val="009B1618"/>
    <w:rsid w:val="009B1EA8"/>
    <w:rsid w:val="009B23B6"/>
    <w:rsid w:val="009B2791"/>
    <w:rsid w:val="009B29EC"/>
    <w:rsid w:val="009B2A8A"/>
    <w:rsid w:val="009B2F15"/>
    <w:rsid w:val="009B3505"/>
    <w:rsid w:val="009B35E6"/>
    <w:rsid w:val="009B363A"/>
    <w:rsid w:val="009B3790"/>
    <w:rsid w:val="009B3D7A"/>
    <w:rsid w:val="009B3F20"/>
    <w:rsid w:val="009B459D"/>
    <w:rsid w:val="009B4A8F"/>
    <w:rsid w:val="009B57B7"/>
    <w:rsid w:val="009B5A21"/>
    <w:rsid w:val="009B5E00"/>
    <w:rsid w:val="009B5EAD"/>
    <w:rsid w:val="009B62D7"/>
    <w:rsid w:val="009B63FF"/>
    <w:rsid w:val="009B67F2"/>
    <w:rsid w:val="009B6BFD"/>
    <w:rsid w:val="009B6D68"/>
    <w:rsid w:val="009B6F24"/>
    <w:rsid w:val="009B7194"/>
    <w:rsid w:val="009B72CB"/>
    <w:rsid w:val="009B733F"/>
    <w:rsid w:val="009B773C"/>
    <w:rsid w:val="009B7839"/>
    <w:rsid w:val="009B7868"/>
    <w:rsid w:val="009B7F1B"/>
    <w:rsid w:val="009C0028"/>
    <w:rsid w:val="009C08BE"/>
    <w:rsid w:val="009C0AA0"/>
    <w:rsid w:val="009C0E1E"/>
    <w:rsid w:val="009C12ED"/>
    <w:rsid w:val="009C1495"/>
    <w:rsid w:val="009C1900"/>
    <w:rsid w:val="009C1B75"/>
    <w:rsid w:val="009C1BFA"/>
    <w:rsid w:val="009C1C1A"/>
    <w:rsid w:val="009C1D34"/>
    <w:rsid w:val="009C2097"/>
    <w:rsid w:val="009C218A"/>
    <w:rsid w:val="009C24E6"/>
    <w:rsid w:val="009C2FC3"/>
    <w:rsid w:val="009C3259"/>
    <w:rsid w:val="009C3EA0"/>
    <w:rsid w:val="009C3EC4"/>
    <w:rsid w:val="009C4310"/>
    <w:rsid w:val="009C4480"/>
    <w:rsid w:val="009C45C0"/>
    <w:rsid w:val="009C46EE"/>
    <w:rsid w:val="009C47B0"/>
    <w:rsid w:val="009C4836"/>
    <w:rsid w:val="009C497D"/>
    <w:rsid w:val="009C4CF3"/>
    <w:rsid w:val="009C4D45"/>
    <w:rsid w:val="009C520F"/>
    <w:rsid w:val="009C5D2A"/>
    <w:rsid w:val="009C5F26"/>
    <w:rsid w:val="009C60C8"/>
    <w:rsid w:val="009C6D3D"/>
    <w:rsid w:val="009C7050"/>
    <w:rsid w:val="009C7076"/>
    <w:rsid w:val="009C72D3"/>
    <w:rsid w:val="009D0058"/>
    <w:rsid w:val="009D00D1"/>
    <w:rsid w:val="009D0875"/>
    <w:rsid w:val="009D0AB0"/>
    <w:rsid w:val="009D0B24"/>
    <w:rsid w:val="009D0DA8"/>
    <w:rsid w:val="009D0EF5"/>
    <w:rsid w:val="009D1222"/>
    <w:rsid w:val="009D1463"/>
    <w:rsid w:val="009D14B7"/>
    <w:rsid w:val="009D1F77"/>
    <w:rsid w:val="009D263C"/>
    <w:rsid w:val="009D2753"/>
    <w:rsid w:val="009D2783"/>
    <w:rsid w:val="009D2872"/>
    <w:rsid w:val="009D2BE9"/>
    <w:rsid w:val="009D2C0A"/>
    <w:rsid w:val="009D2C35"/>
    <w:rsid w:val="009D2D2E"/>
    <w:rsid w:val="009D400F"/>
    <w:rsid w:val="009D4092"/>
    <w:rsid w:val="009D4204"/>
    <w:rsid w:val="009D4487"/>
    <w:rsid w:val="009D4595"/>
    <w:rsid w:val="009D46AA"/>
    <w:rsid w:val="009D490E"/>
    <w:rsid w:val="009D4C7A"/>
    <w:rsid w:val="009D4D88"/>
    <w:rsid w:val="009D50C6"/>
    <w:rsid w:val="009D5247"/>
    <w:rsid w:val="009D5678"/>
    <w:rsid w:val="009D573D"/>
    <w:rsid w:val="009D587C"/>
    <w:rsid w:val="009D594A"/>
    <w:rsid w:val="009D5A88"/>
    <w:rsid w:val="009D5C88"/>
    <w:rsid w:val="009D60F8"/>
    <w:rsid w:val="009D61DE"/>
    <w:rsid w:val="009D62C0"/>
    <w:rsid w:val="009D64AE"/>
    <w:rsid w:val="009D6A9A"/>
    <w:rsid w:val="009D7203"/>
    <w:rsid w:val="009D72B4"/>
    <w:rsid w:val="009D74C7"/>
    <w:rsid w:val="009D77B5"/>
    <w:rsid w:val="009E015A"/>
    <w:rsid w:val="009E0655"/>
    <w:rsid w:val="009E0DDC"/>
    <w:rsid w:val="009E1D8D"/>
    <w:rsid w:val="009E20B5"/>
    <w:rsid w:val="009E2C78"/>
    <w:rsid w:val="009E2D24"/>
    <w:rsid w:val="009E3156"/>
    <w:rsid w:val="009E31C5"/>
    <w:rsid w:val="009E3263"/>
    <w:rsid w:val="009E356F"/>
    <w:rsid w:val="009E3878"/>
    <w:rsid w:val="009E39AF"/>
    <w:rsid w:val="009E3E27"/>
    <w:rsid w:val="009E3F29"/>
    <w:rsid w:val="009E433C"/>
    <w:rsid w:val="009E4C0F"/>
    <w:rsid w:val="009E534A"/>
    <w:rsid w:val="009E535D"/>
    <w:rsid w:val="009E59AA"/>
    <w:rsid w:val="009E5BB0"/>
    <w:rsid w:val="009E5E16"/>
    <w:rsid w:val="009E60C0"/>
    <w:rsid w:val="009E64AD"/>
    <w:rsid w:val="009E6BBC"/>
    <w:rsid w:val="009E6DF4"/>
    <w:rsid w:val="009E6FC2"/>
    <w:rsid w:val="009E706B"/>
    <w:rsid w:val="009E760B"/>
    <w:rsid w:val="009E77EC"/>
    <w:rsid w:val="009E7EB9"/>
    <w:rsid w:val="009F028C"/>
    <w:rsid w:val="009F04B6"/>
    <w:rsid w:val="009F04C0"/>
    <w:rsid w:val="009F0A25"/>
    <w:rsid w:val="009F0B00"/>
    <w:rsid w:val="009F1047"/>
    <w:rsid w:val="009F1241"/>
    <w:rsid w:val="009F1388"/>
    <w:rsid w:val="009F1582"/>
    <w:rsid w:val="009F1BE6"/>
    <w:rsid w:val="009F23AD"/>
    <w:rsid w:val="009F264D"/>
    <w:rsid w:val="009F2792"/>
    <w:rsid w:val="009F2882"/>
    <w:rsid w:val="009F2C44"/>
    <w:rsid w:val="009F3152"/>
    <w:rsid w:val="009F346F"/>
    <w:rsid w:val="009F36E3"/>
    <w:rsid w:val="009F3715"/>
    <w:rsid w:val="009F3C47"/>
    <w:rsid w:val="009F3C84"/>
    <w:rsid w:val="009F3F57"/>
    <w:rsid w:val="009F402A"/>
    <w:rsid w:val="009F4121"/>
    <w:rsid w:val="009F4194"/>
    <w:rsid w:val="009F44CC"/>
    <w:rsid w:val="009F4A0C"/>
    <w:rsid w:val="009F5579"/>
    <w:rsid w:val="009F5A7A"/>
    <w:rsid w:val="009F5BDC"/>
    <w:rsid w:val="009F5E54"/>
    <w:rsid w:val="009F5F37"/>
    <w:rsid w:val="009F6ED5"/>
    <w:rsid w:val="009F6FBB"/>
    <w:rsid w:val="009F7645"/>
    <w:rsid w:val="009F7662"/>
    <w:rsid w:val="009F7A37"/>
    <w:rsid w:val="00A00023"/>
    <w:rsid w:val="00A00029"/>
    <w:rsid w:val="00A004F9"/>
    <w:rsid w:val="00A009B6"/>
    <w:rsid w:val="00A00B8B"/>
    <w:rsid w:val="00A00D66"/>
    <w:rsid w:val="00A01170"/>
    <w:rsid w:val="00A012AA"/>
    <w:rsid w:val="00A01559"/>
    <w:rsid w:val="00A01ED8"/>
    <w:rsid w:val="00A02036"/>
    <w:rsid w:val="00A023EA"/>
    <w:rsid w:val="00A02F03"/>
    <w:rsid w:val="00A031CA"/>
    <w:rsid w:val="00A036E1"/>
    <w:rsid w:val="00A038BB"/>
    <w:rsid w:val="00A03DB5"/>
    <w:rsid w:val="00A03FB4"/>
    <w:rsid w:val="00A0423C"/>
    <w:rsid w:val="00A0445F"/>
    <w:rsid w:val="00A04517"/>
    <w:rsid w:val="00A049A1"/>
    <w:rsid w:val="00A04A43"/>
    <w:rsid w:val="00A0504E"/>
    <w:rsid w:val="00A0529B"/>
    <w:rsid w:val="00A055A8"/>
    <w:rsid w:val="00A066BB"/>
    <w:rsid w:val="00A068AA"/>
    <w:rsid w:val="00A069CC"/>
    <w:rsid w:val="00A069E1"/>
    <w:rsid w:val="00A06AA9"/>
    <w:rsid w:val="00A06DB4"/>
    <w:rsid w:val="00A06DD6"/>
    <w:rsid w:val="00A07444"/>
    <w:rsid w:val="00A075FC"/>
    <w:rsid w:val="00A07DE4"/>
    <w:rsid w:val="00A1007D"/>
    <w:rsid w:val="00A10BCD"/>
    <w:rsid w:val="00A10D4F"/>
    <w:rsid w:val="00A1115D"/>
    <w:rsid w:val="00A1134E"/>
    <w:rsid w:val="00A1190C"/>
    <w:rsid w:val="00A11D7D"/>
    <w:rsid w:val="00A11E36"/>
    <w:rsid w:val="00A120FA"/>
    <w:rsid w:val="00A127E4"/>
    <w:rsid w:val="00A13018"/>
    <w:rsid w:val="00A13033"/>
    <w:rsid w:val="00A138C7"/>
    <w:rsid w:val="00A13BC6"/>
    <w:rsid w:val="00A13CE6"/>
    <w:rsid w:val="00A14621"/>
    <w:rsid w:val="00A146C4"/>
    <w:rsid w:val="00A14B53"/>
    <w:rsid w:val="00A14B59"/>
    <w:rsid w:val="00A14B5B"/>
    <w:rsid w:val="00A14E54"/>
    <w:rsid w:val="00A1521C"/>
    <w:rsid w:val="00A15448"/>
    <w:rsid w:val="00A162FE"/>
    <w:rsid w:val="00A16426"/>
    <w:rsid w:val="00A16623"/>
    <w:rsid w:val="00A16795"/>
    <w:rsid w:val="00A175B5"/>
    <w:rsid w:val="00A17671"/>
    <w:rsid w:val="00A17D19"/>
    <w:rsid w:val="00A20267"/>
    <w:rsid w:val="00A204F1"/>
    <w:rsid w:val="00A20C0E"/>
    <w:rsid w:val="00A20CD8"/>
    <w:rsid w:val="00A21045"/>
    <w:rsid w:val="00A2113F"/>
    <w:rsid w:val="00A21A24"/>
    <w:rsid w:val="00A21ED7"/>
    <w:rsid w:val="00A22793"/>
    <w:rsid w:val="00A229F1"/>
    <w:rsid w:val="00A22BBD"/>
    <w:rsid w:val="00A22D05"/>
    <w:rsid w:val="00A22F3A"/>
    <w:rsid w:val="00A23DD4"/>
    <w:rsid w:val="00A23F1B"/>
    <w:rsid w:val="00A242F7"/>
    <w:rsid w:val="00A2436E"/>
    <w:rsid w:val="00A24573"/>
    <w:rsid w:val="00A245DC"/>
    <w:rsid w:val="00A2480A"/>
    <w:rsid w:val="00A2491B"/>
    <w:rsid w:val="00A2499C"/>
    <w:rsid w:val="00A2507B"/>
    <w:rsid w:val="00A25FD1"/>
    <w:rsid w:val="00A261F1"/>
    <w:rsid w:val="00A263C8"/>
    <w:rsid w:val="00A2658D"/>
    <w:rsid w:val="00A267C2"/>
    <w:rsid w:val="00A26A26"/>
    <w:rsid w:val="00A2725E"/>
    <w:rsid w:val="00A272A4"/>
    <w:rsid w:val="00A2746C"/>
    <w:rsid w:val="00A274C6"/>
    <w:rsid w:val="00A27C01"/>
    <w:rsid w:val="00A27EAF"/>
    <w:rsid w:val="00A30679"/>
    <w:rsid w:val="00A30B27"/>
    <w:rsid w:val="00A30D6C"/>
    <w:rsid w:val="00A30EDC"/>
    <w:rsid w:val="00A317DB"/>
    <w:rsid w:val="00A31A1F"/>
    <w:rsid w:val="00A31F90"/>
    <w:rsid w:val="00A32068"/>
    <w:rsid w:val="00A32217"/>
    <w:rsid w:val="00A32610"/>
    <w:rsid w:val="00A3274E"/>
    <w:rsid w:val="00A32B20"/>
    <w:rsid w:val="00A33004"/>
    <w:rsid w:val="00A3309A"/>
    <w:rsid w:val="00A33969"/>
    <w:rsid w:val="00A33BAF"/>
    <w:rsid w:val="00A33DAF"/>
    <w:rsid w:val="00A340A0"/>
    <w:rsid w:val="00A34375"/>
    <w:rsid w:val="00A344BF"/>
    <w:rsid w:val="00A3496E"/>
    <w:rsid w:val="00A35286"/>
    <w:rsid w:val="00A35740"/>
    <w:rsid w:val="00A3581B"/>
    <w:rsid w:val="00A35C30"/>
    <w:rsid w:val="00A36274"/>
    <w:rsid w:val="00A3690C"/>
    <w:rsid w:val="00A3708B"/>
    <w:rsid w:val="00A377A2"/>
    <w:rsid w:val="00A37D08"/>
    <w:rsid w:val="00A37F7C"/>
    <w:rsid w:val="00A40708"/>
    <w:rsid w:val="00A40AFF"/>
    <w:rsid w:val="00A40BC3"/>
    <w:rsid w:val="00A41131"/>
    <w:rsid w:val="00A41621"/>
    <w:rsid w:val="00A419BF"/>
    <w:rsid w:val="00A41A2D"/>
    <w:rsid w:val="00A41A44"/>
    <w:rsid w:val="00A41AB4"/>
    <w:rsid w:val="00A41C76"/>
    <w:rsid w:val="00A41DDF"/>
    <w:rsid w:val="00A42330"/>
    <w:rsid w:val="00A42590"/>
    <w:rsid w:val="00A4292A"/>
    <w:rsid w:val="00A42954"/>
    <w:rsid w:val="00A42B5E"/>
    <w:rsid w:val="00A42CD6"/>
    <w:rsid w:val="00A42D8A"/>
    <w:rsid w:val="00A42F71"/>
    <w:rsid w:val="00A43254"/>
    <w:rsid w:val="00A43509"/>
    <w:rsid w:val="00A444A6"/>
    <w:rsid w:val="00A4471C"/>
    <w:rsid w:val="00A44806"/>
    <w:rsid w:val="00A449F1"/>
    <w:rsid w:val="00A44D18"/>
    <w:rsid w:val="00A44DC8"/>
    <w:rsid w:val="00A4527D"/>
    <w:rsid w:val="00A45317"/>
    <w:rsid w:val="00A45BD7"/>
    <w:rsid w:val="00A45C1C"/>
    <w:rsid w:val="00A4600C"/>
    <w:rsid w:val="00A46702"/>
    <w:rsid w:val="00A46817"/>
    <w:rsid w:val="00A46AD0"/>
    <w:rsid w:val="00A46ADD"/>
    <w:rsid w:val="00A46D13"/>
    <w:rsid w:val="00A472C9"/>
    <w:rsid w:val="00A503B0"/>
    <w:rsid w:val="00A503EB"/>
    <w:rsid w:val="00A50534"/>
    <w:rsid w:val="00A50A3E"/>
    <w:rsid w:val="00A50CA2"/>
    <w:rsid w:val="00A50F0A"/>
    <w:rsid w:val="00A51152"/>
    <w:rsid w:val="00A513F9"/>
    <w:rsid w:val="00A51476"/>
    <w:rsid w:val="00A5199F"/>
    <w:rsid w:val="00A51A2F"/>
    <w:rsid w:val="00A525A6"/>
    <w:rsid w:val="00A5266F"/>
    <w:rsid w:val="00A527DC"/>
    <w:rsid w:val="00A528A6"/>
    <w:rsid w:val="00A52E20"/>
    <w:rsid w:val="00A52FCB"/>
    <w:rsid w:val="00A5305D"/>
    <w:rsid w:val="00A53A91"/>
    <w:rsid w:val="00A53F09"/>
    <w:rsid w:val="00A54189"/>
    <w:rsid w:val="00A54798"/>
    <w:rsid w:val="00A54D5D"/>
    <w:rsid w:val="00A54DCE"/>
    <w:rsid w:val="00A5526B"/>
    <w:rsid w:val="00A5536B"/>
    <w:rsid w:val="00A5558B"/>
    <w:rsid w:val="00A556C2"/>
    <w:rsid w:val="00A5580E"/>
    <w:rsid w:val="00A55890"/>
    <w:rsid w:val="00A55996"/>
    <w:rsid w:val="00A56052"/>
    <w:rsid w:val="00A56124"/>
    <w:rsid w:val="00A56250"/>
    <w:rsid w:val="00A5654A"/>
    <w:rsid w:val="00A565E7"/>
    <w:rsid w:val="00A56937"/>
    <w:rsid w:val="00A56FA2"/>
    <w:rsid w:val="00A5739F"/>
    <w:rsid w:val="00A575E1"/>
    <w:rsid w:val="00A57893"/>
    <w:rsid w:val="00A60B0A"/>
    <w:rsid w:val="00A6149F"/>
    <w:rsid w:val="00A61B5E"/>
    <w:rsid w:val="00A62C17"/>
    <w:rsid w:val="00A63006"/>
    <w:rsid w:val="00A63177"/>
    <w:rsid w:val="00A632EB"/>
    <w:rsid w:val="00A637A2"/>
    <w:rsid w:val="00A639E8"/>
    <w:rsid w:val="00A639F0"/>
    <w:rsid w:val="00A641F2"/>
    <w:rsid w:val="00A64429"/>
    <w:rsid w:val="00A647AD"/>
    <w:rsid w:val="00A64D05"/>
    <w:rsid w:val="00A64D14"/>
    <w:rsid w:val="00A64F33"/>
    <w:rsid w:val="00A65186"/>
    <w:rsid w:val="00A655E1"/>
    <w:rsid w:val="00A656C7"/>
    <w:rsid w:val="00A656D1"/>
    <w:rsid w:val="00A6581D"/>
    <w:rsid w:val="00A65A36"/>
    <w:rsid w:val="00A65BC2"/>
    <w:rsid w:val="00A6600A"/>
    <w:rsid w:val="00A6608F"/>
    <w:rsid w:val="00A662AD"/>
    <w:rsid w:val="00A663C2"/>
    <w:rsid w:val="00A6641C"/>
    <w:rsid w:val="00A666B1"/>
    <w:rsid w:val="00A66926"/>
    <w:rsid w:val="00A66BA2"/>
    <w:rsid w:val="00A66DFC"/>
    <w:rsid w:val="00A67293"/>
    <w:rsid w:val="00A673AC"/>
    <w:rsid w:val="00A6761D"/>
    <w:rsid w:val="00A67B58"/>
    <w:rsid w:val="00A70F5C"/>
    <w:rsid w:val="00A71B31"/>
    <w:rsid w:val="00A71C23"/>
    <w:rsid w:val="00A727C8"/>
    <w:rsid w:val="00A7384D"/>
    <w:rsid w:val="00A73B17"/>
    <w:rsid w:val="00A73EDC"/>
    <w:rsid w:val="00A74227"/>
    <w:rsid w:val="00A747D5"/>
    <w:rsid w:val="00A74AE1"/>
    <w:rsid w:val="00A74CAA"/>
    <w:rsid w:val="00A752A7"/>
    <w:rsid w:val="00A75370"/>
    <w:rsid w:val="00A764E5"/>
    <w:rsid w:val="00A76A17"/>
    <w:rsid w:val="00A76D56"/>
    <w:rsid w:val="00A77529"/>
    <w:rsid w:val="00A81025"/>
    <w:rsid w:val="00A8149B"/>
    <w:rsid w:val="00A816D0"/>
    <w:rsid w:val="00A819EA"/>
    <w:rsid w:val="00A81C32"/>
    <w:rsid w:val="00A81D68"/>
    <w:rsid w:val="00A82659"/>
    <w:rsid w:val="00A826BC"/>
    <w:rsid w:val="00A82A6A"/>
    <w:rsid w:val="00A82AC5"/>
    <w:rsid w:val="00A82E09"/>
    <w:rsid w:val="00A82F7A"/>
    <w:rsid w:val="00A8339A"/>
    <w:rsid w:val="00A83410"/>
    <w:rsid w:val="00A836A5"/>
    <w:rsid w:val="00A836D7"/>
    <w:rsid w:val="00A83B03"/>
    <w:rsid w:val="00A83B3B"/>
    <w:rsid w:val="00A83C94"/>
    <w:rsid w:val="00A83E97"/>
    <w:rsid w:val="00A84186"/>
    <w:rsid w:val="00A84783"/>
    <w:rsid w:val="00A84A8B"/>
    <w:rsid w:val="00A852DA"/>
    <w:rsid w:val="00A856B5"/>
    <w:rsid w:val="00A857D3"/>
    <w:rsid w:val="00A85BA2"/>
    <w:rsid w:val="00A85D35"/>
    <w:rsid w:val="00A862E8"/>
    <w:rsid w:val="00A867B4"/>
    <w:rsid w:val="00A867D3"/>
    <w:rsid w:val="00A86A42"/>
    <w:rsid w:val="00A87076"/>
    <w:rsid w:val="00A87221"/>
    <w:rsid w:val="00A87251"/>
    <w:rsid w:val="00A87A8C"/>
    <w:rsid w:val="00A87AC0"/>
    <w:rsid w:val="00A87D76"/>
    <w:rsid w:val="00A87DEE"/>
    <w:rsid w:val="00A90732"/>
    <w:rsid w:val="00A90844"/>
    <w:rsid w:val="00A90884"/>
    <w:rsid w:val="00A908F8"/>
    <w:rsid w:val="00A908F9"/>
    <w:rsid w:val="00A9118C"/>
    <w:rsid w:val="00A913A2"/>
    <w:rsid w:val="00A913AB"/>
    <w:rsid w:val="00A9145D"/>
    <w:rsid w:val="00A914D2"/>
    <w:rsid w:val="00A9164D"/>
    <w:rsid w:val="00A91AAF"/>
    <w:rsid w:val="00A92244"/>
    <w:rsid w:val="00A922CA"/>
    <w:rsid w:val="00A922D3"/>
    <w:rsid w:val="00A92702"/>
    <w:rsid w:val="00A92DF0"/>
    <w:rsid w:val="00A93483"/>
    <w:rsid w:val="00A93735"/>
    <w:rsid w:val="00A93A45"/>
    <w:rsid w:val="00A93A6C"/>
    <w:rsid w:val="00A94018"/>
    <w:rsid w:val="00A94210"/>
    <w:rsid w:val="00A94AEF"/>
    <w:rsid w:val="00A94EB1"/>
    <w:rsid w:val="00A9535E"/>
    <w:rsid w:val="00A95C6F"/>
    <w:rsid w:val="00A95E22"/>
    <w:rsid w:val="00A963B7"/>
    <w:rsid w:val="00A963D3"/>
    <w:rsid w:val="00A966C0"/>
    <w:rsid w:val="00A96785"/>
    <w:rsid w:val="00A967A9"/>
    <w:rsid w:val="00A96A2C"/>
    <w:rsid w:val="00A976F3"/>
    <w:rsid w:val="00A97763"/>
    <w:rsid w:val="00A97E8D"/>
    <w:rsid w:val="00AA0599"/>
    <w:rsid w:val="00AA077D"/>
    <w:rsid w:val="00AA07E2"/>
    <w:rsid w:val="00AA090E"/>
    <w:rsid w:val="00AA0B44"/>
    <w:rsid w:val="00AA1061"/>
    <w:rsid w:val="00AA1753"/>
    <w:rsid w:val="00AA1993"/>
    <w:rsid w:val="00AA2052"/>
    <w:rsid w:val="00AA23AA"/>
    <w:rsid w:val="00AA2588"/>
    <w:rsid w:val="00AA26A7"/>
    <w:rsid w:val="00AA2ADD"/>
    <w:rsid w:val="00AA2B00"/>
    <w:rsid w:val="00AA2B34"/>
    <w:rsid w:val="00AA2BAF"/>
    <w:rsid w:val="00AA2E57"/>
    <w:rsid w:val="00AA356D"/>
    <w:rsid w:val="00AA38ED"/>
    <w:rsid w:val="00AA419A"/>
    <w:rsid w:val="00AA433A"/>
    <w:rsid w:val="00AA4507"/>
    <w:rsid w:val="00AA4872"/>
    <w:rsid w:val="00AA6019"/>
    <w:rsid w:val="00AA625A"/>
    <w:rsid w:val="00AA68C2"/>
    <w:rsid w:val="00AA6D4A"/>
    <w:rsid w:val="00AA6E3F"/>
    <w:rsid w:val="00AA77C8"/>
    <w:rsid w:val="00AA785B"/>
    <w:rsid w:val="00AA7BDA"/>
    <w:rsid w:val="00AA7CE6"/>
    <w:rsid w:val="00AB016D"/>
    <w:rsid w:val="00AB033E"/>
    <w:rsid w:val="00AB1172"/>
    <w:rsid w:val="00AB1891"/>
    <w:rsid w:val="00AB23B9"/>
    <w:rsid w:val="00AB2466"/>
    <w:rsid w:val="00AB2A1C"/>
    <w:rsid w:val="00AB3122"/>
    <w:rsid w:val="00AB361E"/>
    <w:rsid w:val="00AB372F"/>
    <w:rsid w:val="00AB3B01"/>
    <w:rsid w:val="00AB3EFB"/>
    <w:rsid w:val="00AB4436"/>
    <w:rsid w:val="00AB47BC"/>
    <w:rsid w:val="00AB4CC1"/>
    <w:rsid w:val="00AB56B7"/>
    <w:rsid w:val="00AB5979"/>
    <w:rsid w:val="00AB5A61"/>
    <w:rsid w:val="00AB5E25"/>
    <w:rsid w:val="00AB5FC2"/>
    <w:rsid w:val="00AB630D"/>
    <w:rsid w:val="00AB6C54"/>
    <w:rsid w:val="00AB6F54"/>
    <w:rsid w:val="00AB7355"/>
    <w:rsid w:val="00AB73B3"/>
    <w:rsid w:val="00AB745D"/>
    <w:rsid w:val="00AB7ADF"/>
    <w:rsid w:val="00AB7D47"/>
    <w:rsid w:val="00AB7F8E"/>
    <w:rsid w:val="00AC00E7"/>
    <w:rsid w:val="00AC03F8"/>
    <w:rsid w:val="00AC0979"/>
    <w:rsid w:val="00AC1088"/>
    <w:rsid w:val="00AC141F"/>
    <w:rsid w:val="00AC1662"/>
    <w:rsid w:val="00AC17A6"/>
    <w:rsid w:val="00AC1BE7"/>
    <w:rsid w:val="00AC1E1E"/>
    <w:rsid w:val="00AC27DD"/>
    <w:rsid w:val="00AC3502"/>
    <w:rsid w:val="00AC3643"/>
    <w:rsid w:val="00AC3945"/>
    <w:rsid w:val="00AC39ED"/>
    <w:rsid w:val="00AC3BAD"/>
    <w:rsid w:val="00AC3DC2"/>
    <w:rsid w:val="00AC3DD1"/>
    <w:rsid w:val="00AC43F6"/>
    <w:rsid w:val="00AC4592"/>
    <w:rsid w:val="00AC4C17"/>
    <w:rsid w:val="00AC52D5"/>
    <w:rsid w:val="00AC655E"/>
    <w:rsid w:val="00AC6B2F"/>
    <w:rsid w:val="00AC709D"/>
    <w:rsid w:val="00AC711F"/>
    <w:rsid w:val="00AC72B1"/>
    <w:rsid w:val="00AD03E5"/>
    <w:rsid w:val="00AD04FC"/>
    <w:rsid w:val="00AD062C"/>
    <w:rsid w:val="00AD08B5"/>
    <w:rsid w:val="00AD12D7"/>
    <w:rsid w:val="00AD172E"/>
    <w:rsid w:val="00AD174B"/>
    <w:rsid w:val="00AD1B1A"/>
    <w:rsid w:val="00AD1C99"/>
    <w:rsid w:val="00AD22F7"/>
    <w:rsid w:val="00AD2499"/>
    <w:rsid w:val="00AD262A"/>
    <w:rsid w:val="00AD27CB"/>
    <w:rsid w:val="00AD2E53"/>
    <w:rsid w:val="00AD3826"/>
    <w:rsid w:val="00AD3A99"/>
    <w:rsid w:val="00AD432B"/>
    <w:rsid w:val="00AD43EC"/>
    <w:rsid w:val="00AD4564"/>
    <w:rsid w:val="00AD50B5"/>
    <w:rsid w:val="00AD54BA"/>
    <w:rsid w:val="00AD5C12"/>
    <w:rsid w:val="00AD5F3C"/>
    <w:rsid w:val="00AD643E"/>
    <w:rsid w:val="00AD653F"/>
    <w:rsid w:val="00AD6AD0"/>
    <w:rsid w:val="00AD6B28"/>
    <w:rsid w:val="00AD6B82"/>
    <w:rsid w:val="00AD6B9C"/>
    <w:rsid w:val="00AD6C5F"/>
    <w:rsid w:val="00AD6F3E"/>
    <w:rsid w:val="00AD6FC8"/>
    <w:rsid w:val="00AD7078"/>
    <w:rsid w:val="00AD76C0"/>
    <w:rsid w:val="00AD7A03"/>
    <w:rsid w:val="00AE030E"/>
    <w:rsid w:val="00AE066D"/>
    <w:rsid w:val="00AE088E"/>
    <w:rsid w:val="00AE0E3F"/>
    <w:rsid w:val="00AE0E75"/>
    <w:rsid w:val="00AE0F80"/>
    <w:rsid w:val="00AE0F94"/>
    <w:rsid w:val="00AE1193"/>
    <w:rsid w:val="00AE1295"/>
    <w:rsid w:val="00AE17D5"/>
    <w:rsid w:val="00AE1F37"/>
    <w:rsid w:val="00AE2194"/>
    <w:rsid w:val="00AE2318"/>
    <w:rsid w:val="00AE232F"/>
    <w:rsid w:val="00AE267F"/>
    <w:rsid w:val="00AE2A75"/>
    <w:rsid w:val="00AE2CFA"/>
    <w:rsid w:val="00AE2F72"/>
    <w:rsid w:val="00AE328D"/>
    <w:rsid w:val="00AE32B2"/>
    <w:rsid w:val="00AE371A"/>
    <w:rsid w:val="00AE3DCB"/>
    <w:rsid w:val="00AE460D"/>
    <w:rsid w:val="00AE497C"/>
    <w:rsid w:val="00AE541A"/>
    <w:rsid w:val="00AE5CC7"/>
    <w:rsid w:val="00AE5E7A"/>
    <w:rsid w:val="00AE6718"/>
    <w:rsid w:val="00AE6930"/>
    <w:rsid w:val="00AE6A84"/>
    <w:rsid w:val="00AE6DE4"/>
    <w:rsid w:val="00AE7CFE"/>
    <w:rsid w:val="00AF0111"/>
    <w:rsid w:val="00AF017D"/>
    <w:rsid w:val="00AF03DF"/>
    <w:rsid w:val="00AF0AB5"/>
    <w:rsid w:val="00AF0CBF"/>
    <w:rsid w:val="00AF11C9"/>
    <w:rsid w:val="00AF1ACE"/>
    <w:rsid w:val="00AF1CC4"/>
    <w:rsid w:val="00AF1F75"/>
    <w:rsid w:val="00AF2421"/>
    <w:rsid w:val="00AF2436"/>
    <w:rsid w:val="00AF2446"/>
    <w:rsid w:val="00AF2807"/>
    <w:rsid w:val="00AF2A37"/>
    <w:rsid w:val="00AF2B7B"/>
    <w:rsid w:val="00AF2ED1"/>
    <w:rsid w:val="00AF3659"/>
    <w:rsid w:val="00AF3C6A"/>
    <w:rsid w:val="00AF3DE8"/>
    <w:rsid w:val="00AF3FC2"/>
    <w:rsid w:val="00AF457A"/>
    <w:rsid w:val="00AF4847"/>
    <w:rsid w:val="00AF53E8"/>
    <w:rsid w:val="00AF5431"/>
    <w:rsid w:val="00AF5815"/>
    <w:rsid w:val="00AF5BBA"/>
    <w:rsid w:val="00AF5C5A"/>
    <w:rsid w:val="00AF631D"/>
    <w:rsid w:val="00AF6538"/>
    <w:rsid w:val="00AF6C04"/>
    <w:rsid w:val="00AF6C8F"/>
    <w:rsid w:val="00AF6E26"/>
    <w:rsid w:val="00AF6FF3"/>
    <w:rsid w:val="00AF7161"/>
    <w:rsid w:val="00AF7413"/>
    <w:rsid w:val="00AF74D3"/>
    <w:rsid w:val="00AF778F"/>
    <w:rsid w:val="00AF7855"/>
    <w:rsid w:val="00AF7BBF"/>
    <w:rsid w:val="00AF7D1F"/>
    <w:rsid w:val="00B0034E"/>
    <w:rsid w:val="00B00731"/>
    <w:rsid w:val="00B00C58"/>
    <w:rsid w:val="00B00CFF"/>
    <w:rsid w:val="00B00D53"/>
    <w:rsid w:val="00B011F6"/>
    <w:rsid w:val="00B01999"/>
    <w:rsid w:val="00B01F87"/>
    <w:rsid w:val="00B027AF"/>
    <w:rsid w:val="00B02883"/>
    <w:rsid w:val="00B028FD"/>
    <w:rsid w:val="00B02F74"/>
    <w:rsid w:val="00B030DE"/>
    <w:rsid w:val="00B03380"/>
    <w:rsid w:val="00B03419"/>
    <w:rsid w:val="00B0356C"/>
    <w:rsid w:val="00B0373B"/>
    <w:rsid w:val="00B03A6A"/>
    <w:rsid w:val="00B04425"/>
    <w:rsid w:val="00B04A45"/>
    <w:rsid w:val="00B04CD3"/>
    <w:rsid w:val="00B05181"/>
    <w:rsid w:val="00B051FD"/>
    <w:rsid w:val="00B053CE"/>
    <w:rsid w:val="00B058EA"/>
    <w:rsid w:val="00B05BC3"/>
    <w:rsid w:val="00B0631A"/>
    <w:rsid w:val="00B06BF8"/>
    <w:rsid w:val="00B06CE7"/>
    <w:rsid w:val="00B06FAC"/>
    <w:rsid w:val="00B075C4"/>
    <w:rsid w:val="00B07A6F"/>
    <w:rsid w:val="00B1061A"/>
    <w:rsid w:val="00B10B41"/>
    <w:rsid w:val="00B10C7C"/>
    <w:rsid w:val="00B10FF6"/>
    <w:rsid w:val="00B1109A"/>
    <w:rsid w:val="00B111A8"/>
    <w:rsid w:val="00B114A1"/>
    <w:rsid w:val="00B11621"/>
    <w:rsid w:val="00B11A4F"/>
    <w:rsid w:val="00B12CF6"/>
    <w:rsid w:val="00B12D62"/>
    <w:rsid w:val="00B12D7D"/>
    <w:rsid w:val="00B134CD"/>
    <w:rsid w:val="00B138C5"/>
    <w:rsid w:val="00B138F8"/>
    <w:rsid w:val="00B13F83"/>
    <w:rsid w:val="00B13FAA"/>
    <w:rsid w:val="00B142F9"/>
    <w:rsid w:val="00B14935"/>
    <w:rsid w:val="00B14A67"/>
    <w:rsid w:val="00B14AA3"/>
    <w:rsid w:val="00B1531E"/>
    <w:rsid w:val="00B16699"/>
    <w:rsid w:val="00B166D8"/>
    <w:rsid w:val="00B169BA"/>
    <w:rsid w:val="00B16AD2"/>
    <w:rsid w:val="00B16CAB"/>
    <w:rsid w:val="00B16D6E"/>
    <w:rsid w:val="00B172BB"/>
    <w:rsid w:val="00B17571"/>
    <w:rsid w:val="00B175D8"/>
    <w:rsid w:val="00B177D1"/>
    <w:rsid w:val="00B17E7A"/>
    <w:rsid w:val="00B2026F"/>
    <w:rsid w:val="00B206AB"/>
    <w:rsid w:val="00B20840"/>
    <w:rsid w:val="00B215A4"/>
    <w:rsid w:val="00B219E5"/>
    <w:rsid w:val="00B21A6B"/>
    <w:rsid w:val="00B21D6A"/>
    <w:rsid w:val="00B22754"/>
    <w:rsid w:val="00B22816"/>
    <w:rsid w:val="00B229A6"/>
    <w:rsid w:val="00B22B64"/>
    <w:rsid w:val="00B22BAC"/>
    <w:rsid w:val="00B22BD3"/>
    <w:rsid w:val="00B22FB9"/>
    <w:rsid w:val="00B2368C"/>
    <w:rsid w:val="00B237AC"/>
    <w:rsid w:val="00B23DB6"/>
    <w:rsid w:val="00B240CB"/>
    <w:rsid w:val="00B244C2"/>
    <w:rsid w:val="00B246D1"/>
    <w:rsid w:val="00B24C6E"/>
    <w:rsid w:val="00B24C87"/>
    <w:rsid w:val="00B25205"/>
    <w:rsid w:val="00B25604"/>
    <w:rsid w:val="00B25652"/>
    <w:rsid w:val="00B26764"/>
    <w:rsid w:val="00B2694F"/>
    <w:rsid w:val="00B26CC4"/>
    <w:rsid w:val="00B27712"/>
    <w:rsid w:val="00B3034A"/>
    <w:rsid w:val="00B30580"/>
    <w:rsid w:val="00B30581"/>
    <w:rsid w:val="00B3076E"/>
    <w:rsid w:val="00B30C66"/>
    <w:rsid w:val="00B30FEB"/>
    <w:rsid w:val="00B31101"/>
    <w:rsid w:val="00B31142"/>
    <w:rsid w:val="00B322BD"/>
    <w:rsid w:val="00B3251E"/>
    <w:rsid w:val="00B32789"/>
    <w:rsid w:val="00B330BE"/>
    <w:rsid w:val="00B33238"/>
    <w:rsid w:val="00B33986"/>
    <w:rsid w:val="00B33C75"/>
    <w:rsid w:val="00B348F0"/>
    <w:rsid w:val="00B34DB1"/>
    <w:rsid w:val="00B35127"/>
    <w:rsid w:val="00B35E53"/>
    <w:rsid w:val="00B35E57"/>
    <w:rsid w:val="00B35F5D"/>
    <w:rsid w:val="00B35F62"/>
    <w:rsid w:val="00B368CE"/>
    <w:rsid w:val="00B36947"/>
    <w:rsid w:val="00B36A46"/>
    <w:rsid w:val="00B36DB0"/>
    <w:rsid w:val="00B3738B"/>
    <w:rsid w:val="00B375B8"/>
    <w:rsid w:val="00B37C20"/>
    <w:rsid w:val="00B37FA5"/>
    <w:rsid w:val="00B37FAD"/>
    <w:rsid w:val="00B40225"/>
    <w:rsid w:val="00B405D2"/>
    <w:rsid w:val="00B4067E"/>
    <w:rsid w:val="00B4141B"/>
    <w:rsid w:val="00B41BB3"/>
    <w:rsid w:val="00B41E45"/>
    <w:rsid w:val="00B41E67"/>
    <w:rsid w:val="00B42041"/>
    <w:rsid w:val="00B42DEE"/>
    <w:rsid w:val="00B43084"/>
    <w:rsid w:val="00B445BD"/>
    <w:rsid w:val="00B447CC"/>
    <w:rsid w:val="00B44ABE"/>
    <w:rsid w:val="00B44E16"/>
    <w:rsid w:val="00B44E2C"/>
    <w:rsid w:val="00B44F76"/>
    <w:rsid w:val="00B45765"/>
    <w:rsid w:val="00B457C9"/>
    <w:rsid w:val="00B45B70"/>
    <w:rsid w:val="00B45C05"/>
    <w:rsid w:val="00B45C5B"/>
    <w:rsid w:val="00B462C1"/>
    <w:rsid w:val="00B4692E"/>
    <w:rsid w:val="00B46AEC"/>
    <w:rsid w:val="00B46BF0"/>
    <w:rsid w:val="00B47495"/>
    <w:rsid w:val="00B479F3"/>
    <w:rsid w:val="00B501B6"/>
    <w:rsid w:val="00B50D92"/>
    <w:rsid w:val="00B50EC7"/>
    <w:rsid w:val="00B50F0D"/>
    <w:rsid w:val="00B50F50"/>
    <w:rsid w:val="00B51BBA"/>
    <w:rsid w:val="00B52188"/>
    <w:rsid w:val="00B5229C"/>
    <w:rsid w:val="00B52402"/>
    <w:rsid w:val="00B5255A"/>
    <w:rsid w:val="00B52802"/>
    <w:rsid w:val="00B52FFC"/>
    <w:rsid w:val="00B53048"/>
    <w:rsid w:val="00B534E5"/>
    <w:rsid w:val="00B5372F"/>
    <w:rsid w:val="00B53B08"/>
    <w:rsid w:val="00B53F63"/>
    <w:rsid w:val="00B53F71"/>
    <w:rsid w:val="00B541B4"/>
    <w:rsid w:val="00B54356"/>
    <w:rsid w:val="00B546A3"/>
    <w:rsid w:val="00B54E6D"/>
    <w:rsid w:val="00B54EE1"/>
    <w:rsid w:val="00B551F8"/>
    <w:rsid w:val="00B556EC"/>
    <w:rsid w:val="00B55E68"/>
    <w:rsid w:val="00B56284"/>
    <w:rsid w:val="00B56A7D"/>
    <w:rsid w:val="00B56BEC"/>
    <w:rsid w:val="00B56E55"/>
    <w:rsid w:val="00B57243"/>
    <w:rsid w:val="00B5736E"/>
    <w:rsid w:val="00B5740E"/>
    <w:rsid w:val="00B57889"/>
    <w:rsid w:val="00B57FF3"/>
    <w:rsid w:val="00B6007E"/>
    <w:rsid w:val="00B600A2"/>
    <w:rsid w:val="00B60358"/>
    <w:rsid w:val="00B6056F"/>
    <w:rsid w:val="00B60669"/>
    <w:rsid w:val="00B60BDB"/>
    <w:rsid w:val="00B60F35"/>
    <w:rsid w:val="00B61260"/>
    <w:rsid w:val="00B614CE"/>
    <w:rsid w:val="00B615C7"/>
    <w:rsid w:val="00B61A4D"/>
    <w:rsid w:val="00B61D7D"/>
    <w:rsid w:val="00B61F40"/>
    <w:rsid w:val="00B61F90"/>
    <w:rsid w:val="00B621DA"/>
    <w:rsid w:val="00B62797"/>
    <w:rsid w:val="00B62AB0"/>
    <w:rsid w:val="00B62E01"/>
    <w:rsid w:val="00B62E79"/>
    <w:rsid w:val="00B63629"/>
    <w:rsid w:val="00B63B9D"/>
    <w:rsid w:val="00B63F78"/>
    <w:rsid w:val="00B63FFD"/>
    <w:rsid w:val="00B6431A"/>
    <w:rsid w:val="00B64543"/>
    <w:rsid w:val="00B646D6"/>
    <w:rsid w:val="00B64746"/>
    <w:rsid w:val="00B648A5"/>
    <w:rsid w:val="00B648C2"/>
    <w:rsid w:val="00B64F55"/>
    <w:rsid w:val="00B6634F"/>
    <w:rsid w:val="00B66381"/>
    <w:rsid w:val="00B669C7"/>
    <w:rsid w:val="00B670E6"/>
    <w:rsid w:val="00B6734D"/>
    <w:rsid w:val="00B67569"/>
    <w:rsid w:val="00B70184"/>
    <w:rsid w:val="00B70211"/>
    <w:rsid w:val="00B70D89"/>
    <w:rsid w:val="00B718AF"/>
    <w:rsid w:val="00B71B91"/>
    <w:rsid w:val="00B71C6F"/>
    <w:rsid w:val="00B71EAD"/>
    <w:rsid w:val="00B7271E"/>
    <w:rsid w:val="00B72EC7"/>
    <w:rsid w:val="00B72F53"/>
    <w:rsid w:val="00B73769"/>
    <w:rsid w:val="00B742FF"/>
    <w:rsid w:val="00B7447E"/>
    <w:rsid w:val="00B74E8C"/>
    <w:rsid w:val="00B75018"/>
    <w:rsid w:val="00B751AC"/>
    <w:rsid w:val="00B7527A"/>
    <w:rsid w:val="00B752BE"/>
    <w:rsid w:val="00B7536A"/>
    <w:rsid w:val="00B7545E"/>
    <w:rsid w:val="00B75622"/>
    <w:rsid w:val="00B75A37"/>
    <w:rsid w:val="00B75DBA"/>
    <w:rsid w:val="00B7601B"/>
    <w:rsid w:val="00B7698A"/>
    <w:rsid w:val="00B76F30"/>
    <w:rsid w:val="00B7715F"/>
    <w:rsid w:val="00B771AD"/>
    <w:rsid w:val="00B77498"/>
    <w:rsid w:val="00B778E9"/>
    <w:rsid w:val="00B77E0B"/>
    <w:rsid w:val="00B77F2D"/>
    <w:rsid w:val="00B80152"/>
    <w:rsid w:val="00B801F2"/>
    <w:rsid w:val="00B8062C"/>
    <w:rsid w:val="00B814B9"/>
    <w:rsid w:val="00B81A6F"/>
    <w:rsid w:val="00B81AF6"/>
    <w:rsid w:val="00B81D11"/>
    <w:rsid w:val="00B81D44"/>
    <w:rsid w:val="00B81E6B"/>
    <w:rsid w:val="00B82023"/>
    <w:rsid w:val="00B82791"/>
    <w:rsid w:val="00B8279F"/>
    <w:rsid w:val="00B8295E"/>
    <w:rsid w:val="00B829DD"/>
    <w:rsid w:val="00B829EB"/>
    <w:rsid w:val="00B82B0C"/>
    <w:rsid w:val="00B82D71"/>
    <w:rsid w:val="00B82D7F"/>
    <w:rsid w:val="00B8385D"/>
    <w:rsid w:val="00B84182"/>
    <w:rsid w:val="00B842DB"/>
    <w:rsid w:val="00B84434"/>
    <w:rsid w:val="00B84A5C"/>
    <w:rsid w:val="00B84B4D"/>
    <w:rsid w:val="00B84BAA"/>
    <w:rsid w:val="00B84C50"/>
    <w:rsid w:val="00B85005"/>
    <w:rsid w:val="00B857F9"/>
    <w:rsid w:val="00B85980"/>
    <w:rsid w:val="00B85B7E"/>
    <w:rsid w:val="00B85CCC"/>
    <w:rsid w:val="00B85D6C"/>
    <w:rsid w:val="00B85E0F"/>
    <w:rsid w:val="00B85FE6"/>
    <w:rsid w:val="00B86237"/>
    <w:rsid w:val="00B86644"/>
    <w:rsid w:val="00B86962"/>
    <w:rsid w:val="00B86D4C"/>
    <w:rsid w:val="00B86D85"/>
    <w:rsid w:val="00B86DEA"/>
    <w:rsid w:val="00B86F49"/>
    <w:rsid w:val="00B87357"/>
    <w:rsid w:val="00B877F7"/>
    <w:rsid w:val="00B878CA"/>
    <w:rsid w:val="00B8792F"/>
    <w:rsid w:val="00B87C85"/>
    <w:rsid w:val="00B87D67"/>
    <w:rsid w:val="00B87E40"/>
    <w:rsid w:val="00B902B2"/>
    <w:rsid w:val="00B9113A"/>
    <w:rsid w:val="00B91157"/>
    <w:rsid w:val="00B91451"/>
    <w:rsid w:val="00B91846"/>
    <w:rsid w:val="00B92113"/>
    <w:rsid w:val="00B92394"/>
    <w:rsid w:val="00B929E8"/>
    <w:rsid w:val="00B92F8C"/>
    <w:rsid w:val="00B93384"/>
    <w:rsid w:val="00B936EF"/>
    <w:rsid w:val="00B93AC5"/>
    <w:rsid w:val="00B93B87"/>
    <w:rsid w:val="00B93BD3"/>
    <w:rsid w:val="00B93D88"/>
    <w:rsid w:val="00B93ECA"/>
    <w:rsid w:val="00B94180"/>
    <w:rsid w:val="00B94FC5"/>
    <w:rsid w:val="00B95116"/>
    <w:rsid w:val="00B9524B"/>
    <w:rsid w:val="00B95315"/>
    <w:rsid w:val="00B9545F"/>
    <w:rsid w:val="00B95926"/>
    <w:rsid w:val="00B95A4A"/>
    <w:rsid w:val="00B95B44"/>
    <w:rsid w:val="00B95EB3"/>
    <w:rsid w:val="00B961B2"/>
    <w:rsid w:val="00B96607"/>
    <w:rsid w:val="00B9661D"/>
    <w:rsid w:val="00B96733"/>
    <w:rsid w:val="00B96812"/>
    <w:rsid w:val="00B96D88"/>
    <w:rsid w:val="00B96E49"/>
    <w:rsid w:val="00B971C5"/>
    <w:rsid w:val="00B972DD"/>
    <w:rsid w:val="00B9798D"/>
    <w:rsid w:val="00B979C4"/>
    <w:rsid w:val="00B97A1F"/>
    <w:rsid w:val="00B97DE5"/>
    <w:rsid w:val="00BA061B"/>
    <w:rsid w:val="00BA09C3"/>
    <w:rsid w:val="00BA0D4D"/>
    <w:rsid w:val="00BA0EF3"/>
    <w:rsid w:val="00BA1041"/>
    <w:rsid w:val="00BA14F7"/>
    <w:rsid w:val="00BA1C21"/>
    <w:rsid w:val="00BA2072"/>
    <w:rsid w:val="00BA2127"/>
    <w:rsid w:val="00BA21E8"/>
    <w:rsid w:val="00BA2216"/>
    <w:rsid w:val="00BA25B9"/>
    <w:rsid w:val="00BA2B46"/>
    <w:rsid w:val="00BA2D53"/>
    <w:rsid w:val="00BA2E96"/>
    <w:rsid w:val="00BA3327"/>
    <w:rsid w:val="00BA3B05"/>
    <w:rsid w:val="00BA4C37"/>
    <w:rsid w:val="00BA4DD0"/>
    <w:rsid w:val="00BA5118"/>
    <w:rsid w:val="00BA572A"/>
    <w:rsid w:val="00BA5843"/>
    <w:rsid w:val="00BA5913"/>
    <w:rsid w:val="00BA5EC2"/>
    <w:rsid w:val="00BA62FE"/>
    <w:rsid w:val="00BA638A"/>
    <w:rsid w:val="00BA6B08"/>
    <w:rsid w:val="00BA6EF9"/>
    <w:rsid w:val="00BA70A3"/>
    <w:rsid w:val="00BA7CA8"/>
    <w:rsid w:val="00BB06C4"/>
    <w:rsid w:val="00BB0C02"/>
    <w:rsid w:val="00BB0C8F"/>
    <w:rsid w:val="00BB1200"/>
    <w:rsid w:val="00BB132E"/>
    <w:rsid w:val="00BB1F69"/>
    <w:rsid w:val="00BB24BE"/>
    <w:rsid w:val="00BB24FB"/>
    <w:rsid w:val="00BB2677"/>
    <w:rsid w:val="00BB2A55"/>
    <w:rsid w:val="00BB2D69"/>
    <w:rsid w:val="00BB3044"/>
    <w:rsid w:val="00BB3288"/>
    <w:rsid w:val="00BB3289"/>
    <w:rsid w:val="00BB3382"/>
    <w:rsid w:val="00BB3729"/>
    <w:rsid w:val="00BB3F01"/>
    <w:rsid w:val="00BB416E"/>
    <w:rsid w:val="00BB4651"/>
    <w:rsid w:val="00BB46B9"/>
    <w:rsid w:val="00BB489E"/>
    <w:rsid w:val="00BB5156"/>
    <w:rsid w:val="00BB551B"/>
    <w:rsid w:val="00BB575F"/>
    <w:rsid w:val="00BB57CD"/>
    <w:rsid w:val="00BB6118"/>
    <w:rsid w:val="00BB6667"/>
    <w:rsid w:val="00BB6A69"/>
    <w:rsid w:val="00BB6CFB"/>
    <w:rsid w:val="00BB7550"/>
    <w:rsid w:val="00BB766B"/>
    <w:rsid w:val="00BC00A5"/>
    <w:rsid w:val="00BC021E"/>
    <w:rsid w:val="00BC089B"/>
    <w:rsid w:val="00BC0A80"/>
    <w:rsid w:val="00BC1654"/>
    <w:rsid w:val="00BC167A"/>
    <w:rsid w:val="00BC1730"/>
    <w:rsid w:val="00BC1C38"/>
    <w:rsid w:val="00BC1D0C"/>
    <w:rsid w:val="00BC2447"/>
    <w:rsid w:val="00BC245A"/>
    <w:rsid w:val="00BC2EAF"/>
    <w:rsid w:val="00BC2EF8"/>
    <w:rsid w:val="00BC49C8"/>
    <w:rsid w:val="00BC4AA7"/>
    <w:rsid w:val="00BC5583"/>
    <w:rsid w:val="00BC55D6"/>
    <w:rsid w:val="00BC565E"/>
    <w:rsid w:val="00BC574F"/>
    <w:rsid w:val="00BC5928"/>
    <w:rsid w:val="00BC5F70"/>
    <w:rsid w:val="00BC5FA6"/>
    <w:rsid w:val="00BC6028"/>
    <w:rsid w:val="00BC6063"/>
    <w:rsid w:val="00BC61AF"/>
    <w:rsid w:val="00BC6297"/>
    <w:rsid w:val="00BC63C0"/>
    <w:rsid w:val="00BC6520"/>
    <w:rsid w:val="00BC722E"/>
    <w:rsid w:val="00BC72CB"/>
    <w:rsid w:val="00BC770C"/>
    <w:rsid w:val="00BC7F00"/>
    <w:rsid w:val="00BD00A9"/>
    <w:rsid w:val="00BD032A"/>
    <w:rsid w:val="00BD043A"/>
    <w:rsid w:val="00BD0AA6"/>
    <w:rsid w:val="00BD0C63"/>
    <w:rsid w:val="00BD11E2"/>
    <w:rsid w:val="00BD127E"/>
    <w:rsid w:val="00BD14F5"/>
    <w:rsid w:val="00BD1E44"/>
    <w:rsid w:val="00BD2453"/>
    <w:rsid w:val="00BD2822"/>
    <w:rsid w:val="00BD3813"/>
    <w:rsid w:val="00BD3874"/>
    <w:rsid w:val="00BD3D19"/>
    <w:rsid w:val="00BD3F6A"/>
    <w:rsid w:val="00BD41F9"/>
    <w:rsid w:val="00BD4619"/>
    <w:rsid w:val="00BD4698"/>
    <w:rsid w:val="00BD48A9"/>
    <w:rsid w:val="00BD4E26"/>
    <w:rsid w:val="00BD4F98"/>
    <w:rsid w:val="00BD535E"/>
    <w:rsid w:val="00BD54D1"/>
    <w:rsid w:val="00BD55F7"/>
    <w:rsid w:val="00BD68B1"/>
    <w:rsid w:val="00BD6999"/>
    <w:rsid w:val="00BD69B1"/>
    <w:rsid w:val="00BD6F7E"/>
    <w:rsid w:val="00BD781E"/>
    <w:rsid w:val="00BD7AA2"/>
    <w:rsid w:val="00BE0538"/>
    <w:rsid w:val="00BE0873"/>
    <w:rsid w:val="00BE0F97"/>
    <w:rsid w:val="00BE0FAD"/>
    <w:rsid w:val="00BE142B"/>
    <w:rsid w:val="00BE150C"/>
    <w:rsid w:val="00BE1516"/>
    <w:rsid w:val="00BE1786"/>
    <w:rsid w:val="00BE18E5"/>
    <w:rsid w:val="00BE1CF6"/>
    <w:rsid w:val="00BE2941"/>
    <w:rsid w:val="00BE297E"/>
    <w:rsid w:val="00BE2A84"/>
    <w:rsid w:val="00BE2EFC"/>
    <w:rsid w:val="00BE2F9F"/>
    <w:rsid w:val="00BE34C6"/>
    <w:rsid w:val="00BE35F8"/>
    <w:rsid w:val="00BE3819"/>
    <w:rsid w:val="00BE3AAF"/>
    <w:rsid w:val="00BE3F05"/>
    <w:rsid w:val="00BE4009"/>
    <w:rsid w:val="00BE41B4"/>
    <w:rsid w:val="00BE45D6"/>
    <w:rsid w:val="00BE54B7"/>
    <w:rsid w:val="00BE58AD"/>
    <w:rsid w:val="00BE5FF9"/>
    <w:rsid w:val="00BE619B"/>
    <w:rsid w:val="00BE6664"/>
    <w:rsid w:val="00BE6959"/>
    <w:rsid w:val="00BE6C44"/>
    <w:rsid w:val="00BE6CCB"/>
    <w:rsid w:val="00BE6EE2"/>
    <w:rsid w:val="00BE6FD0"/>
    <w:rsid w:val="00BE708B"/>
    <w:rsid w:val="00BE7F7D"/>
    <w:rsid w:val="00BF0380"/>
    <w:rsid w:val="00BF0429"/>
    <w:rsid w:val="00BF08B1"/>
    <w:rsid w:val="00BF1163"/>
    <w:rsid w:val="00BF139B"/>
    <w:rsid w:val="00BF18C1"/>
    <w:rsid w:val="00BF1E0A"/>
    <w:rsid w:val="00BF2292"/>
    <w:rsid w:val="00BF2605"/>
    <w:rsid w:val="00BF27E2"/>
    <w:rsid w:val="00BF27F7"/>
    <w:rsid w:val="00BF28A5"/>
    <w:rsid w:val="00BF28E1"/>
    <w:rsid w:val="00BF2934"/>
    <w:rsid w:val="00BF2D25"/>
    <w:rsid w:val="00BF2E2B"/>
    <w:rsid w:val="00BF3049"/>
    <w:rsid w:val="00BF3209"/>
    <w:rsid w:val="00BF36A2"/>
    <w:rsid w:val="00BF3AB7"/>
    <w:rsid w:val="00BF4115"/>
    <w:rsid w:val="00BF4744"/>
    <w:rsid w:val="00BF47A0"/>
    <w:rsid w:val="00BF4AC0"/>
    <w:rsid w:val="00BF4BA1"/>
    <w:rsid w:val="00BF4DB8"/>
    <w:rsid w:val="00BF59AC"/>
    <w:rsid w:val="00BF5AED"/>
    <w:rsid w:val="00BF5CE6"/>
    <w:rsid w:val="00BF5D96"/>
    <w:rsid w:val="00BF5F2D"/>
    <w:rsid w:val="00BF5F43"/>
    <w:rsid w:val="00BF65D2"/>
    <w:rsid w:val="00BF6715"/>
    <w:rsid w:val="00BF6802"/>
    <w:rsid w:val="00BF6994"/>
    <w:rsid w:val="00BF714C"/>
    <w:rsid w:val="00BF769B"/>
    <w:rsid w:val="00BF7827"/>
    <w:rsid w:val="00BF7ACD"/>
    <w:rsid w:val="00BF7BB5"/>
    <w:rsid w:val="00BF7C8D"/>
    <w:rsid w:val="00BF7CB6"/>
    <w:rsid w:val="00BF7D25"/>
    <w:rsid w:val="00C00653"/>
    <w:rsid w:val="00C00744"/>
    <w:rsid w:val="00C0094D"/>
    <w:rsid w:val="00C00953"/>
    <w:rsid w:val="00C00E3D"/>
    <w:rsid w:val="00C0116C"/>
    <w:rsid w:val="00C01447"/>
    <w:rsid w:val="00C014EA"/>
    <w:rsid w:val="00C0169F"/>
    <w:rsid w:val="00C0193D"/>
    <w:rsid w:val="00C01E75"/>
    <w:rsid w:val="00C023A8"/>
    <w:rsid w:val="00C02568"/>
    <w:rsid w:val="00C02919"/>
    <w:rsid w:val="00C02E28"/>
    <w:rsid w:val="00C02F60"/>
    <w:rsid w:val="00C0312F"/>
    <w:rsid w:val="00C03648"/>
    <w:rsid w:val="00C03734"/>
    <w:rsid w:val="00C04498"/>
    <w:rsid w:val="00C04607"/>
    <w:rsid w:val="00C04708"/>
    <w:rsid w:val="00C04F42"/>
    <w:rsid w:val="00C05226"/>
    <w:rsid w:val="00C05295"/>
    <w:rsid w:val="00C05929"/>
    <w:rsid w:val="00C0596F"/>
    <w:rsid w:val="00C05AF6"/>
    <w:rsid w:val="00C05C20"/>
    <w:rsid w:val="00C05F96"/>
    <w:rsid w:val="00C06A64"/>
    <w:rsid w:val="00C06FFE"/>
    <w:rsid w:val="00C071F6"/>
    <w:rsid w:val="00C079F2"/>
    <w:rsid w:val="00C07AEA"/>
    <w:rsid w:val="00C07F76"/>
    <w:rsid w:val="00C10199"/>
    <w:rsid w:val="00C10590"/>
    <w:rsid w:val="00C105C9"/>
    <w:rsid w:val="00C107FA"/>
    <w:rsid w:val="00C1090D"/>
    <w:rsid w:val="00C10939"/>
    <w:rsid w:val="00C10AA6"/>
    <w:rsid w:val="00C10AD3"/>
    <w:rsid w:val="00C10BC6"/>
    <w:rsid w:val="00C11061"/>
    <w:rsid w:val="00C112A0"/>
    <w:rsid w:val="00C11424"/>
    <w:rsid w:val="00C11790"/>
    <w:rsid w:val="00C11EC3"/>
    <w:rsid w:val="00C120C5"/>
    <w:rsid w:val="00C1223D"/>
    <w:rsid w:val="00C122D3"/>
    <w:rsid w:val="00C123AE"/>
    <w:rsid w:val="00C12ABF"/>
    <w:rsid w:val="00C12CB6"/>
    <w:rsid w:val="00C12D58"/>
    <w:rsid w:val="00C1304B"/>
    <w:rsid w:val="00C134D4"/>
    <w:rsid w:val="00C13762"/>
    <w:rsid w:val="00C1389D"/>
    <w:rsid w:val="00C138A8"/>
    <w:rsid w:val="00C13B9A"/>
    <w:rsid w:val="00C1408D"/>
    <w:rsid w:val="00C1414E"/>
    <w:rsid w:val="00C14985"/>
    <w:rsid w:val="00C14EAF"/>
    <w:rsid w:val="00C15221"/>
    <w:rsid w:val="00C1562E"/>
    <w:rsid w:val="00C157EE"/>
    <w:rsid w:val="00C15E32"/>
    <w:rsid w:val="00C15EA0"/>
    <w:rsid w:val="00C163DB"/>
    <w:rsid w:val="00C1673D"/>
    <w:rsid w:val="00C1684C"/>
    <w:rsid w:val="00C1686D"/>
    <w:rsid w:val="00C17325"/>
    <w:rsid w:val="00C1734D"/>
    <w:rsid w:val="00C175A0"/>
    <w:rsid w:val="00C175AD"/>
    <w:rsid w:val="00C17D83"/>
    <w:rsid w:val="00C2026B"/>
    <w:rsid w:val="00C205DB"/>
    <w:rsid w:val="00C20A3E"/>
    <w:rsid w:val="00C20D3F"/>
    <w:rsid w:val="00C20FA5"/>
    <w:rsid w:val="00C213D3"/>
    <w:rsid w:val="00C2158E"/>
    <w:rsid w:val="00C2182C"/>
    <w:rsid w:val="00C21EA5"/>
    <w:rsid w:val="00C21ECF"/>
    <w:rsid w:val="00C22455"/>
    <w:rsid w:val="00C224E6"/>
    <w:rsid w:val="00C2298D"/>
    <w:rsid w:val="00C22A7D"/>
    <w:rsid w:val="00C22F49"/>
    <w:rsid w:val="00C23030"/>
    <w:rsid w:val="00C232FB"/>
    <w:rsid w:val="00C23561"/>
    <w:rsid w:val="00C2378D"/>
    <w:rsid w:val="00C23A84"/>
    <w:rsid w:val="00C23B19"/>
    <w:rsid w:val="00C23CB4"/>
    <w:rsid w:val="00C23FF4"/>
    <w:rsid w:val="00C24549"/>
    <w:rsid w:val="00C24628"/>
    <w:rsid w:val="00C24ABE"/>
    <w:rsid w:val="00C24BA2"/>
    <w:rsid w:val="00C253FE"/>
    <w:rsid w:val="00C25448"/>
    <w:rsid w:val="00C25576"/>
    <w:rsid w:val="00C25807"/>
    <w:rsid w:val="00C25808"/>
    <w:rsid w:val="00C25C42"/>
    <w:rsid w:val="00C25FC9"/>
    <w:rsid w:val="00C2622D"/>
    <w:rsid w:val="00C264B6"/>
    <w:rsid w:val="00C26541"/>
    <w:rsid w:val="00C2670C"/>
    <w:rsid w:val="00C26C03"/>
    <w:rsid w:val="00C27105"/>
    <w:rsid w:val="00C2714B"/>
    <w:rsid w:val="00C27459"/>
    <w:rsid w:val="00C2752D"/>
    <w:rsid w:val="00C27FC1"/>
    <w:rsid w:val="00C300DF"/>
    <w:rsid w:val="00C301C8"/>
    <w:rsid w:val="00C30340"/>
    <w:rsid w:val="00C3042B"/>
    <w:rsid w:val="00C30671"/>
    <w:rsid w:val="00C30D1E"/>
    <w:rsid w:val="00C31461"/>
    <w:rsid w:val="00C31589"/>
    <w:rsid w:val="00C3178A"/>
    <w:rsid w:val="00C317A5"/>
    <w:rsid w:val="00C31BDB"/>
    <w:rsid w:val="00C31D3A"/>
    <w:rsid w:val="00C325CE"/>
    <w:rsid w:val="00C32759"/>
    <w:rsid w:val="00C328F0"/>
    <w:rsid w:val="00C32C28"/>
    <w:rsid w:val="00C32D2F"/>
    <w:rsid w:val="00C33313"/>
    <w:rsid w:val="00C333D1"/>
    <w:rsid w:val="00C3343D"/>
    <w:rsid w:val="00C3358E"/>
    <w:rsid w:val="00C3365C"/>
    <w:rsid w:val="00C33890"/>
    <w:rsid w:val="00C33D9E"/>
    <w:rsid w:val="00C34503"/>
    <w:rsid w:val="00C346AA"/>
    <w:rsid w:val="00C3480F"/>
    <w:rsid w:val="00C34895"/>
    <w:rsid w:val="00C34945"/>
    <w:rsid w:val="00C34A4E"/>
    <w:rsid w:val="00C34A99"/>
    <w:rsid w:val="00C34EE6"/>
    <w:rsid w:val="00C34FE1"/>
    <w:rsid w:val="00C356AF"/>
    <w:rsid w:val="00C36196"/>
    <w:rsid w:val="00C364F0"/>
    <w:rsid w:val="00C36B49"/>
    <w:rsid w:val="00C36F1B"/>
    <w:rsid w:val="00C3777C"/>
    <w:rsid w:val="00C377C1"/>
    <w:rsid w:val="00C40201"/>
    <w:rsid w:val="00C406F1"/>
    <w:rsid w:val="00C4096A"/>
    <w:rsid w:val="00C409D6"/>
    <w:rsid w:val="00C40BD1"/>
    <w:rsid w:val="00C40E0F"/>
    <w:rsid w:val="00C40E19"/>
    <w:rsid w:val="00C40F0D"/>
    <w:rsid w:val="00C4102F"/>
    <w:rsid w:val="00C4131D"/>
    <w:rsid w:val="00C41AA8"/>
    <w:rsid w:val="00C41D0C"/>
    <w:rsid w:val="00C41EFA"/>
    <w:rsid w:val="00C428BA"/>
    <w:rsid w:val="00C42D34"/>
    <w:rsid w:val="00C4330A"/>
    <w:rsid w:val="00C43537"/>
    <w:rsid w:val="00C436AB"/>
    <w:rsid w:val="00C43712"/>
    <w:rsid w:val="00C43BF7"/>
    <w:rsid w:val="00C4409E"/>
    <w:rsid w:val="00C4421C"/>
    <w:rsid w:val="00C445F9"/>
    <w:rsid w:val="00C4471B"/>
    <w:rsid w:val="00C44B16"/>
    <w:rsid w:val="00C4529E"/>
    <w:rsid w:val="00C4552E"/>
    <w:rsid w:val="00C45753"/>
    <w:rsid w:val="00C457B5"/>
    <w:rsid w:val="00C46141"/>
    <w:rsid w:val="00C461B6"/>
    <w:rsid w:val="00C4623A"/>
    <w:rsid w:val="00C4641F"/>
    <w:rsid w:val="00C46AFA"/>
    <w:rsid w:val="00C476FB"/>
    <w:rsid w:val="00C50305"/>
    <w:rsid w:val="00C503D3"/>
    <w:rsid w:val="00C5058D"/>
    <w:rsid w:val="00C50779"/>
    <w:rsid w:val="00C50DE0"/>
    <w:rsid w:val="00C51185"/>
    <w:rsid w:val="00C51D87"/>
    <w:rsid w:val="00C51F43"/>
    <w:rsid w:val="00C51FCC"/>
    <w:rsid w:val="00C52095"/>
    <w:rsid w:val="00C5237D"/>
    <w:rsid w:val="00C52445"/>
    <w:rsid w:val="00C5252C"/>
    <w:rsid w:val="00C526FE"/>
    <w:rsid w:val="00C52913"/>
    <w:rsid w:val="00C52B8D"/>
    <w:rsid w:val="00C52D6C"/>
    <w:rsid w:val="00C52E31"/>
    <w:rsid w:val="00C5345E"/>
    <w:rsid w:val="00C537C7"/>
    <w:rsid w:val="00C53A7A"/>
    <w:rsid w:val="00C53CB4"/>
    <w:rsid w:val="00C53E84"/>
    <w:rsid w:val="00C53FEE"/>
    <w:rsid w:val="00C54ADF"/>
    <w:rsid w:val="00C54EB2"/>
    <w:rsid w:val="00C54FDB"/>
    <w:rsid w:val="00C55640"/>
    <w:rsid w:val="00C55818"/>
    <w:rsid w:val="00C55EAC"/>
    <w:rsid w:val="00C56AE5"/>
    <w:rsid w:val="00C56BA5"/>
    <w:rsid w:val="00C56F47"/>
    <w:rsid w:val="00C57359"/>
    <w:rsid w:val="00C57C1C"/>
    <w:rsid w:val="00C57CAF"/>
    <w:rsid w:val="00C57CF9"/>
    <w:rsid w:val="00C57D7B"/>
    <w:rsid w:val="00C57EAE"/>
    <w:rsid w:val="00C6068A"/>
    <w:rsid w:val="00C60787"/>
    <w:rsid w:val="00C616B6"/>
    <w:rsid w:val="00C61CD8"/>
    <w:rsid w:val="00C624F9"/>
    <w:rsid w:val="00C625BA"/>
    <w:rsid w:val="00C62629"/>
    <w:rsid w:val="00C6275D"/>
    <w:rsid w:val="00C6276C"/>
    <w:rsid w:val="00C62EBB"/>
    <w:rsid w:val="00C63015"/>
    <w:rsid w:val="00C63155"/>
    <w:rsid w:val="00C63261"/>
    <w:rsid w:val="00C634ED"/>
    <w:rsid w:val="00C635B3"/>
    <w:rsid w:val="00C639DE"/>
    <w:rsid w:val="00C63A9B"/>
    <w:rsid w:val="00C63B4F"/>
    <w:rsid w:val="00C63DB1"/>
    <w:rsid w:val="00C64036"/>
    <w:rsid w:val="00C6417C"/>
    <w:rsid w:val="00C6431E"/>
    <w:rsid w:val="00C64493"/>
    <w:rsid w:val="00C64938"/>
    <w:rsid w:val="00C6546A"/>
    <w:rsid w:val="00C65563"/>
    <w:rsid w:val="00C65795"/>
    <w:rsid w:val="00C65A09"/>
    <w:rsid w:val="00C65DC2"/>
    <w:rsid w:val="00C661DB"/>
    <w:rsid w:val="00C662D0"/>
    <w:rsid w:val="00C66E80"/>
    <w:rsid w:val="00C670C6"/>
    <w:rsid w:val="00C67C18"/>
    <w:rsid w:val="00C67F1C"/>
    <w:rsid w:val="00C70C0F"/>
    <w:rsid w:val="00C70EE4"/>
    <w:rsid w:val="00C711DB"/>
    <w:rsid w:val="00C71352"/>
    <w:rsid w:val="00C714D4"/>
    <w:rsid w:val="00C71640"/>
    <w:rsid w:val="00C719CB"/>
    <w:rsid w:val="00C71AE2"/>
    <w:rsid w:val="00C71DB9"/>
    <w:rsid w:val="00C72188"/>
    <w:rsid w:val="00C7274D"/>
    <w:rsid w:val="00C72F2F"/>
    <w:rsid w:val="00C7312D"/>
    <w:rsid w:val="00C735CA"/>
    <w:rsid w:val="00C73E2F"/>
    <w:rsid w:val="00C74B45"/>
    <w:rsid w:val="00C74BDD"/>
    <w:rsid w:val="00C74D8B"/>
    <w:rsid w:val="00C74DE0"/>
    <w:rsid w:val="00C75108"/>
    <w:rsid w:val="00C7531B"/>
    <w:rsid w:val="00C75370"/>
    <w:rsid w:val="00C7540A"/>
    <w:rsid w:val="00C75BE3"/>
    <w:rsid w:val="00C76420"/>
    <w:rsid w:val="00C7671B"/>
    <w:rsid w:val="00C767CE"/>
    <w:rsid w:val="00C76814"/>
    <w:rsid w:val="00C769AF"/>
    <w:rsid w:val="00C76AEB"/>
    <w:rsid w:val="00C76B17"/>
    <w:rsid w:val="00C76BF0"/>
    <w:rsid w:val="00C76D91"/>
    <w:rsid w:val="00C7711A"/>
    <w:rsid w:val="00C77580"/>
    <w:rsid w:val="00C77D1B"/>
    <w:rsid w:val="00C80233"/>
    <w:rsid w:val="00C8038C"/>
    <w:rsid w:val="00C8088D"/>
    <w:rsid w:val="00C81089"/>
    <w:rsid w:val="00C812A3"/>
    <w:rsid w:val="00C816BA"/>
    <w:rsid w:val="00C81924"/>
    <w:rsid w:val="00C8217B"/>
    <w:rsid w:val="00C823FC"/>
    <w:rsid w:val="00C82E6E"/>
    <w:rsid w:val="00C8314D"/>
    <w:rsid w:val="00C831BC"/>
    <w:rsid w:val="00C833B8"/>
    <w:rsid w:val="00C83E44"/>
    <w:rsid w:val="00C83FAD"/>
    <w:rsid w:val="00C8407D"/>
    <w:rsid w:val="00C8488C"/>
    <w:rsid w:val="00C848A9"/>
    <w:rsid w:val="00C85125"/>
    <w:rsid w:val="00C85997"/>
    <w:rsid w:val="00C85B13"/>
    <w:rsid w:val="00C85B7F"/>
    <w:rsid w:val="00C85F10"/>
    <w:rsid w:val="00C86455"/>
    <w:rsid w:val="00C8647F"/>
    <w:rsid w:val="00C86AD7"/>
    <w:rsid w:val="00C87063"/>
    <w:rsid w:val="00C87101"/>
    <w:rsid w:val="00C871DD"/>
    <w:rsid w:val="00C8750E"/>
    <w:rsid w:val="00C87BE8"/>
    <w:rsid w:val="00C87CB2"/>
    <w:rsid w:val="00C87DB9"/>
    <w:rsid w:val="00C906F6"/>
    <w:rsid w:val="00C90A6E"/>
    <w:rsid w:val="00C90E2E"/>
    <w:rsid w:val="00C910F1"/>
    <w:rsid w:val="00C92220"/>
    <w:rsid w:val="00C92F7D"/>
    <w:rsid w:val="00C93040"/>
    <w:rsid w:val="00C932FB"/>
    <w:rsid w:val="00C93BE4"/>
    <w:rsid w:val="00C93E79"/>
    <w:rsid w:val="00C93FF2"/>
    <w:rsid w:val="00C9433A"/>
    <w:rsid w:val="00C9440D"/>
    <w:rsid w:val="00C947B2"/>
    <w:rsid w:val="00C94F03"/>
    <w:rsid w:val="00C95115"/>
    <w:rsid w:val="00C95245"/>
    <w:rsid w:val="00C954F8"/>
    <w:rsid w:val="00C95916"/>
    <w:rsid w:val="00C95A29"/>
    <w:rsid w:val="00C9600C"/>
    <w:rsid w:val="00C9604F"/>
    <w:rsid w:val="00C96057"/>
    <w:rsid w:val="00C9631A"/>
    <w:rsid w:val="00C96B9E"/>
    <w:rsid w:val="00C9743C"/>
    <w:rsid w:val="00C976DC"/>
    <w:rsid w:val="00C97DA9"/>
    <w:rsid w:val="00CA0781"/>
    <w:rsid w:val="00CA07B7"/>
    <w:rsid w:val="00CA0B43"/>
    <w:rsid w:val="00CA0C81"/>
    <w:rsid w:val="00CA0FE9"/>
    <w:rsid w:val="00CA1032"/>
    <w:rsid w:val="00CA1790"/>
    <w:rsid w:val="00CA1FB8"/>
    <w:rsid w:val="00CA207C"/>
    <w:rsid w:val="00CA2133"/>
    <w:rsid w:val="00CA215C"/>
    <w:rsid w:val="00CA21F0"/>
    <w:rsid w:val="00CA24DF"/>
    <w:rsid w:val="00CA2643"/>
    <w:rsid w:val="00CA2BE3"/>
    <w:rsid w:val="00CA368D"/>
    <w:rsid w:val="00CA36A2"/>
    <w:rsid w:val="00CA3B63"/>
    <w:rsid w:val="00CA3BB3"/>
    <w:rsid w:val="00CA3CD0"/>
    <w:rsid w:val="00CA4228"/>
    <w:rsid w:val="00CA42A2"/>
    <w:rsid w:val="00CA4424"/>
    <w:rsid w:val="00CA4646"/>
    <w:rsid w:val="00CA4697"/>
    <w:rsid w:val="00CA4BC1"/>
    <w:rsid w:val="00CA5ADB"/>
    <w:rsid w:val="00CA5CAB"/>
    <w:rsid w:val="00CA606A"/>
    <w:rsid w:val="00CA663D"/>
    <w:rsid w:val="00CA66A3"/>
    <w:rsid w:val="00CA6A4E"/>
    <w:rsid w:val="00CA7851"/>
    <w:rsid w:val="00CA7901"/>
    <w:rsid w:val="00CA7A6D"/>
    <w:rsid w:val="00CA7B0A"/>
    <w:rsid w:val="00CA7D73"/>
    <w:rsid w:val="00CB032B"/>
    <w:rsid w:val="00CB03E0"/>
    <w:rsid w:val="00CB0584"/>
    <w:rsid w:val="00CB05DA"/>
    <w:rsid w:val="00CB0797"/>
    <w:rsid w:val="00CB09BF"/>
    <w:rsid w:val="00CB0D6C"/>
    <w:rsid w:val="00CB1C52"/>
    <w:rsid w:val="00CB203F"/>
    <w:rsid w:val="00CB221C"/>
    <w:rsid w:val="00CB235A"/>
    <w:rsid w:val="00CB261E"/>
    <w:rsid w:val="00CB2A62"/>
    <w:rsid w:val="00CB3A6C"/>
    <w:rsid w:val="00CB3AD6"/>
    <w:rsid w:val="00CB3DB9"/>
    <w:rsid w:val="00CB3EAF"/>
    <w:rsid w:val="00CB4288"/>
    <w:rsid w:val="00CB42AE"/>
    <w:rsid w:val="00CB42C1"/>
    <w:rsid w:val="00CB432B"/>
    <w:rsid w:val="00CB47D8"/>
    <w:rsid w:val="00CB60CF"/>
    <w:rsid w:val="00CB6471"/>
    <w:rsid w:val="00CB64F0"/>
    <w:rsid w:val="00CB6784"/>
    <w:rsid w:val="00CB6CBD"/>
    <w:rsid w:val="00CB73F3"/>
    <w:rsid w:val="00CB7485"/>
    <w:rsid w:val="00CB76EC"/>
    <w:rsid w:val="00CB7EE3"/>
    <w:rsid w:val="00CB7F06"/>
    <w:rsid w:val="00CB7F37"/>
    <w:rsid w:val="00CC061F"/>
    <w:rsid w:val="00CC0825"/>
    <w:rsid w:val="00CC0E76"/>
    <w:rsid w:val="00CC12BE"/>
    <w:rsid w:val="00CC140D"/>
    <w:rsid w:val="00CC15D2"/>
    <w:rsid w:val="00CC1C8D"/>
    <w:rsid w:val="00CC1D7B"/>
    <w:rsid w:val="00CC1EF6"/>
    <w:rsid w:val="00CC2205"/>
    <w:rsid w:val="00CC22F7"/>
    <w:rsid w:val="00CC2C3D"/>
    <w:rsid w:val="00CC34DB"/>
    <w:rsid w:val="00CC3F0E"/>
    <w:rsid w:val="00CC3F93"/>
    <w:rsid w:val="00CC4567"/>
    <w:rsid w:val="00CC4B4F"/>
    <w:rsid w:val="00CC5045"/>
    <w:rsid w:val="00CC526B"/>
    <w:rsid w:val="00CC5373"/>
    <w:rsid w:val="00CC62EA"/>
    <w:rsid w:val="00CC67CE"/>
    <w:rsid w:val="00CC69DA"/>
    <w:rsid w:val="00CC6F9F"/>
    <w:rsid w:val="00CC7087"/>
    <w:rsid w:val="00CC749F"/>
    <w:rsid w:val="00CC7EDC"/>
    <w:rsid w:val="00CC7FEE"/>
    <w:rsid w:val="00CD01A2"/>
    <w:rsid w:val="00CD029E"/>
    <w:rsid w:val="00CD0624"/>
    <w:rsid w:val="00CD073B"/>
    <w:rsid w:val="00CD08C0"/>
    <w:rsid w:val="00CD098E"/>
    <w:rsid w:val="00CD0A92"/>
    <w:rsid w:val="00CD0E1B"/>
    <w:rsid w:val="00CD0F32"/>
    <w:rsid w:val="00CD10C2"/>
    <w:rsid w:val="00CD1403"/>
    <w:rsid w:val="00CD1469"/>
    <w:rsid w:val="00CD1847"/>
    <w:rsid w:val="00CD1BA0"/>
    <w:rsid w:val="00CD2425"/>
    <w:rsid w:val="00CD2463"/>
    <w:rsid w:val="00CD2C79"/>
    <w:rsid w:val="00CD39F1"/>
    <w:rsid w:val="00CD3E9D"/>
    <w:rsid w:val="00CD4256"/>
    <w:rsid w:val="00CD4A51"/>
    <w:rsid w:val="00CD4F7C"/>
    <w:rsid w:val="00CD51B8"/>
    <w:rsid w:val="00CD52D4"/>
    <w:rsid w:val="00CD567C"/>
    <w:rsid w:val="00CD5BFB"/>
    <w:rsid w:val="00CD66AC"/>
    <w:rsid w:val="00CD6921"/>
    <w:rsid w:val="00CD6C5F"/>
    <w:rsid w:val="00CD7119"/>
    <w:rsid w:val="00CD73A1"/>
    <w:rsid w:val="00CD7463"/>
    <w:rsid w:val="00CD76A7"/>
    <w:rsid w:val="00CD7817"/>
    <w:rsid w:val="00CD789D"/>
    <w:rsid w:val="00CD7D53"/>
    <w:rsid w:val="00CD7DE8"/>
    <w:rsid w:val="00CE07D2"/>
    <w:rsid w:val="00CE0B5D"/>
    <w:rsid w:val="00CE0B78"/>
    <w:rsid w:val="00CE0C54"/>
    <w:rsid w:val="00CE0E00"/>
    <w:rsid w:val="00CE1547"/>
    <w:rsid w:val="00CE1696"/>
    <w:rsid w:val="00CE1B59"/>
    <w:rsid w:val="00CE1BF0"/>
    <w:rsid w:val="00CE213C"/>
    <w:rsid w:val="00CE2344"/>
    <w:rsid w:val="00CE2897"/>
    <w:rsid w:val="00CE2A87"/>
    <w:rsid w:val="00CE2C5A"/>
    <w:rsid w:val="00CE2CAC"/>
    <w:rsid w:val="00CE30E9"/>
    <w:rsid w:val="00CE3275"/>
    <w:rsid w:val="00CE334B"/>
    <w:rsid w:val="00CE39AD"/>
    <w:rsid w:val="00CE3A84"/>
    <w:rsid w:val="00CE3CC7"/>
    <w:rsid w:val="00CE3D09"/>
    <w:rsid w:val="00CE400D"/>
    <w:rsid w:val="00CE4716"/>
    <w:rsid w:val="00CE471B"/>
    <w:rsid w:val="00CE47BF"/>
    <w:rsid w:val="00CE51FF"/>
    <w:rsid w:val="00CE6285"/>
    <w:rsid w:val="00CE662E"/>
    <w:rsid w:val="00CE6B66"/>
    <w:rsid w:val="00CE6CA9"/>
    <w:rsid w:val="00CE72A5"/>
    <w:rsid w:val="00CE73EB"/>
    <w:rsid w:val="00CE75C8"/>
    <w:rsid w:val="00CE7C12"/>
    <w:rsid w:val="00CF00A7"/>
    <w:rsid w:val="00CF00F7"/>
    <w:rsid w:val="00CF01F9"/>
    <w:rsid w:val="00CF027D"/>
    <w:rsid w:val="00CF03C3"/>
    <w:rsid w:val="00CF08F8"/>
    <w:rsid w:val="00CF0AE7"/>
    <w:rsid w:val="00CF0AE9"/>
    <w:rsid w:val="00CF0CF1"/>
    <w:rsid w:val="00CF0E00"/>
    <w:rsid w:val="00CF14E4"/>
    <w:rsid w:val="00CF16FA"/>
    <w:rsid w:val="00CF1934"/>
    <w:rsid w:val="00CF2524"/>
    <w:rsid w:val="00CF2B2C"/>
    <w:rsid w:val="00CF2E05"/>
    <w:rsid w:val="00CF2FF1"/>
    <w:rsid w:val="00CF33DE"/>
    <w:rsid w:val="00CF3B3B"/>
    <w:rsid w:val="00CF3C7B"/>
    <w:rsid w:val="00CF3C99"/>
    <w:rsid w:val="00CF428A"/>
    <w:rsid w:val="00CF4CD1"/>
    <w:rsid w:val="00CF4F6C"/>
    <w:rsid w:val="00CF53E6"/>
    <w:rsid w:val="00CF5C91"/>
    <w:rsid w:val="00CF5CF2"/>
    <w:rsid w:val="00CF61FB"/>
    <w:rsid w:val="00CF6299"/>
    <w:rsid w:val="00CF6746"/>
    <w:rsid w:val="00CF67B3"/>
    <w:rsid w:val="00CF6FF9"/>
    <w:rsid w:val="00CF70D8"/>
    <w:rsid w:val="00CF740B"/>
    <w:rsid w:val="00CF7470"/>
    <w:rsid w:val="00CF7820"/>
    <w:rsid w:val="00CF7915"/>
    <w:rsid w:val="00CF7AB4"/>
    <w:rsid w:val="00CF7FC4"/>
    <w:rsid w:val="00D0021B"/>
    <w:rsid w:val="00D004B1"/>
    <w:rsid w:val="00D008DD"/>
    <w:rsid w:val="00D011E8"/>
    <w:rsid w:val="00D01228"/>
    <w:rsid w:val="00D0142B"/>
    <w:rsid w:val="00D02335"/>
    <w:rsid w:val="00D0243C"/>
    <w:rsid w:val="00D02A2D"/>
    <w:rsid w:val="00D02C3E"/>
    <w:rsid w:val="00D02D71"/>
    <w:rsid w:val="00D032F5"/>
    <w:rsid w:val="00D038BD"/>
    <w:rsid w:val="00D03A63"/>
    <w:rsid w:val="00D03B29"/>
    <w:rsid w:val="00D03C63"/>
    <w:rsid w:val="00D041AA"/>
    <w:rsid w:val="00D04636"/>
    <w:rsid w:val="00D0485A"/>
    <w:rsid w:val="00D04A24"/>
    <w:rsid w:val="00D04AFF"/>
    <w:rsid w:val="00D04F3F"/>
    <w:rsid w:val="00D05162"/>
    <w:rsid w:val="00D0519F"/>
    <w:rsid w:val="00D05401"/>
    <w:rsid w:val="00D0543E"/>
    <w:rsid w:val="00D05D53"/>
    <w:rsid w:val="00D064C8"/>
    <w:rsid w:val="00D064E2"/>
    <w:rsid w:val="00D0654E"/>
    <w:rsid w:val="00D0681A"/>
    <w:rsid w:val="00D06AD5"/>
    <w:rsid w:val="00D07602"/>
    <w:rsid w:val="00D07E61"/>
    <w:rsid w:val="00D07F12"/>
    <w:rsid w:val="00D1025D"/>
    <w:rsid w:val="00D108E5"/>
    <w:rsid w:val="00D1132E"/>
    <w:rsid w:val="00D11608"/>
    <w:rsid w:val="00D119B9"/>
    <w:rsid w:val="00D11AF7"/>
    <w:rsid w:val="00D11CCF"/>
    <w:rsid w:val="00D11E79"/>
    <w:rsid w:val="00D1245D"/>
    <w:rsid w:val="00D1298F"/>
    <w:rsid w:val="00D12C39"/>
    <w:rsid w:val="00D130EA"/>
    <w:rsid w:val="00D132CA"/>
    <w:rsid w:val="00D13E53"/>
    <w:rsid w:val="00D13F38"/>
    <w:rsid w:val="00D140A4"/>
    <w:rsid w:val="00D14211"/>
    <w:rsid w:val="00D15094"/>
    <w:rsid w:val="00D154DF"/>
    <w:rsid w:val="00D15759"/>
    <w:rsid w:val="00D158C9"/>
    <w:rsid w:val="00D15930"/>
    <w:rsid w:val="00D15A25"/>
    <w:rsid w:val="00D15B16"/>
    <w:rsid w:val="00D15C27"/>
    <w:rsid w:val="00D15E0D"/>
    <w:rsid w:val="00D16050"/>
    <w:rsid w:val="00D1643E"/>
    <w:rsid w:val="00D16564"/>
    <w:rsid w:val="00D16945"/>
    <w:rsid w:val="00D16DC2"/>
    <w:rsid w:val="00D16EC7"/>
    <w:rsid w:val="00D172CB"/>
    <w:rsid w:val="00D1771B"/>
    <w:rsid w:val="00D178DD"/>
    <w:rsid w:val="00D17ACE"/>
    <w:rsid w:val="00D17B85"/>
    <w:rsid w:val="00D17CF5"/>
    <w:rsid w:val="00D2074D"/>
    <w:rsid w:val="00D20EF8"/>
    <w:rsid w:val="00D21346"/>
    <w:rsid w:val="00D21544"/>
    <w:rsid w:val="00D219C7"/>
    <w:rsid w:val="00D21BE3"/>
    <w:rsid w:val="00D21E7D"/>
    <w:rsid w:val="00D21FF1"/>
    <w:rsid w:val="00D2254F"/>
    <w:rsid w:val="00D2267B"/>
    <w:rsid w:val="00D226D1"/>
    <w:rsid w:val="00D22749"/>
    <w:rsid w:val="00D227C6"/>
    <w:rsid w:val="00D22F1F"/>
    <w:rsid w:val="00D23031"/>
    <w:rsid w:val="00D232DB"/>
    <w:rsid w:val="00D232DC"/>
    <w:rsid w:val="00D233C3"/>
    <w:rsid w:val="00D237C1"/>
    <w:rsid w:val="00D24128"/>
    <w:rsid w:val="00D2426A"/>
    <w:rsid w:val="00D250A6"/>
    <w:rsid w:val="00D2512D"/>
    <w:rsid w:val="00D25196"/>
    <w:rsid w:val="00D252CA"/>
    <w:rsid w:val="00D25594"/>
    <w:rsid w:val="00D258B3"/>
    <w:rsid w:val="00D25BFD"/>
    <w:rsid w:val="00D25E73"/>
    <w:rsid w:val="00D25FE8"/>
    <w:rsid w:val="00D269EA"/>
    <w:rsid w:val="00D26A9D"/>
    <w:rsid w:val="00D26B13"/>
    <w:rsid w:val="00D272B6"/>
    <w:rsid w:val="00D274C1"/>
    <w:rsid w:val="00D30B27"/>
    <w:rsid w:val="00D30B30"/>
    <w:rsid w:val="00D3136A"/>
    <w:rsid w:val="00D31C45"/>
    <w:rsid w:val="00D31ECB"/>
    <w:rsid w:val="00D3287D"/>
    <w:rsid w:val="00D32A03"/>
    <w:rsid w:val="00D337FF"/>
    <w:rsid w:val="00D3396E"/>
    <w:rsid w:val="00D33ACF"/>
    <w:rsid w:val="00D33B44"/>
    <w:rsid w:val="00D33BA6"/>
    <w:rsid w:val="00D33C70"/>
    <w:rsid w:val="00D33CD3"/>
    <w:rsid w:val="00D33F3B"/>
    <w:rsid w:val="00D34226"/>
    <w:rsid w:val="00D34892"/>
    <w:rsid w:val="00D34CA7"/>
    <w:rsid w:val="00D34CF7"/>
    <w:rsid w:val="00D34D87"/>
    <w:rsid w:val="00D356C9"/>
    <w:rsid w:val="00D35DB7"/>
    <w:rsid w:val="00D35F72"/>
    <w:rsid w:val="00D362DA"/>
    <w:rsid w:val="00D367E0"/>
    <w:rsid w:val="00D36C65"/>
    <w:rsid w:val="00D36F4D"/>
    <w:rsid w:val="00D3744B"/>
    <w:rsid w:val="00D37562"/>
    <w:rsid w:val="00D378F8"/>
    <w:rsid w:val="00D379EC"/>
    <w:rsid w:val="00D37B16"/>
    <w:rsid w:val="00D37BA0"/>
    <w:rsid w:val="00D4076C"/>
    <w:rsid w:val="00D4089E"/>
    <w:rsid w:val="00D40B93"/>
    <w:rsid w:val="00D40DB0"/>
    <w:rsid w:val="00D4109F"/>
    <w:rsid w:val="00D411D4"/>
    <w:rsid w:val="00D41C5E"/>
    <w:rsid w:val="00D42444"/>
    <w:rsid w:val="00D42515"/>
    <w:rsid w:val="00D426D3"/>
    <w:rsid w:val="00D428F7"/>
    <w:rsid w:val="00D42BD9"/>
    <w:rsid w:val="00D4327D"/>
    <w:rsid w:val="00D43459"/>
    <w:rsid w:val="00D43712"/>
    <w:rsid w:val="00D43892"/>
    <w:rsid w:val="00D43F6D"/>
    <w:rsid w:val="00D443BB"/>
    <w:rsid w:val="00D44D71"/>
    <w:rsid w:val="00D45DAB"/>
    <w:rsid w:val="00D45F3E"/>
    <w:rsid w:val="00D4645A"/>
    <w:rsid w:val="00D46462"/>
    <w:rsid w:val="00D467C9"/>
    <w:rsid w:val="00D46A87"/>
    <w:rsid w:val="00D46B1D"/>
    <w:rsid w:val="00D46ECE"/>
    <w:rsid w:val="00D471FC"/>
    <w:rsid w:val="00D47749"/>
    <w:rsid w:val="00D47B8E"/>
    <w:rsid w:val="00D47BDF"/>
    <w:rsid w:val="00D50C31"/>
    <w:rsid w:val="00D50DF4"/>
    <w:rsid w:val="00D51409"/>
    <w:rsid w:val="00D51898"/>
    <w:rsid w:val="00D51A8D"/>
    <w:rsid w:val="00D51B90"/>
    <w:rsid w:val="00D522D2"/>
    <w:rsid w:val="00D524A3"/>
    <w:rsid w:val="00D526E7"/>
    <w:rsid w:val="00D5321C"/>
    <w:rsid w:val="00D53723"/>
    <w:rsid w:val="00D5376C"/>
    <w:rsid w:val="00D5389B"/>
    <w:rsid w:val="00D53C4F"/>
    <w:rsid w:val="00D5487B"/>
    <w:rsid w:val="00D552B2"/>
    <w:rsid w:val="00D5531B"/>
    <w:rsid w:val="00D557F6"/>
    <w:rsid w:val="00D55B8F"/>
    <w:rsid w:val="00D55F0C"/>
    <w:rsid w:val="00D561CD"/>
    <w:rsid w:val="00D5663D"/>
    <w:rsid w:val="00D5708C"/>
    <w:rsid w:val="00D57592"/>
    <w:rsid w:val="00D57F7B"/>
    <w:rsid w:val="00D6013E"/>
    <w:rsid w:val="00D603EA"/>
    <w:rsid w:val="00D60418"/>
    <w:rsid w:val="00D60693"/>
    <w:rsid w:val="00D60A95"/>
    <w:rsid w:val="00D60FEB"/>
    <w:rsid w:val="00D61336"/>
    <w:rsid w:val="00D6236A"/>
    <w:rsid w:val="00D62473"/>
    <w:rsid w:val="00D62BBA"/>
    <w:rsid w:val="00D62E51"/>
    <w:rsid w:val="00D63202"/>
    <w:rsid w:val="00D6329B"/>
    <w:rsid w:val="00D637F3"/>
    <w:rsid w:val="00D6388A"/>
    <w:rsid w:val="00D63A2E"/>
    <w:rsid w:val="00D63FD7"/>
    <w:rsid w:val="00D647CE"/>
    <w:rsid w:val="00D649A0"/>
    <w:rsid w:val="00D64A06"/>
    <w:rsid w:val="00D64F14"/>
    <w:rsid w:val="00D65234"/>
    <w:rsid w:val="00D657F1"/>
    <w:rsid w:val="00D659E0"/>
    <w:rsid w:val="00D65A23"/>
    <w:rsid w:val="00D66158"/>
    <w:rsid w:val="00D661E6"/>
    <w:rsid w:val="00D664AB"/>
    <w:rsid w:val="00D666EA"/>
    <w:rsid w:val="00D66BFC"/>
    <w:rsid w:val="00D66F05"/>
    <w:rsid w:val="00D6722B"/>
    <w:rsid w:val="00D673B3"/>
    <w:rsid w:val="00D67E34"/>
    <w:rsid w:val="00D701CC"/>
    <w:rsid w:val="00D7022D"/>
    <w:rsid w:val="00D707EA"/>
    <w:rsid w:val="00D709DB"/>
    <w:rsid w:val="00D70B31"/>
    <w:rsid w:val="00D70D5B"/>
    <w:rsid w:val="00D70E46"/>
    <w:rsid w:val="00D71023"/>
    <w:rsid w:val="00D715EE"/>
    <w:rsid w:val="00D718B8"/>
    <w:rsid w:val="00D71D11"/>
    <w:rsid w:val="00D72022"/>
    <w:rsid w:val="00D7233A"/>
    <w:rsid w:val="00D72773"/>
    <w:rsid w:val="00D73ABB"/>
    <w:rsid w:val="00D73D18"/>
    <w:rsid w:val="00D73D77"/>
    <w:rsid w:val="00D73D7C"/>
    <w:rsid w:val="00D73DA9"/>
    <w:rsid w:val="00D73E43"/>
    <w:rsid w:val="00D73E68"/>
    <w:rsid w:val="00D73EDF"/>
    <w:rsid w:val="00D745F9"/>
    <w:rsid w:val="00D747F3"/>
    <w:rsid w:val="00D7483E"/>
    <w:rsid w:val="00D74DC6"/>
    <w:rsid w:val="00D7555D"/>
    <w:rsid w:val="00D7562B"/>
    <w:rsid w:val="00D75BB5"/>
    <w:rsid w:val="00D75E51"/>
    <w:rsid w:val="00D75F4D"/>
    <w:rsid w:val="00D760D7"/>
    <w:rsid w:val="00D761E5"/>
    <w:rsid w:val="00D7695B"/>
    <w:rsid w:val="00D76A63"/>
    <w:rsid w:val="00D76B30"/>
    <w:rsid w:val="00D76F61"/>
    <w:rsid w:val="00D771EC"/>
    <w:rsid w:val="00D772B6"/>
    <w:rsid w:val="00D7760C"/>
    <w:rsid w:val="00D77632"/>
    <w:rsid w:val="00D776CA"/>
    <w:rsid w:val="00D77BD1"/>
    <w:rsid w:val="00D77D12"/>
    <w:rsid w:val="00D80105"/>
    <w:rsid w:val="00D8071F"/>
    <w:rsid w:val="00D80E66"/>
    <w:rsid w:val="00D8100D"/>
    <w:rsid w:val="00D81589"/>
    <w:rsid w:val="00D815F5"/>
    <w:rsid w:val="00D8183F"/>
    <w:rsid w:val="00D81A4A"/>
    <w:rsid w:val="00D81DDF"/>
    <w:rsid w:val="00D826A4"/>
    <w:rsid w:val="00D827F0"/>
    <w:rsid w:val="00D828A9"/>
    <w:rsid w:val="00D82AD1"/>
    <w:rsid w:val="00D83215"/>
    <w:rsid w:val="00D83985"/>
    <w:rsid w:val="00D83CD7"/>
    <w:rsid w:val="00D84388"/>
    <w:rsid w:val="00D845CE"/>
    <w:rsid w:val="00D8461C"/>
    <w:rsid w:val="00D8483F"/>
    <w:rsid w:val="00D853D8"/>
    <w:rsid w:val="00D854D1"/>
    <w:rsid w:val="00D8565F"/>
    <w:rsid w:val="00D859F3"/>
    <w:rsid w:val="00D85B6F"/>
    <w:rsid w:val="00D85BAA"/>
    <w:rsid w:val="00D85CA2"/>
    <w:rsid w:val="00D85CB6"/>
    <w:rsid w:val="00D862D5"/>
    <w:rsid w:val="00D86383"/>
    <w:rsid w:val="00D8652A"/>
    <w:rsid w:val="00D86F66"/>
    <w:rsid w:val="00D8708A"/>
    <w:rsid w:val="00D871C5"/>
    <w:rsid w:val="00D8769F"/>
    <w:rsid w:val="00D87728"/>
    <w:rsid w:val="00D87DE9"/>
    <w:rsid w:val="00D90464"/>
    <w:rsid w:val="00D907FB"/>
    <w:rsid w:val="00D90B11"/>
    <w:rsid w:val="00D90BFF"/>
    <w:rsid w:val="00D90C9B"/>
    <w:rsid w:val="00D90CCA"/>
    <w:rsid w:val="00D90F1B"/>
    <w:rsid w:val="00D9163C"/>
    <w:rsid w:val="00D91C62"/>
    <w:rsid w:val="00D92956"/>
    <w:rsid w:val="00D92F49"/>
    <w:rsid w:val="00D92F88"/>
    <w:rsid w:val="00D93381"/>
    <w:rsid w:val="00D93400"/>
    <w:rsid w:val="00D9362E"/>
    <w:rsid w:val="00D93B54"/>
    <w:rsid w:val="00D9412B"/>
    <w:rsid w:val="00D94602"/>
    <w:rsid w:val="00D9486A"/>
    <w:rsid w:val="00D949CF"/>
    <w:rsid w:val="00D94C1E"/>
    <w:rsid w:val="00D94D7A"/>
    <w:rsid w:val="00D95356"/>
    <w:rsid w:val="00D95366"/>
    <w:rsid w:val="00D95587"/>
    <w:rsid w:val="00D956B2"/>
    <w:rsid w:val="00D956DA"/>
    <w:rsid w:val="00D957A0"/>
    <w:rsid w:val="00D95806"/>
    <w:rsid w:val="00D95950"/>
    <w:rsid w:val="00D968B4"/>
    <w:rsid w:val="00D96CBB"/>
    <w:rsid w:val="00D96E41"/>
    <w:rsid w:val="00D97435"/>
    <w:rsid w:val="00D9795A"/>
    <w:rsid w:val="00D97ADC"/>
    <w:rsid w:val="00DA0335"/>
    <w:rsid w:val="00DA0A65"/>
    <w:rsid w:val="00DA1B75"/>
    <w:rsid w:val="00DA1BC6"/>
    <w:rsid w:val="00DA24C6"/>
    <w:rsid w:val="00DA250D"/>
    <w:rsid w:val="00DA253F"/>
    <w:rsid w:val="00DA2AA1"/>
    <w:rsid w:val="00DA32AE"/>
    <w:rsid w:val="00DA34B4"/>
    <w:rsid w:val="00DA3913"/>
    <w:rsid w:val="00DA39DA"/>
    <w:rsid w:val="00DA3EA0"/>
    <w:rsid w:val="00DA52A4"/>
    <w:rsid w:val="00DA52F2"/>
    <w:rsid w:val="00DA54A9"/>
    <w:rsid w:val="00DA587A"/>
    <w:rsid w:val="00DA58DE"/>
    <w:rsid w:val="00DA5AFF"/>
    <w:rsid w:val="00DA5DA5"/>
    <w:rsid w:val="00DA68D5"/>
    <w:rsid w:val="00DA6EA2"/>
    <w:rsid w:val="00DA6F74"/>
    <w:rsid w:val="00DA6FAF"/>
    <w:rsid w:val="00DA70E5"/>
    <w:rsid w:val="00DA7209"/>
    <w:rsid w:val="00DA73BA"/>
    <w:rsid w:val="00DA73ED"/>
    <w:rsid w:val="00DA7525"/>
    <w:rsid w:val="00DA7C3D"/>
    <w:rsid w:val="00DB0DC0"/>
    <w:rsid w:val="00DB0E6A"/>
    <w:rsid w:val="00DB0E70"/>
    <w:rsid w:val="00DB0F78"/>
    <w:rsid w:val="00DB1083"/>
    <w:rsid w:val="00DB1411"/>
    <w:rsid w:val="00DB14F1"/>
    <w:rsid w:val="00DB179A"/>
    <w:rsid w:val="00DB1BD4"/>
    <w:rsid w:val="00DB1D9B"/>
    <w:rsid w:val="00DB1FB2"/>
    <w:rsid w:val="00DB22CD"/>
    <w:rsid w:val="00DB27B0"/>
    <w:rsid w:val="00DB2904"/>
    <w:rsid w:val="00DB2D33"/>
    <w:rsid w:val="00DB2DB3"/>
    <w:rsid w:val="00DB2F94"/>
    <w:rsid w:val="00DB301C"/>
    <w:rsid w:val="00DB34BD"/>
    <w:rsid w:val="00DB47C8"/>
    <w:rsid w:val="00DB483F"/>
    <w:rsid w:val="00DB49F1"/>
    <w:rsid w:val="00DB4AEC"/>
    <w:rsid w:val="00DB4E68"/>
    <w:rsid w:val="00DB4EA0"/>
    <w:rsid w:val="00DB53F0"/>
    <w:rsid w:val="00DB5886"/>
    <w:rsid w:val="00DB5B38"/>
    <w:rsid w:val="00DB5CDE"/>
    <w:rsid w:val="00DB606B"/>
    <w:rsid w:val="00DB618F"/>
    <w:rsid w:val="00DB6662"/>
    <w:rsid w:val="00DB6921"/>
    <w:rsid w:val="00DB69EB"/>
    <w:rsid w:val="00DB6A4E"/>
    <w:rsid w:val="00DB6BBD"/>
    <w:rsid w:val="00DB7001"/>
    <w:rsid w:val="00DB7543"/>
    <w:rsid w:val="00DB7621"/>
    <w:rsid w:val="00DB78B1"/>
    <w:rsid w:val="00DB7ADF"/>
    <w:rsid w:val="00DB7C3D"/>
    <w:rsid w:val="00DC05AA"/>
    <w:rsid w:val="00DC062F"/>
    <w:rsid w:val="00DC0F55"/>
    <w:rsid w:val="00DC100D"/>
    <w:rsid w:val="00DC150F"/>
    <w:rsid w:val="00DC159C"/>
    <w:rsid w:val="00DC15AC"/>
    <w:rsid w:val="00DC16E1"/>
    <w:rsid w:val="00DC2137"/>
    <w:rsid w:val="00DC2823"/>
    <w:rsid w:val="00DC2A8C"/>
    <w:rsid w:val="00DC2BE5"/>
    <w:rsid w:val="00DC2ED9"/>
    <w:rsid w:val="00DC2F62"/>
    <w:rsid w:val="00DC30C1"/>
    <w:rsid w:val="00DC312E"/>
    <w:rsid w:val="00DC3450"/>
    <w:rsid w:val="00DC3494"/>
    <w:rsid w:val="00DC3508"/>
    <w:rsid w:val="00DC35CC"/>
    <w:rsid w:val="00DC39DE"/>
    <w:rsid w:val="00DC3B87"/>
    <w:rsid w:val="00DC3F44"/>
    <w:rsid w:val="00DC48E3"/>
    <w:rsid w:val="00DC5579"/>
    <w:rsid w:val="00DC55B6"/>
    <w:rsid w:val="00DC5ADD"/>
    <w:rsid w:val="00DC5C4D"/>
    <w:rsid w:val="00DC6C4E"/>
    <w:rsid w:val="00DC7365"/>
    <w:rsid w:val="00DC772C"/>
    <w:rsid w:val="00DC7B2B"/>
    <w:rsid w:val="00DC7EED"/>
    <w:rsid w:val="00DD009A"/>
    <w:rsid w:val="00DD019C"/>
    <w:rsid w:val="00DD0A10"/>
    <w:rsid w:val="00DD0A60"/>
    <w:rsid w:val="00DD14EE"/>
    <w:rsid w:val="00DD17FC"/>
    <w:rsid w:val="00DD1989"/>
    <w:rsid w:val="00DD19E6"/>
    <w:rsid w:val="00DD1B33"/>
    <w:rsid w:val="00DD256E"/>
    <w:rsid w:val="00DD2648"/>
    <w:rsid w:val="00DD2C81"/>
    <w:rsid w:val="00DD3367"/>
    <w:rsid w:val="00DD33AF"/>
    <w:rsid w:val="00DD33B1"/>
    <w:rsid w:val="00DD3732"/>
    <w:rsid w:val="00DD3B4A"/>
    <w:rsid w:val="00DD421A"/>
    <w:rsid w:val="00DD427F"/>
    <w:rsid w:val="00DD43BD"/>
    <w:rsid w:val="00DD49E2"/>
    <w:rsid w:val="00DD49EF"/>
    <w:rsid w:val="00DD4A52"/>
    <w:rsid w:val="00DD4D30"/>
    <w:rsid w:val="00DD50C9"/>
    <w:rsid w:val="00DD51A8"/>
    <w:rsid w:val="00DD5781"/>
    <w:rsid w:val="00DD58A0"/>
    <w:rsid w:val="00DD5CB1"/>
    <w:rsid w:val="00DD5FDB"/>
    <w:rsid w:val="00DD60A4"/>
    <w:rsid w:val="00DD63F2"/>
    <w:rsid w:val="00DD64A9"/>
    <w:rsid w:val="00DD6D02"/>
    <w:rsid w:val="00DD6D76"/>
    <w:rsid w:val="00DD7298"/>
    <w:rsid w:val="00DD7761"/>
    <w:rsid w:val="00DD780F"/>
    <w:rsid w:val="00DD7A0F"/>
    <w:rsid w:val="00DD7F34"/>
    <w:rsid w:val="00DE0457"/>
    <w:rsid w:val="00DE0633"/>
    <w:rsid w:val="00DE0A91"/>
    <w:rsid w:val="00DE0B5F"/>
    <w:rsid w:val="00DE0C5A"/>
    <w:rsid w:val="00DE0D20"/>
    <w:rsid w:val="00DE116E"/>
    <w:rsid w:val="00DE1536"/>
    <w:rsid w:val="00DE1703"/>
    <w:rsid w:val="00DE1BBC"/>
    <w:rsid w:val="00DE1C3C"/>
    <w:rsid w:val="00DE1D01"/>
    <w:rsid w:val="00DE1D37"/>
    <w:rsid w:val="00DE2344"/>
    <w:rsid w:val="00DE2392"/>
    <w:rsid w:val="00DE23F3"/>
    <w:rsid w:val="00DE2933"/>
    <w:rsid w:val="00DE2A11"/>
    <w:rsid w:val="00DE2EB8"/>
    <w:rsid w:val="00DE2FEC"/>
    <w:rsid w:val="00DE36EF"/>
    <w:rsid w:val="00DE3730"/>
    <w:rsid w:val="00DE3A5E"/>
    <w:rsid w:val="00DE3D1B"/>
    <w:rsid w:val="00DE3EF8"/>
    <w:rsid w:val="00DE4218"/>
    <w:rsid w:val="00DE4347"/>
    <w:rsid w:val="00DE44FB"/>
    <w:rsid w:val="00DE4521"/>
    <w:rsid w:val="00DE47A7"/>
    <w:rsid w:val="00DE47EC"/>
    <w:rsid w:val="00DE4889"/>
    <w:rsid w:val="00DE50C8"/>
    <w:rsid w:val="00DE50DB"/>
    <w:rsid w:val="00DE5B9D"/>
    <w:rsid w:val="00DE5E4B"/>
    <w:rsid w:val="00DE5FA5"/>
    <w:rsid w:val="00DE6B15"/>
    <w:rsid w:val="00DE6C7D"/>
    <w:rsid w:val="00DE6F86"/>
    <w:rsid w:val="00DE76B2"/>
    <w:rsid w:val="00DE76C3"/>
    <w:rsid w:val="00DE79E8"/>
    <w:rsid w:val="00DE7B73"/>
    <w:rsid w:val="00DF032F"/>
    <w:rsid w:val="00DF08A3"/>
    <w:rsid w:val="00DF0A41"/>
    <w:rsid w:val="00DF106F"/>
    <w:rsid w:val="00DF109A"/>
    <w:rsid w:val="00DF2873"/>
    <w:rsid w:val="00DF2B94"/>
    <w:rsid w:val="00DF2C64"/>
    <w:rsid w:val="00DF3013"/>
    <w:rsid w:val="00DF3125"/>
    <w:rsid w:val="00DF3391"/>
    <w:rsid w:val="00DF3529"/>
    <w:rsid w:val="00DF3AE1"/>
    <w:rsid w:val="00DF3D3C"/>
    <w:rsid w:val="00DF4230"/>
    <w:rsid w:val="00DF450B"/>
    <w:rsid w:val="00DF4B3C"/>
    <w:rsid w:val="00DF4F1B"/>
    <w:rsid w:val="00DF5BE8"/>
    <w:rsid w:val="00DF5EBF"/>
    <w:rsid w:val="00DF6138"/>
    <w:rsid w:val="00DF6238"/>
    <w:rsid w:val="00DF631B"/>
    <w:rsid w:val="00DF63B4"/>
    <w:rsid w:val="00DF65A8"/>
    <w:rsid w:val="00DF66F7"/>
    <w:rsid w:val="00DF6BD9"/>
    <w:rsid w:val="00DF6C0C"/>
    <w:rsid w:val="00DF7348"/>
    <w:rsid w:val="00DF769F"/>
    <w:rsid w:val="00DF774F"/>
    <w:rsid w:val="00DF7A3A"/>
    <w:rsid w:val="00DF7EE9"/>
    <w:rsid w:val="00E000EC"/>
    <w:rsid w:val="00E0072F"/>
    <w:rsid w:val="00E00C35"/>
    <w:rsid w:val="00E00E21"/>
    <w:rsid w:val="00E01097"/>
    <w:rsid w:val="00E011D0"/>
    <w:rsid w:val="00E01353"/>
    <w:rsid w:val="00E01C6E"/>
    <w:rsid w:val="00E01E87"/>
    <w:rsid w:val="00E01F99"/>
    <w:rsid w:val="00E02121"/>
    <w:rsid w:val="00E0291A"/>
    <w:rsid w:val="00E02B52"/>
    <w:rsid w:val="00E02CC2"/>
    <w:rsid w:val="00E03A4F"/>
    <w:rsid w:val="00E03D12"/>
    <w:rsid w:val="00E03DDF"/>
    <w:rsid w:val="00E03E22"/>
    <w:rsid w:val="00E042BA"/>
    <w:rsid w:val="00E04BF8"/>
    <w:rsid w:val="00E0510E"/>
    <w:rsid w:val="00E05D47"/>
    <w:rsid w:val="00E05DD8"/>
    <w:rsid w:val="00E061C6"/>
    <w:rsid w:val="00E06AA5"/>
    <w:rsid w:val="00E06AB2"/>
    <w:rsid w:val="00E06DF8"/>
    <w:rsid w:val="00E06FF8"/>
    <w:rsid w:val="00E07312"/>
    <w:rsid w:val="00E075D1"/>
    <w:rsid w:val="00E104E9"/>
    <w:rsid w:val="00E1079A"/>
    <w:rsid w:val="00E10ADC"/>
    <w:rsid w:val="00E10C87"/>
    <w:rsid w:val="00E10E25"/>
    <w:rsid w:val="00E10F5E"/>
    <w:rsid w:val="00E1124E"/>
    <w:rsid w:val="00E11584"/>
    <w:rsid w:val="00E11B4F"/>
    <w:rsid w:val="00E11B86"/>
    <w:rsid w:val="00E120DE"/>
    <w:rsid w:val="00E13682"/>
    <w:rsid w:val="00E1418D"/>
    <w:rsid w:val="00E14614"/>
    <w:rsid w:val="00E14C87"/>
    <w:rsid w:val="00E14D70"/>
    <w:rsid w:val="00E14DDE"/>
    <w:rsid w:val="00E14FEC"/>
    <w:rsid w:val="00E15797"/>
    <w:rsid w:val="00E160D6"/>
    <w:rsid w:val="00E16807"/>
    <w:rsid w:val="00E16A4E"/>
    <w:rsid w:val="00E16B7A"/>
    <w:rsid w:val="00E2034D"/>
    <w:rsid w:val="00E206A5"/>
    <w:rsid w:val="00E2071A"/>
    <w:rsid w:val="00E20F5B"/>
    <w:rsid w:val="00E2113A"/>
    <w:rsid w:val="00E21340"/>
    <w:rsid w:val="00E21371"/>
    <w:rsid w:val="00E2180C"/>
    <w:rsid w:val="00E2325A"/>
    <w:rsid w:val="00E235F7"/>
    <w:rsid w:val="00E238AD"/>
    <w:rsid w:val="00E23C79"/>
    <w:rsid w:val="00E240C2"/>
    <w:rsid w:val="00E245E1"/>
    <w:rsid w:val="00E25101"/>
    <w:rsid w:val="00E253F6"/>
    <w:rsid w:val="00E25402"/>
    <w:rsid w:val="00E254BF"/>
    <w:rsid w:val="00E25591"/>
    <w:rsid w:val="00E25F6E"/>
    <w:rsid w:val="00E25F94"/>
    <w:rsid w:val="00E26A49"/>
    <w:rsid w:val="00E26C4F"/>
    <w:rsid w:val="00E26FF5"/>
    <w:rsid w:val="00E27341"/>
    <w:rsid w:val="00E273FA"/>
    <w:rsid w:val="00E27941"/>
    <w:rsid w:val="00E27F1D"/>
    <w:rsid w:val="00E30157"/>
    <w:rsid w:val="00E307A1"/>
    <w:rsid w:val="00E307F1"/>
    <w:rsid w:val="00E30DDE"/>
    <w:rsid w:val="00E310AD"/>
    <w:rsid w:val="00E314D1"/>
    <w:rsid w:val="00E31794"/>
    <w:rsid w:val="00E3192C"/>
    <w:rsid w:val="00E31ACC"/>
    <w:rsid w:val="00E31E26"/>
    <w:rsid w:val="00E321ED"/>
    <w:rsid w:val="00E327C2"/>
    <w:rsid w:val="00E3291F"/>
    <w:rsid w:val="00E32950"/>
    <w:rsid w:val="00E33209"/>
    <w:rsid w:val="00E3399D"/>
    <w:rsid w:val="00E343F9"/>
    <w:rsid w:val="00E34C7D"/>
    <w:rsid w:val="00E34E04"/>
    <w:rsid w:val="00E353F2"/>
    <w:rsid w:val="00E35474"/>
    <w:rsid w:val="00E354BC"/>
    <w:rsid w:val="00E3576C"/>
    <w:rsid w:val="00E35BBF"/>
    <w:rsid w:val="00E35DAC"/>
    <w:rsid w:val="00E36BD9"/>
    <w:rsid w:val="00E36C17"/>
    <w:rsid w:val="00E37014"/>
    <w:rsid w:val="00E379BD"/>
    <w:rsid w:val="00E37D33"/>
    <w:rsid w:val="00E4055F"/>
    <w:rsid w:val="00E40977"/>
    <w:rsid w:val="00E409E2"/>
    <w:rsid w:val="00E4110B"/>
    <w:rsid w:val="00E41629"/>
    <w:rsid w:val="00E41779"/>
    <w:rsid w:val="00E42335"/>
    <w:rsid w:val="00E42994"/>
    <w:rsid w:val="00E42A17"/>
    <w:rsid w:val="00E42A8A"/>
    <w:rsid w:val="00E4306F"/>
    <w:rsid w:val="00E43196"/>
    <w:rsid w:val="00E437E5"/>
    <w:rsid w:val="00E43813"/>
    <w:rsid w:val="00E441DC"/>
    <w:rsid w:val="00E444AA"/>
    <w:rsid w:val="00E44544"/>
    <w:rsid w:val="00E445D5"/>
    <w:rsid w:val="00E44BD0"/>
    <w:rsid w:val="00E454E9"/>
    <w:rsid w:val="00E455FC"/>
    <w:rsid w:val="00E45A95"/>
    <w:rsid w:val="00E45B1F"/>
    <w:rsid w:val="00E4639A"/>
    <w:rsid w:val="00E46BF2"/>
    <w:rsid w:val="00E47000"/>
    <w:rsid w:val="00E471B5"/>
    <w:rsid w:val="00E472EB"/>
    <w:rsid w:val="00E47B23"/>
    <w:rsid w:val="00E47B31"/>
    <w:rsid w:val="00E47BAC"/>
    <w:rsid w:val="00E50595"/>
    <w:rsid w:val="00E506DB"/>
    <w:rsid w:val="00E50886"/>
    <w:rsid w:val="00E50C6D"/>
    <w:rsid w:val="00E512E1"/>
    <w:rsid w:val="00E513E7"/>
    <w:rsid w:val="00E51681"/>
    <w:rsid w:val="00E5200E"/>
    <w:rsid w:val="00E525DE"/>
    <w:rsid w:val="00E52742"/>
    <w:rsid w:val="00E52A20"/>
    <w:rsid w:val="00E52D4A"/>
    <w:rsid w:val="00E530DF"/>
    <w:rsid w:val="00E5336E"/>
    <w:rsid w:val="00E5396F"/>
    <w:rsid w:val="00E53F9E"/>
    <w:rsid w:val="00E543BC"/>
    <w:rsid w:val="00E54662"/>
    <w:rsid w:val="00E54C03"/>
    <w:rsid w:val="00E54EFC"/>
    <w:rsid w:val="00E54F60"/>
    <w:rsid w:val="00E551F6"/>
    <w:rsid w:val="00E552B2"/>
    <w:rsid w:val="00E5596C"/>
    <w:rsid w:val="00E564FD"/>
    <w:rsid w:val="00E565EC"/>
    <w:rsid w:val="00E56D57"/>
    <w:rsid w:val="00E56FFF"/>
    <w:rsid w:val="00E5792E"/>
    <w:rsid w:val="00E57A36"/>
    <w:rsid w:val="00E57CA4"/>
    <w:rsid w:val="00E600B2"/>
    <w:rsid w:val="00E60259"/>
    <w:rsid w:val="00E60486"/>
    <w:rsid w:val="00E6095D"/>
    <w:rsid w:val="00E60BDE"/>
    <w:rsid w:val="00E60E9D"/>
    <w:rsid w:val="00E6116F"/>
    <w:rsid w:val="00E61789"/>
    <w:rsid w:val="00E61905"/>
    <w:rsid w:val="00E619C6"/>
    <w:rsid w:val="00E61D02"/>
    <w:rsid w:val="00E62150"/>
    <w:rsid w:val="00E622DF"/>
    <w:rsid w:val="00E622FF"/>
    <w:rsid w:val="00E624F5"/>
    <w:rsid w:val="00E626D0"/>
    <w:rsid w:val="00E626E8"/>
    <w:rsid w:val="00E62A8D"/>
    <w:rsid w:val="00E631EE"/>
    <w:rsid w:val="00E6323E"/>
    <w:rsid w:val="00E63472"/>
    <w:rsid w:val="00E63988"/>
    <w:rsid w:val="00E63D41"/>
    <w:rsid w:val="00E63D97"/>
    <w:rsid w:val="00E63FF8"/>
    <w:rsid w:val="00E64051"/>
    <w:rsid w:val="00E64B10"/>
    <w:rsid w:val="00E64DF5"/>
    <w:rsid w:val="00E651EB"/>
    <w:rsid w:val="00E65769"/>
    <w:rsid w:val="00E657B7"/>
    <w:rsid w:val="00E65892"/>
    <w:rsid w:val="00E65AB8"/>
    <w:rsid w:val="00E65BE6"/>
    <w:rsid w:val="00E65CFF"/>
    <w:rsid w:val="00E660A7"/>
    <w:rsid w:val="00E6614B"/>
    <w:rsid w:val="00E66675"/>
    <w:rsid w:val="00E6684B"/>
    <w:rsid w:val="00E66928"/>
    <w:rsid w:val="00E66B09"/>
    <w:rsid w:val="00E6724B"/>
    <w:rsid w:val="00E67918"/>
    <w:rsid w:val="00E67CF0"/>
    <w:rsid w:val="00E7041B"/>
    <w:rsid w:val="00E70622"/>
    <w:rsid w:val="00E70A1C"/>
    <w:rsid w:val="00E70D34"/>
    <w:rsid w:val="00E70DCC"/>
    <w:rsid w:val="00E70F6D"/>
    <w:rsid w:val="00E70FE7"/>
    <w:rsid w:val="00E71596"/>
    <w:rsid w:val="00E71684"/>
    <w:rsid w:val="00E7182F"/>
    <w:rsid w:val="00E71BB4"/>
    <w:rsid w:val="00E7255D"/>
    <w:rsid w:val="00E72F72"/>
    <w:rsid w:val="00E72F9A"/>
    <w:rsid w:val="00E73B48"/>
    <w:rsid w:val="00E74295"/>
    <w:rsid w:val="00E743AB"/>
    <w:rsid w:val="00E743C8"/>
    <w:rsid w:val="00E74881"/>
    <w:rsid w:val="00E74ECD"/>
    <w:rsid w:val="00E75290"/>
    <w:rsid w:val="00E759BC"/>
    <w:rsid w:val="00E75A18"/>
    <w:rsid w:val="00E75DF3"/>
    <w:rsid w:val="00E76006"/>
    <w:rsid w:val="00E76050"/>
    <w:rsid w:val="00E76156"/>
    <w:rsid w:val="00E769C1"/>
    <w:rsid w:val="00E77160"/>
    <w:rsid w:val="00E772CA"/>
    <w:rsid w:val="00E775F5"/>
    <w:rsid w:val="00E77748"/>
    <w:rsid w:val="00E778FD"/>
    <w:rsid w:val="00E77B34"/>
    <w:rsid w:val="00E77BC0"/>
    <w:rsid w:val="00E77F99"/>
    <w:rsid w:val="00E80261"/>
    <w:rsid w:val="00E80A7C"/>
    <w:rsid w:val="00E80B31"/>
    <w:rsid w:val="00E80C56"/>
    <w:rsid w:val="00E8115B"/>
    <w:rsid w:val="00E8167C"/>
    <w:rsid w:val="00E81AEF"/>
    <w:rsid w:val="00E81B58"/>
    <w:rsid w:val="00E8282C"/>
    <w:rsid w:val="00E83359"/>
    <w:rsid w:val="00E839A5"/>
    <w:rsid w:val="00E83AA9"/>
    <w:rsid w:val="00E83FD8"/>
    <w:rsid w:val="00E84267"/>
    <w:rsid w:val="00E845B3"/>
    <w:rsid w:val="00E84D99"/>
    <w:rsid w:val="00E84EFF"/>
    <w:rsid w:val="00E8507D"/>
    <w:rsid w:val="00E85441"/>
    <w:rsid w:val="00E85612"/>
    <w:rsid w:val="00E85963"/>
    <w:rsid w:val="00E85F5D"/>
    <w:rsid w:val="00E863AF"/>
    <w:rsid w:val="00E86707"/>
    <w:rsid w:val="00E867F5"/>
    <w:rsid w:val="00E86A21"/>
    <w:rsid w:val="00E86D75"/>
    <w:rsid w:val="00E87F7B"/>
    <w:rsid w:val="00E901B6"/>
    <w:rsid w:val="00E903B3"/>
    <w:rsid w:val="00E904D1"/>
    <w:rsid w:val="00E90956"/>
    <w:rsid w:val="00E90AF0"/>
    <w:rsid w:val="00E90E02"/>
    <w:rsid w:val="00E911DB"/>
    <w:rsid w:val="00E913F4"/>
    <w:rsid w:val="00E91AA3"/>
    <w:rsid w:val="00E91E42"/>
    <w:rsid w:val="00E91EC5"/>
    <w:rsid w:val="00E92054"/>
    <w:rsid w:val="00E92097"/>
    <w:rsid w:val="00E92111"/>
    <w:rsid w:val="00E92AB2"/>
    <w:rsid w:val="00E9369A"/>
    <w:rsid w:val="00E9387F"/>
    <w:rsid w:val="00E93945"/>
    <w:rsid w:val="00E939F5"/>
    <w:rsid w:val="00E93CC4"/>
    <w:rsid w:val="00E93F75"/>
    <w:rsid w:val="00E94049"/>
    <w:rsid w:val="00E944CA"/>
    <w:rsid w:val="00E948BD"/>
    <w:rsid w:val="00E94C66"/>
    <w:rsid w:val="00E9530A"/>
    <w:rsid w:val="00E95E34"/>
    <w:rsid w:val="00E95F6F"/>
    <w:rsid w:val="00E960A7"/>
    <w:rsid w:val="00E961F1"/>
    <w:rsid w:val="00E96C96"/>
    <w:rsid w:val="00E972C7"/>
    <w:rsid w:val="00E97875"/>
    <w:rsid w:val="00E979BF"/>
    <w:rsid w:val="00E97C3B"/>
    <w:rsid w:val="00E97D88"/>
    <w:rsid w:val="00EA058F"/>
    <w:rsid w:val="00EA066B"/>
    <w:rsid w:val="00EA08C6"/>
    <w:rsid w:val="00EA0A92"/>
    <w:rsid w:val="00EA0BFB"/>
    <w:rsid w:val="00EA0DE1"/>
    <w:rsid w:val="00EA1644"/>
    <w:rsid w:val="00EA17F9"/>
    <w:rsid w:val="00EA1A8B"/>
    <w:rsid w:val="00EA2106"/>
    <w:rsid w:val="00EA33A3"/>
    <w:rsid w:val="00EA3679"/>
    <w:rsid w:val="00EA3887"/>
    <w:rsid w:val="00EA4088"/>
    <w:rsid w:val="00EA447A"/>
    <w:rsid w:val="00EA468A"/>
    <w:rsid w:val="00EA4F83"/>
    <w:rsid w:val="00EA525C"/>
    <w:rsid w:val="00EA53A3"/>
    <w:rsid w:val="00EA5563"/>
    <w:rsid w:val="00EA62BB"/>
    <w:rsid w:val="00EA7341"/>
    <w:rsid w:val="00EA7842"/>
    <w:rsid w:val="00EA7A71"/>
    <w:rsid w:val="00EA7CC1"/>
    <w:rsid w:val="00EA7F39"/>
    <w:rsid w:val="00EB0A85"/>
    <w:rsid w:val="00EB0C91"/>
    <w:rsid w:val="00EB0CC9"/>
    <w:rsid w:val="00EB1039"/>
    <w:rsid w:val="00EB151C"/>
    <w:rsid w:val="00EB1666"/>
    <w:rsid w:val="00EB1788"/>
    <w:rsid w:val="00EB1870"/>
    <w:rsid w:val="00EB1BA5"/>
    <w:rsid w:val="00EB1CA9"/>
    <w:rsid w:val="00EB28B4"/>
    <w:rsid w:val="00EB29F1"/>
    <w:rsid w:val="00EB3520"/>
    <w:rsid w:val="00EB3EB5"/>
    <w:rsid w:val="00EB3F91"/>
    <w:rsid w:val="00EB40D6"/>
    <w:rsid w:val="00EB4352"/>
    <w:rsid w:val="00EB54E0"/>
    <w:rsid w:val="00EB5829"/>
    <w:rsid w:val="00EB6183"/>
    <w:rsid w:val="00EB6B08"/>
    <w:rsid w:val="00EB6D14"/>
    <w:rsid w:val="00EB6F6B"/>
    <w:rsid w:val="00EB73A3"/>
    <w:rsid w:val="00EB7423"/>
    <w:rsid w:val="00EB76F5"/>
    <w:rsid w:val="00EB774C"/>
    <w:rsid w:val="00EB778F"/>
    <w:rsid w:val="00EB7E99"/>
    <w:rsid w:val="00EC020A"/>
    <w:rsid w:val="00EC0544"/>
    <w:rsid w:val="00EC0816"/>
    <w:rsid w:val="00EC094B"/>
    <w:rsid w:val="00EC0CD0"/>
    <w:rsid w:val="00EC0EB7"/>
    <w:rsid w:val="00EC1A49"/>
    <w:rsid w:val="00EC1A4F"/>
    <w:rsid w:val="00EC1E72"/>
    <w:rsid w:val="00EC2554"/>
    <w:rsid w:val="00EC2929"/>
    <w:rsid w:val="00EC2ACF"/>
    <w:rsid w:val="00EC2E68"/>
    <w:rsid w:val="00EC2FC2"/>
    <w:rsid w:val="00EC39B8"/>
    <w:rsid w:val="00EC4086"/>
    <w:rsid w:val="00EC5492"/>
    <w:rsid w:val="00EC56BC"/>
    <w:rsid w:val="00EC591E"/>
    <w:rsid w:val="00EC5A6D"/>
    <w:rsid w:val="00EC5B9D"/>
    <w:rsid w:val="00EC5D61"/>
    <w:rsid w:val="00EC5FB6"/>
    <w:rsid w:val="00EC60AF"/>
    <w:rsid w:val="00EC626C"/>
    <w:rsid w:val="00EC626F"/>
    <w:rsid w:val="00EC64EA"/>
    <w:rsid w:val="00EC6AD0"/>
    <w:rsid w:val="00EC6C1C"/>
    <w:rsid w:val="00EC6DBF"/>
    <w:rsid w:val="00EC6F75"/>
    <w:rsid w:val="00EC73EF"/>
    <w:rsid w:val="00EC74F9"/>
    <w:rsid w:val="00EC7900"/>
    <w:rsid w:val="00EC7F41"/>
    <w:rsid w:val="00ED0FEB"/>
    <w:rsid w:val="00ED1024"/>
    <w:rsid w:val="00ED1426"/>
    <w:rsid w:val="00ED19C4"/>
    <w:rsid w:val="00ED2028"/>
    <w:rsid w:val="00ED2AFB"/>
    <w:rsid w:val="00ED2E47"/>
    <w:rsid w:val="00ED2E81"/>
    <w:rsid w:val="00ED2E9F"/>
    <w:rsid w:val="00ED3452"/>
    <w:rsid w:val="00ED395B"/>
    <w:rsid w:val="00ED3A60"/>
    <w:rsid w:val="00ED4063"/>
    <w:rsid w:val="00ED4175"/>
    <w:rsid w:val="00ED4252"/>
    <w:rsid w:val="00ED43E5"/>
    <w:rsid w:val="00ED454F"/>
    <w:rsid w:val="00ED4822"/>
    <w:rsid w:val="00ED4923"/>
    <w:rsid w:val="00ED51D4"/>
    <w:rsid w:val="00ED537F"/>
    <w:rsid w:val="00ED53A1"/>
    <w:rsid w:val="00ED56A7"/>
    <w:rsid w:val="00ED5CE2"/>
    <w:rsid w:val="00ED6072"/>
    <w:rsid w:val="00ED6AD3"/>
    <w:rsid w:val="00ED6B3C"/>
    <w:rsid w:val="00ED6C3A"/>
    <w:rsid w:val="00ED6E3D"/>
    <w:rsid w:val="00ED6F98"/>
    <w:rsid w:val="00ED785B"/>
    <w:rsid w:val="00ED7D7F"/>
    <w:rsid w:val="00EE0403"/>
    <w:rsid w:val="00EE081C"/>
    <w:rsid w:val="00EE0BEF"/>
    <w:rsid w:val="00EE1295"/>
    <w:rsid w:val="00EE1807"/>
    <w:rsid w:val="00EE1A3D"/>
    <w:rsid w:val="00EE1C9F"/>
    <w:rsid w:val="00EE26A0"/>
    <w:rsid w:val="00EE2716"/>
    <w:rsid w:val="00EE2921"/>
    <w:rsid w:val="00EE2DD2"/>
    <w:rsid w:val="00EE2F49"/>
    <w:rsid w:val="00EE2FA9"/>
    <w:rsid w:val="00EE303C"/>
    <w:rsid w:val="00EE30D1"/>
    <w:rsid w:val="00EE3251"/>
    <w:rsid w:val="00EE3294"/>
    <w:rsid w:val="00EE3383"/>
    <w:rsid w:val="00EE3876"/>
    <w:rsid w:val="00EE3B08"/>
    <w:rsid w:val="00EE408E"/>
    <w:rsid w:val="00EE4129"/>
    <w:rsid w:val="00EE442C"/>
    <w:rsid w:val="00EE46DD"/>
    <w:rsid w:val="00EE4903"/>
    <w:rsid w:val="00EE5612"/>
    <w:rsid w:val="00EE5A74"/>
    <w:rsid w:val="00EE636E"/>
    <w:rsid w:val="00EE648C"/>
    <w:rsid w:val="00EE669F"/>
    <w:rsid w:val="00EE6BD8"/>
    <w:rsid w:val="00EE7134"/>
    <w:rsid w:val="00EE73C5"/>
    <w:rsid w:val="00EE7603"/>
    <w:rsid w:val="00EE766D"/>
    <w:rsid w:val="00EE7687"/>
    <w:rsid w:val="00EE78B4"/>
    <w:rsid w:val="00EE79E5"/>
    <w:rsid w:val="00EF00D4"/>
    <w:rsid w:val="00EF0B64"/>
    <w:rsid w:val="00EF1123"/>
    <w:rsid w:val="00EF192D"/>
    <w:rsid w:val="00EF2EC9"/>
    <w:rsid w:val="00EF3245"/>
    <w:rsid w:val="00EF3B8C"/>
    <w:rsid w:val="00EF40DC"/>
    <w:rsid w:val="00EF41E1"/>
    <w:rsid w:val="00EF44AF"/>
    <w:rsid w:val="00EF4699"/>
    <w:rsid w:val="00EF477B"/>
    <w:rsid w:val="00EF5009"/>
    <w:rsid w:val="00EF51A2"/>
    <w:rsid w:val="00EF51B3"/>
    <w:rsid w:val="00EF58CF"/>
    <w:rsid w:val="00EF5C2F"/>
    <w:rsid w:val="00EF6421"/>
    <w:rsid w:val="00EF6476"/>
    <w:rsid w:val="00EF6605"/>
    <w:rsid w:val="00EF6C9F"/>
    <w:rsid w:val="00EF6D51"/>
    <w:rsid w:val="00EF6ED6"/>
    <w:rsid w:val="00EF6F81"/>
    <w:rsid w:val="00EF7344"/>
    <w:rsid w:val="00EF7966"/>
    <w:rsid w:val="00EF7D24"/>
    <w:rsid w:val="00F001C2"/>
    <w:rsid w:val="00F002CC"/>
    <w:rsid w:val="00F00748"/>
    <w:rsid w:val="00F00826"/>
    <w:rsid w:val="00F00EC4"/>
    <w:rsid w:val="00F00FFC"/>
    <w:rsid w:val="00F018CD"/>
    <w:rsid w:val="00F02275"/>
    <w:rsid w:val="00F0247D"/>
    <w:rsid w:val="00F0259A"/>
    <w:rsid w:val="00F02A08"/>
    <w:rsid w:val="00F02CE0"/>
    <w:rsid w:val="00F02FC6"/>
    <w:rsid w:val="00F031E8"/>
    <w:rsid w:val="00F03455"/>
    <w:rsid w:val="00F03555"/>
    <w:rsid w:val="00F036B1"/>
    <w:rsid w:val="00F04010"/>
    <w:rsid w:val="00F04217"/>
    <w:rsid w:val="00F04289"/>
    <w:rsid w:val="00F04DA1"/>
    <w:rsid w:val="00F051B6"/>
    <w:rsid w:val="00F05292"/>
    <w:rsid w:val="00F054E5"/>
    <w:rsid w:val="00F054ED"/>
    <w:rsid w:val="00F05CA0"/>
    <w:rsid w:val="00F0615A"/>
    <w:rsid w:val="00F06232"/>
    <w:rsid w:val="00F06371"/>
    <w:rsid w:val="00F06C8E"/>
    <w:rsid w:val="00F06F73"/>
    <w:rsid w:val="00F07072"/>
    <w:rsid w:val="00F0734C"/>
    <w:rsid w:val="00F076C1"/>
    <w:rsid w:val="00F07C7C"/>
    <w:rsid w:val="00F07FFE"/>
    <w:rsid w:val="00F108C0"/>
    <w:rsid w:val="00F10A2A"/>
    <w:rsid w:val="00F10DD2"/>
    <w:rsid w:val="00F11063"/>
    <w:rsid w:val="00F1114D"/>
    <w:rsid w:val="00F114FA"/>
    <w:rsid w:val="00F1150E"/>
    <w:rsid w:val="00F11607"/>
    <w:rsid w:val="00F11C0E"/>
    <w:rsid w:val="00F12538"/>
    <w:rsid w:val="00F12641"/>
    <w:rsid w:val="00F1267C"/>
    <w:rsid w:val="00F12CD4"/>
    <w:rsid w:val="00F1351F"/>
    <w:rsid w:val="00F13D69"/>
    <w:rsid w:val="00F14033"/>
    <w:rsid w:val="00F1409B"/>
    <w:rsid w:val="00F14116"/>
    <w:rsid w:val="00F14340"/>
    <w:rsid w:val="00F146F7"/>
    <w:rsid w:val="00F147BF"/>
    <w:rsid w:val="00F14A8D"/>
    <w:rsid w:val="00F14F5A"/>
    <w:rsid w:val="00F151E5"/>
    <w:rsid w:val="00F15320"/>
    <w:rsid w:val="00F15439"/>
    <w:rsid w:val="00F1591D"/>
    <w:rsid w:val="00F15A65"/>
    <w:rsid w:val="00F15ECB"/>
    <w:rsid w:val="00F16145"/>
    <w:rsid w:val="00F1634E"/>
    <w:rsid w:val="00F16411"/>
    <w:rsid w:val="00F164FC"/>
    <w:rsid w:val="00F16670"/>
    <w:rsid w:val="00F168AB"/>
    <w:rsid w:val="00F16A7E"/>
    <w:rsid w:val="00F16EC7"/>
    <w:rsid w:val="00F16F8B"/>
    <w:rsid w:val="00F17170"/>
    <w:rsid w:val="00F174E4"/>
    <w:rsid w:val="00F176D2"/>
    <w:rsid w:val="00F17A4A"/>
    <w:rsid w:val="00F17FF8"/>
    <w:rsid w:val="00F2007B"/>
    <w:rsid w:val="00F205EF"/>
    <w:rsid w:val="00F207BD"/>
    <w:rsid w:val="00F208B4"/>
    <w:rsid w:val="00F20BEB"/>
    <w:rsid w:val="00F20C6E"/>
    <w:rsid w:val="00F212AC"/>
    <w:rsid w:val="00F215DD"/>
    <w:rsid w:val="00F21EC6"/>
    <w:rsid w:val="00F21F45"/>
    <w:rsid w:val="00F22067"/>
    <w:rsid w:val="00F225FB"/>
    <w:rsid w:val="00F229D3"/>
    <w:rsid w:val="00F22F46"/>
    <w:rsid w:val="00F22FA5"/>
    <w:rsid w:val="00F2379C"/>
    <w:rsid w:val="00F23ED6"/>
    <w:rsid w:val="00F24A4D"/>
    <w:rsid w:val="00F24E32"/>
    <w:rsid w:val="00F25971"/>
    <w:rsid w:val="00F25F35"/>
    <w:rsid w:val="00F263BD"/>
    <w:rsid w:val="00F265D4"/>
    <w:rsid w:val="00F26BC7"/>
    <w:rsid w:val="00F26F1D"/>
    <w:rsid w:val="00F271AF"/>
    <w:rsid w:val="00F2753A"/>
    <w:rsid w:val="00F2760B"/>
    <w:rsid w:val="00F278C8"/>
    <w:rsid w:val="00F27C7A"/>
    <w:rsid w:val="00F27F66"/>
    <w:rsid w:val="00F304D5"/>
    <w:rsid w:val="00F3160C"/>
    <w:rsid w:val="00F31BCB"/>
    <w:rsid w:val="00F31E19"/>
    <w:rsid w:val="00F31EE3"/>
    <w:rsid w:val="00F32067"/>
    <w:rsid w:val="00F321C5"/>
    <w:rsid w:val="00F32C46"/>
    <w:rsid w:val="00F33C36"/>
    <w:rsid w:val="00F342C1"/>
    <w:rsid w:val="00F34B05"/>
    <w:rsid w:val="00F34FEA"/>
    <w:rsid w:val="00F3543F"/>
    <w:rsid w:val="00F355DD"/>
    <w:rsid w:val="00F35FC6"/>
    <w:rsid w:val="00F360B8"/>
    <w:rsid w:val="00F360D2"/>
    <w:rsid w:val="00F36263"/>
    <w:rsid w:val="00F363B7"/>
    <w:rsid w:val="00F36708"/>
    <w:rsid w:val="00F3694E"/>
    <w:rsid w:val="00F36BF8"/>
    <w:rsid w:val="00F36E04"/>
    <w:rsid w:val="00F37545"/>
    <w:rsid w:val="00F37694"/>
    <w:rsid w:val="00F37878"/>
    <w:rsid w:val="00F379C0"/>
    <w:rsid w:val="00F37A73"/>
    <w:rsid w:val="00F37D25"/>
    <w:rsid w:val="00F40041"/>
    <w:rsid w:val="00F40868"/>
    <w:rsid w:val="00F40CFE"/>
    <w:rsid w:val="00F40DCF"/>
    <w:rsid w:val="00F41887"/>
    <w:rsid w:val="00F41901"/>
    <w:rsid w:val="00F41A2F"/>
    <w:rsid w:val="00F42189"/>
    <w:rsid w:val="00F42305"/>
    <w:rsid w:val="00F425F9"/>
    <w:rsid w:val="00F429D6"/>
    <w:rsid w:val="00F432CC"/>
    <w:rsid w:val="00F434A7"/>
    <w:rsid w:val="00F43702"/>
    <w:rsid w:val="00F43C84"/>
    <w:rsid w:val="00F4482A"/>
    <w:rsid w:val="00F44B45"/>
    <w:rsid w:val="00F451E7"/>
    <w:rsid w:val="00F454F7"/>
    <w:rsid w:val="00F45808"/>
    <w:rsid w:val="00F45BC8"/>
    <w:rsid w:val="00F46012"/>
    <w:rsid w:val="00F46255"/>
    <w:rsid w:val="00F46258"/>
    <w:rsid w:val="00F463D7"/>
    <w:rsid w:val="00F464BD"/>
    <w:rsid w:val="00F46522"/>
    <w:rsid w:val="00F46689"/>
    <w:rsid w:val="00F468DC"/>
    <w:rsid w:val="00F46D67"/>
    <w:rsid w:val="00F46FBA"/>
    <w:rsid w:val="00F47346"/>
    <w:rsid w:val="00F473DA"/>
    <w:rsid w:val="00F47796"/>
    <w:rsid w:val="00F478CB"/>
    <w:rsid w:val="00F47AA5"/>
    <w:rsid w:val="00F47B79"/>
    <w:rsid w:val="00F50727"/>
    <w:rsid w:val="00F5074B"/>
    <w:rsid w:val="00F509BE"/>
    <w:rsid w:val="00F50FC2"/>
    <w:rsid w:val="00F515CB"/>
    <w:rsid w:val="00F523A4"/>
    <w:rsid w:val="00F52486"/>
    <w:rsid w:val="00F524A7"/>
    <w:rsid w:val="00F52733"/>
    <w:rsid w:val="00F52946"/>
    <w:rsid w:val="00F52A7C"/>
    <w:rsid w:val="00F52B25"/>
    <w:rsid w:val="00F53C07"/>
    <w:rsid w:val="00F544CA"/>
    <w:rsid w:val="00F54877"/>
    <w:rsid w:val="00F5497B"/>
    <w:rsid w:val="00F54B49"/>
    <w:rsid w:val="00F54D26"/>
    <w:rsid w:val="00F54D73"/>
    <w:rsid w:val="00F55323"/>
    <w:rsid w:val="00F55661"/>
    <w:rsid w:val="00F55A97"/>
    <w:rsid w:val="00F55BE2"/>
    <w:rsid w:val="00F56787"/>
    <w:rsid w:val="00F567B5"/>
    <w:rsid w:val="00F567EF"/>
    <w:rsid w:val="00F56A92"/>
    <w:rsid w:val="00F56CD4"/>
    <w:rsid w:val="00F60002"/>
    <w:rsid w:val="00F61980"/>
    <w:rsid w:val="00F623E0"/>
    <w:rsid w:val="00F62592"/>
    <w:rsid w:val="00F62E01"/>
    <w:rsid w:val="00F62E1C"/>
    <w:rsid w:val="00F6368E"/>
    <w:rsid w:val="00F6389B"/>
    <w:rsid w:val="00F638C7"/>
    <w:rsid w:val="00F639F2"/>
    <w:rsid w:val="00F64EFE"/>
    <w:rsid w:val="00F65577"/>
    <w:rsid w:val="00F65585"/>
    <w:rsid w:val="00F656B2"/>
    <w:rsid w:val="00F65CE9"/>
    <w:rsid w:val="00F65DA6"/>
    <w:rsid w:val="00F65F0C"/>
    <w:rsid w:val="00F65FA4"/>
    <w:rsid w:val="00F6645C"/>
    <w:rsid w:val="00F66461"/>
    <w:rsid w:val="00F66726"/>
    <w:rsid w:val="00F676B9"/>
    <w:rsid w:val="00F67D03"/>
    <w:rsid w:val="00F707F8"/>
    <w:rsid w:val="00F714FF"/>
    <w:rsid w:val="00F71983"/>
    <w:rsid w:val="00F72BD0"/>
    <w:rsid w:val="00F737AF"/>
    <w:rsid w:val="00F739B0"/>
    <w:rsid w:val="00F74222"/>
    <w:rsid w:val="00F744E0"/>
    <w:rsid w:val="00F74596"/>
    <w:rsid w:val="00F745A9"/>
    <w:rsid w:val="00F74819"/>
    <w:rsid w:val="00F74847"/>
    <w:rsid w:val="00F74CAE"/>
    <w:rsid w:val="00F74EFB"/>
    <w:rsid w:val="00F758E0"/>
    <w:rsid w:val="00F768BF"/>
    <w:rsid w:val="00F76CD8"/>
    <w:rsid w:val="00F76DF0"/>
    <w:rsid w:val="00F76E85"/>
    <w:rsid w:val="00F772D4"/>
    <w:rsid w:val="00F77CAF"/>
    <w:rsid w:val="00F77CCE"/>
    <w:rsid w:val="00F80642"/>
    <w:rsid w:val="00F80C86"/>
    <w:rsid w:val="00F80F93"/>
    <w:rsid w:val="00F81082"/>
    <w:rsid w:val="00F8113B"/>
    <w:rsid w:val="00F81171"/>
    <w:rsid w:val="00F816D9"/>
    <w:rsid w:val="00F817E3"/>
    <w:rsid w:val="00F81ACA"/>
    <w:rsid w:val="00F81BB2"/>
    <w:rsid w:val="00F81F14"/>
    <w:rsid w:val="00F82562"/>
    <w:rsid w:val="00F82D0E"/>
    <w:rsid w:val="00F82D13"/>
    <w:rsid w:val="00F82D5B"/>
    <w:rsid w:val="00F82E46"/>
    <w:rsid w:val="00F834A1"/>
    <w:rsid w:val="00F838DA"/>
    <w:rsid w:val="00F84EB3"/>
    <w:rsid w:val="00F8511F"/>
    <w:rsid w:val="00F85228"/>
    <w:rsid w:val="00F85A7D"/>
    <w:rsid w:val="00F85FF9"/>
    <w:rsid w:val="00F86366"/>
    <w:rsid w:val="00F8646B"/>
    <w:rsid w:val="00F86670"/>
    <w:rsid w:val="00F8675E"/>
    <w:rsid w:val="00F869E4"/>
    <w:rsid w:val="00F870DB"/>
    <w:rsid w:val="00F874E0"/>
    <w:rsid w:val="00F874E9"/>
    <w:rsid w:val="00F87650"/>
    <w:rsid w:val="00F87A0A"/>
    <w:rsid w:val="00F9035D"/>
    <w:rsid w:val="00F90B3C"/>
    <w:rsid w:val="00F90BF0"/>
    <w:rsid w:val="00F90F85"/>
    <w:rsid w:val="00F90F94"/>
    <w:rsid w:val="00F910CC"/>
    <w:rsid w:val="00F912C0"/>
    <w:rsid w:val="00F91617"/>
    <w:rsid w:val="00F916B7"/>
    <w:rsid w:val="00F919C4"/>
    <w:rsid w:val="00F91E5E"/>
    <w:rsid w:val="00F921FF"/>
    <w:rsid w:val="00F92715"/>
    <w:rsid w:val="00F92D91"/>
    <w:rsid w:val="00F92DB6"/>
    <w:rsid w:val="00F930B4"/>
    <w:rsid w:val="00F936A8"/>
    <w:rsid w:val="00F9384A"/>
    <w:rsid w:val="00F939DE"/>
    <w:rsid w:val="00F93B1B"/>
    <w:rsid w:val="00F9486A"/>
    <w:rsid w:val="00F949B9"/>
    <w:rsid w:val="00F94A9F"/>
    <w:rsid w:val="00F94B65"/>
    <w:rsid w:val="00F94DAE"/>
    <w:rsid w:val="00F94EE9"/>
    <w:rsid w:val="00F95010"/>
    <w:rsid w:val="00F95286"/>
    <w:rsid w:val="00F95CAD"/>
    <w:rsid w:val="00F96E02"/>
    <w:rsid w:val="00F97411"/>
    <w:rsid w:val="00F97581"/>
    <w:rsid w:val="00F9797A"/>
    <w:rsid w:val="00F97F39"/>
    <w:rsid w:val="00FA02DB"/>
    <w:rsid w:val="00FA04CE"/>
    <w:rsid w:val="00FA05AB"/>
    <w:rsid w:val="00FA099C"/>
    <w:rsid w:val="00FA0A6D"/>
    <w:rsid w:val="00FA0C2D"/>
    <w:rsid w:val="00FA0FC3"/>
    <w:rsid w:val="00FA10B9"/>
    <w:rsid w:val="00FA123B"/>
    <w:rsid w:val="00FA1720"/>
    <w:rsid w:val="00FA1A3B"/>
    <w:rsid w:val="00FA1ECA"/>
    <w:rsid w:val="00FA1F5B"/>
    <w:rsid w:val="00FA2193"/>
    <w:rsid w:val="00FA2199"/>
    <w:rsid w:val="00FA2DDF"/>
    <w:rsid w:val="00FA3134"/>
    <w:rsid w:val="00FA339D"/>
    <w:rsid w:val="00FA358A"/>
    <w:rsid w:val="00FA3808"/>
    <w:rsid w:val="00FA4271"/>
    <w:rsid w:val="00FA456F"/>
    <w:rsid w:val="00FA482C"/>
    <w:rsid w:val="00FA4983"/>
    <w:rsid w:val="00FA498E"/>
    <w:rsid w:val="00FA55C6"/>
    <w:rsid w:val="00FA5E2C"/>
    <w:rsid w:val="00FA620D"/>
    <w:rsid w:val="00FA639D"/>
    <w:rsid w:val="00FA67A9"/>
    <w:rsid w:val="00FA68AD"/>
    <w:rsid w:val="00FA69D0"/>
    <w:rsid w:val="00FA719D"/>
    <w:rsid w:val="00FA7A76"/>
    <w:rsid w:val="00FA7BEF"/>
    <w:rsid w:val="00FB0142"/>
    <w:rsid w:val="00FB01BD"/>
    <w:rsid w:val="00FB0289"/>
    <w:rsid w:val="00FB04F3"/>
    <w:rsid w:val="00FB0970"/>
    <w:rsid w:val="00FB0A7D"/>
    <w:rsid w:val="00FB0D46"/>
    <w:rsid w:val="00FB1AF9"/>
    <w:rsid w:val="00FB1D6B"/>
    <w:rsid w:val="00FB2A7F"/>
    <w:rsid w:val="00FB2AE8"/>
    <w:rsid w:val="00FB2D62"/>
    <w:rsid w:val="00FB304E"/>
    <w:rsid w:val="00FB319A"/>
    <w:rsid w:val="00FB391A"/>
    <w:rsid w:val="00FB3CBB"/>
    <w:rsid w:val="00FB4119"/>
    <w:rsid w:val="00FB44C8"/>
    <w:rsid w:val="00FB4520"/>
    <w:rsid w:val="00FB4640"/>
    <w:rsid w:val="00FB4B92"/>
    <w:rsid w:val="00FB4F68"/>
    <w:rsid w:val="00FB509F"/>
    <w:rsid w:val="00FB546F"/>
    <w:rsid w:val="00FB5620"/>
    <w:rsid w:val="00FB569E"/>
    <w:rsid w:val="00FB5F97"/>
    <w:rsid w:val="00FB619C"/>
    <w:rsid w:val="00FB6959"/>
    <w:rsid w:val="00FB6995"/>
    <w:rsid w:val="00FB6F90"/>
    <w:rsid w:val="00FB709C"/>
    <w:rsid w:val="00FB7788"/>
    <w:rsid w:val="00FC00CC"/>
    <w:rsid w:val="00FC04D4"/>
    <w:rsid w:val="00FC0616"/>
    <w:rsid w:val="00FC07FB"/>
    <w:rsid w:val="00FC0B20"/>
    <w:rsid w:val="00FC0EA0"/>
    <w:rsid w:val="00FC1634"/>
    <w:rsid w:val="00FC18CF"/>
    <w:rsid w:val="00FC21E0"/>
    <w:rsid w:val="00FC2BAB"/>
    <w:rsid w:val="00FC2C40"/>
    <w:rsid w:val="00FC312A"/>
    <w:rsid w:val="00FC3C19"/>
    <w:rsid w:val="00FC4161"/>
    <w:rsid w:val="00FC44D9"/>
    <w:rsid w:val="00FC4A1E"/>
    <w:rsid w:val="00FC4B76"/>
    <w:rsid w:val="00FC4F22"/>
    <w:rsid w:val="00FC524D"/>
    <w:rsid w:val="00FC544C"/>
    <w:rsid w:val="00FC5A66"/>
    <w:rsid w:val="00FC5AB8"/>
    <w:rsid w:val="00FC5B0B"/>
    <w:rsid w:val="00FC5C0F"/>
    <w:rsid w:val="00FC5C2F"/>
    <w:rsid w:val="00FC5EA0"/>
    <w:rsid w:val="00FC5F45"/>
    <w:rsid w:val="00FC6062"/>
    <w:rsid w:val="00FC6197"/>
    <w:rsid w:val="00FC6393"/>
    <w:rsid w:val="00FC6395"/>
    <w:rsid w:val="00FC690A"/>
    <w:rsid w:val="00FC6A35"/>
    <w:rsid w:val="00FC6B8A"/>
    <w:rsid w:val="00FC7625"/>
    <w:rsid w:val="00FC7784"/>
    <w:rsid w:val="00FC7885"/>
    <w:rsid w:val="00FC7CDF"/>
    <w:rsid w:val="00FC7DB9"/>
    <w:rsid w:val="00FD071F"/>
    <w:rsid w:val="00FD0BFD"/>
    <w:rsid w:val="00FD0D4E"/>
    <w:rsid w:val="00FD1676"/>
    <w:rsid w:val="00FD1924"/>
    <w:rsid w:val="00FD1AD5"/>
    <w:rsid w:val="00FD204E"/>
    <w:rsid w:val="00FD3282"/>
    <w:rsid w:val="00FD37C1"/>
    <w:rsid w:val="00FD3D3F"/>
    <w:rsid w:val="00FD4074"/>
    <w:rsid w:val="00FD425D"/>
    <w:rsid w:val="00FD45BD"/>
    <w:rsid w:val="00FD4B0D"/>
    <w:rsid w:val="00FD4C04"/>
    <w:rsid w:val="00FD4C22"/>
    <w:rsid w:val="00FD4DC3"/>
    <w:rsid w:val="00FD4FB2"/>
    <w:rsid w:val="00FD510E"/>
    <w:rsid w:val="00FD5274"/>
    <w:rsid w:val="00FD537E"/>
    <w:rsid w:val="00FD53A2"/>
    <w:rsid w:val="00FD54F6"/>
    <w:rsid w:val="00FD5BFD"/>
    <w:rsid w:val="00FD642D"/>
    <w:rsid w:val="00FD675E"/>
    <w:rsid w:val="00FD6B10"/>
    <w:rsid w:val="00FD6FAB"/>
    <w:rsid w:val="00FD71EE"/>
    <w:rsid w:val="00FD74CB"/>
    <w:rsid w:val="00FD7C98"/>
    <w:rsid w:val="00FD7CC7"/>
    <w:rsid w:val="00FD7D5C"/>
    <w:rsid w:val="00FE03F9"/>
    <w:rsid w:val="00FE04D6"/>
    <w:rsid w:val="00FE0781"/>
    <w:rsid w:val="00FE11C2"/>
    <w:rsid w:val="00FE1677"/>
    <w:rsid w:val="00FE1932"/>
    <w:rsid w:val="00FE19BB"/>
    <w:rsid w:val="00FE1C1B"/>
    <w:rsid w:val="00FE202E"/>
    <w:rsid w:val="00FE221D"/>
    <w:rsid w:val="00FE22E0"/>
    <w:rsid w:val="00FE23A8"/>
    <w:rsid w:val="00FE2543"/>
    <w:rsid w:val="00FE2EED"/>
    <w:rsid w:val="00FE2F2E"/>
    <w:rsid w:val="00FE3109"/>
    <w:rsid w:val="00FE3339"/>
    <w:rsid w:val="00FE3C31"/>
    <w:rsid w:val="00FE3E01"/>
    <w:rsid w:val="00FE490C"/>
    <w:rsid w:val="00FE492D"/>
    <w:rsid w:val="00FE4981"/>
    <w:rsid w:val="00FE4ABA"/>
    <w:rsid w:val="00FE5341"/>
    <w:rsid w:val="00FE564D"/>
    <w:rsid w:val="00FE56ED"/>
    <w:rsid w:val="00FE5814"/>
    <w:rsid w:val="00FE5A2F"/>
    <w:rsid w:val="00FE5BF1"/>
    <w:rsid w:val="00FE5C86"/>
    <w:rsid w:val="00FE5D67"/>
    <w:rsid w:val="00FE5E0E"/>
    <w:rsid w:val="00FE601A"/>
    <w:rsid w:val="00FE6075"/>
    <w:rsid w:val="00FE6291"/>
    <w:rsid w:val="00FE64C8"/>
    <w:rsid w:val="00FE6588"/>
    <w:rsid w:val="00FE673E"/>
    <w:rsid w:val="00FE6CD1"/>
    <w:rsid w:val="00FE6EF4"/>
    <w:rsid w:val="00FE7271"/>
    <w:rsid w:val="00FE7AB0"/>
    <w:rsid w:val="00FE7AE9"/>
    <w:rsid w:val="00FE7BC6"/>
    <w:rsid w:val="00FE7CD2"/>
    <w:rsid w:val="00FF0091"/>
    <w:rsid w:val="00FF0425"/>
    <w:rsid w:val="00FF05AE"/>
    <w:rsid w:val="00FF0CB6"/>
    <w:rsid w:val="00FF0DEF"/>
    <w:rsid w:val="00FF12A1"/>
    <w:rsid w:val="00FF1741"/>
    <w:rsid w:val="00FF19B2"/>
    <w:rsid w:val="00FF2032"/>
    <w:rsid w:val="00FF26E5"/>
    <w:rsid w:val="00FF291F"/>
    <w:rsid w:val="00FF2AB3"/>
    <w:rsid w:val="00FF2BFC"/>
    <w:rsid w:val="00FF2CB0"/>
    <w:rsid w:val="00FF3059"/>
    <w:rsid w:val="00FF3247"/>
    <w:rsid w:val="00FF327E"/>
    <w:rsid w:val="00FF362A"/>
    <w:rsid w:val="00FF37C1"/>
    <w:rsid w:val="00FF4387"/>
    <w:rsid w:val="00FF46E8"/>
    <w:rsid w:val="00FF48EA"/>
    <w:rsid w:val="00FF4CE5"/>
    <w:rsid w:val="00FF4EAE"/>
    <w:rsid w:val="00FF5630"/>
    <w:rsid w:val="00FF56EA"/>
    <w:rsid w:val="00FF5912"/>
    <w:rsid w:val="00FF5955"/>
    <w:rsid w:val="00FF5A0E"/>
    <w:rsid w:val="00FF5DC1"/>
    <w:rsid w:val="00FF64CE"/>
    <w:rsid w:val="00FF6B3A"/>
    <w:rsid w:val="00FF6D70"/>
    <w:rsid w:val="00FF70AC"/>
    <w:rsid w:val="00FF79EA"/>
    <w:rsid w:val="00FF7A2F"/>
    <w:rsid w:val="00FF7E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1A365B"/>
  <w15:docId w15:val="{81115AAD-1F6A-407A-B7BC-FCA74AA02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spacing w:before="120" w:line="276" w:lineRule="auto"/>
        <w:jc w:val="both"/>
      </w:pPr>
    </w:pPrDefault>
  </w:docDefaults>
  <w:latentStyles w:defLockedState="0" w:defUIPriority="0" w:defSemiHidden="0" w:defUnhideWhenUsed="0" w:defQFormat="0" w:count="371">
    <w:lsdException w:name="Normal" w:qFormat="1"/>
    <w:lsdException w:name="heading 1" w:uiPriority="99" w:qFormat="1"/>
    <w:lsdException w:name="heading 2" w:uiPriority="9"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99" w:unhideWhenUsed="1"/>
    <w:lsdException w:name="Table Grid 1" w:semiHidden="1" w:uiPriority="99" w:unhideWhenUsed="1"/>
    <w:lsdException w:name="Table Grid 2" w:semiHidden="1" w:unhideWhenUsed="1"/>
    <w:lsdException w:name="Table Grid 3" w:semiHidden="1" w:uiPriority="99" w:unhideWhenUsed="1"/>
    <w:lsdException w:name="Table Grid 4" w:semiHidden="1" w:unhideWhenUsed="1"/>
    <w:lsdException w:name="Table Grid 5" w:semiHidden="1" w:uiPriority="99" w:unhideWhenUsed="1"/>
    <w:lsdException w:name="Table Grid 6" w:semiHidden="1" w:unhideWhenUsed="1"/>
    <w:lsdException w:name="Table Grid 7" w:semiHidden="1" w:uiPriority="99"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1Normal"/>
    <w:qFormat/>
    <w:rsid w:val="007C7EB0"/>
    <w:rPr>
      <w:rFonts w:ascii="GHEA Grapalat" w:hAnsi="GHEA Grapalat"/>
      <w:b/>
      <w:sz w:val="22"/>
      <w:szCs w:val="24"/>
      <w:lang w:val="ru-RU" w:eastAsia="ru-RU"/>
    </w:rPr>
  </w:style>
  <w:style w:type="paragraph" w:styleId="Heading1">
    <w:name w:val="heading 1"/>
    <w:aliases w:val="(Text),(Section),Section Heading,1, 1,Chapter,head3"/>
    <w:basedOn w:val="Normal"/>
    <w:next w:val="Normal"/>
    <w:link w:val="Heading1Char"/>
    <w:autoRedefine/>
    <w:uiPriority w:val="99"/>
    <w:qFormat/>
    <w:rsid w:val="0009272D"/>
    <w:pPr>
      <w:tabs>
        <w:tab w:val="left" w:pos="0"/>
      </w:tabs>
      <w:outlineLvl w:val="0"/>
    </w:pPr>
    <w:rPr>
      <w:rFonts w:eastAsiaTheme="majorEastAsia" w:cstheme="majorBidi"/>
      <w:bCs/>
      <w:color w:val="1F497D" w:themeColor="text2"/>
      <w:sz w:val="24"/>
      <w:lang w:val="hy-AM" w:eastAsia="en-US"/>
    </w:rPr>
  </w:style>
  <w:style w:type="paragraph" w:styleId="Heading2">
    <w:name w:val="heading 2"/>
    <w:aliases w:val="(Chapter),Paranum,Body"/>
    <w:basedOn w:val="Normal"/>
    <w:next w:val="Normal"/>
    <w:link w:val="Heading2Char"/>
    <w:autoRedefine/>
    <w:uiPriority w:val="9"/>
    <w:qFormat/>
    <w:rsid w:val="002F7255"/>
    <w:pPr>
      <w:keepNext/>
      <w:spacing w:before="0"/>
      <w:jc w:val="center"/>
      <w:outlineLvl w:val="1"/>
    </w:pPr>
    <w:rPr>
      <w:rFonts w:eastAsia="Calibri" w:cs="Times LatArm"/>
      <w:sz w:val="24"/>
      <w:lang w:val="hy-AM" w:eastAsia="en-US"/>
    </w:rPr>
  </w:style>
  <w:style w:type="paragraph" w:styleId="Heading3">
    <w:name w:val="heading 3"/>
    <w:aliases w:val="Centered,(text),(Sub-Chapter),Heading 3 Char Char Char Char Char Char"/>
    <w:basedOn w:val="Normal"/>
    <w:next w:val="Normal"/>
    <w:link w:val="Heading3Char"/>
    <w:autoRedefine/>
    <w:qFormat/>
    <w:rsid w:val="004F5524"/>
    <w:pPr>
      <w:keepNext/>
      <w:tabs>
        <w:tab w:val="left" w:pos="709"/>
      </w:tabs>
      <w:spacing w:before="0"/>
      <w:outlineLvl w:val="2"/>
    </w:pPr>
    <w:rPr>
      <w:rFonts w:eastAsia="Calibri" w:cs="GHEA Grapalat"/>
      <w:bCs/>
      <w:noProof/>
      <w:sz w:val="24"/>
      <w:szCs w:val="26"/>
      <w:lang w:val="af-ZA" w:eastAsia="en-US"/>
    </w:rPr>
  </w:style>
  <w:style w:type="paragraph" w:styleId="Heading4">
    <w:name w:val="heading 4"/>
    <w:aliases w:val="Centred"/>
    <w:basedOn w:val="Normal"/>
    <w:next w:val="Normal"/>
    <w:link w:val="Heading4Char"/>
    <w:autoRedefine/>
    <w:qFormat/>
    <w:rsid w:val="004D4C68"/>
    <w:pPr>
      <w:keepNext/>
      <w:spacing w:before="360" w:after="120"/>
      <w:ind w:left="397"/>
      <w:outlineLvl w:val="3"/>
    </w:pPr>
    <w:rPr>
      <w:szCs w:val="20"/>
      <w:lang w:val="en-GB" w:eastAsia="en-US"/>
    </w:rPr>
  </w:style>
  <w:style w:type="paragraph" w:styleId="Heading5">
    <w:name w:val="heading 5"/>
    <w:aliases w:val="Side"/>
    <w:basedOn w:val="Normal"/>
    <w:next w:val="Normal"/>
    <w:link w:val="Heading5Char"/>
    <w:autoRedefine/>
    <w:qFormat/>
    <w:rsid w:val="00785686"/>
    <w:pPr>
      <w:tabs>
        <w:tab w:val="left" w:pos="720"/>
      </w:tabs>
      <w:spacing w:before="240" w:after="360" w:line="240" w:lineRule="auto"/>
      <w:ind w:left="851"/>
      <w:jc w:val="center"/>
      <w:outlineLvl w:val="4"/>
    </w:pPr>
    <w:rPr>
      <w:b w:val="0"/>
      <w:bCs/>
      <w:i/>
      <w:spacing w:val="60"/>
      <w:szCs w:val="20"/>
      <w:lang w:val="hy-AM" w:eastAsia="en-US"/>
    </w:rPr>
  </w:style>
  <w:style w:type="paragraph" w:styleId="Heading6">
    <w:name w:val="heading 6"/>
    <w:basedOn w:val="Normal"/>
    <w:next w:val="Normal"/>
    <w:link w:val="Heading6Char"/>
    <w:qFormat/>
    <w:rsid w:val="003B72C4"/>
    <w:pPr>
      <w:spacing w:before="240"/>
      <w:outlineLvl w:val="5"/>
    </w:pPr>
    <w:rPr>
      <w:b w:val="0"/>
      <w:bCs/>
      <w:szCs w:val="22"/>
      <w:lang w:val="en-GB" w:eastAsia="en-US"/>
    </w:rPr>
  </w:style>
  <w:style w:type="paragraph" w:styleId="Heading7">
    <w:name w:val="heading 7"/>
    <w:basedOn w:val="Normal"/>
    <w:next w:val="BodyText"/>
    <w:link w:val="Heading7Char"/>
    <w:qFormat/>
    <w:rsid w:val="008E54BF"/>
    <w:pPr>
      <w:framePr w:w="3780" w:hSpace="240" w:wrap="auto" w:vAnchor="text" w:hAnchor="page" w:x="1489" w:y="1"/>
      <w:widowControl w:val="0"/>
      <w:pBdr>
        <w:top w:val="single" w:sz="6" w:space="12" w:color="FFFFFF"/>
        <w:left w:val="single" w:sz="6" w:space="12" w:color="FFFFFF"/>
        <w:bottom w:val="single" w:sz="6" w:space="12" w:color="FFFFFF"/>
        <w:right w:val="single" w:sz="6" w:space="12" w:color="FFFFFF"/>
      </w:pBdr>
      <w:shd w:val="pct5" w:color="auto" w:fill="auto"/>
      <w:spacing w:before="60"/>
      <w:outlineLvl w:val="6"/>
    </w:pPr>
    <w:rPr>
      <w:rFonts w:ascii="Times Armenian" w:hAnsi="Times Armenian"/>
      <w:spacing w:val="-5"/>
      <w:sz w:val="24"/>
      <w:szCs w:val="20"/>
      <w:lang w:val="en-GB" w:eastAsia="en-US"/>
    </w:rPr>
  </w:style>
  <w:style w:type="paragraph" w:styleId="Heading8">
    <w:name w:val="heading 8"/>
    <w:basedOn w:val="Normal"/>
    <w:next w:val="BodyText"/>
    <w:link w:val="Heading8Char"/>
    <w:qFormat/>
    <w:rsid w:val="00060470"/>
    <w:pPr>
      <w:keepNext/>
      <w:framePr w:w="1860" w:wrap="auto" w:vAnchor="text" w:hAnchor="page" w:x="1201" w:y="1"/>
      <w:widowControl w:val="0"/>
      <w:pBdr>
        <w:top w:val="single" w:sz="24" w:space="0" w:color="auto"/>
        <w:bottom w:val="single" w:sz="6" w:space="0" w:color="auto"/>
      </w:pBdr>
      <w:tabs>
        <w:tab w:val="left" w:pos="720"/>
      </w:tabs>
      <w:spacing w:before="60" w:line="320" w:lineRule="exact"/>
      <w:ind w:left="720" w:hanging="720"/>
      <w:jc w:val="center"/>
      <w:outlineLvl w:val="7"/>
    </w:pPr>
    <w:rPr>
      <w:rFonts w:ascii="Arial Black" w:hAnsi="Arial Black"/>
      <w:caps/>
      <w:spacing w:val="60"/>
      <w:position w:val="4"/>
      <w:sz w:val="14"/>
      <w:szCs w:val="20"/>
      <w:lang w:val="en-GB"/>
    </w:rPr>
  </w:style>
  <w:style w:type="paragraph" w:styleId="Heading9">
    <w:name w:val="heading 9"/>
    <w:basedOn w:val="Normal"/>
    <w:next w:val="BodyText"/>
    <w:link w:val="Heading9Char"/>
    <w:qFormat/>
    <w:rsid w:val="00060470"/>
    <w:pPr>
      <w:keepNext/>
      <w:widowControl w:val="0"/>
      <w:tabs>
        <w:tab w:val="left" w:pos="720"/>
      </w:tabs>
      <w:spacing w:before="80" w:line="240" w:lineRule="auto"/>
      <w:ind w:left="720" w:hanging="720"/>
      <w:jc w:val="left"/>
      <w:outlineLvl w:val="8"/>
    </w:pPr>
    <w:rPr>
      <w:rFonts w:ascii="Garamond" w:hAnsi="Garamond"/>
      <w:b w:val="0"/>
      <w:i/>
      <w:kern w:val="28"/>
      <w:sz w:val="1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uiPriority w:val="99"/>
    <w:rsid w:val="00C52D6C"/>
    <w:pPr>
      <w:spacing w:after="160" w:line="240" w:lineRule="exact"/>
    </w:pPr>
    <w:rPr>
      <w:rFonts w:ascii="Arial" w:hAnsi="Arial" w:cs="Arial"/>
      <w:sz w:val="20"/>
      <w:szCs w:val="20"/>
      <w:lang w:val="en-US" w:eastAsia="en-US"/>
    </w:rPr>
  </w:style>
  <w:style w:type="paragraph" w:styleId="BodyText">
    <w:name w:val="Body Text"/>
    <w:aliases w:val="(Main Text),date,Body Text (Main text)"/>
    <w:basedOn w:val="Normal"/>
    <w:link w:val="BodyTextChar"/>
    <w:rsid w:val="005F5C4A"/>
    <w:pPr>
      <w:jc w:val="center"/>
    </w:pPr>
    <w:rPr>
      <w:rFonts w:ascii="Times Armenian" w:hAnsi="Times Armenian"/>
      <w:sz w:val="52"/>
      <w:szCs w:val="20"/>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webb, webb"/>
    <w:basedOn w:val="Normal"/>
    <w:link w:val="NormalWebChar"/>
    <w:qFormat/>
    <w:rsid w:val="00425E64"/>
    <w:pPr>
      <w:spacing w:before="100" w:beforeAutospacing="1" w:after="100" w:afterAutospacing="1"/>
    </w:pPr>
  </w:style>
  <w:style w:type="paragraph" w:styleId="Footer">
    <w:name w:val="footer"/>
    <w:basedOn w:val="Normal"/>
    <w:link w:val="FooterChar"/>
    <w:uiPriority w:val="99"/>
    <w:rsid w:val="00335FBB"/>
    <w:pPr>
      <w:tabs>
        <w:tab w:val="center" w:pos="4677"/>
        <w:tab w:val="right" w:pos="9355"/>
      </w:tabs>
    </w:pPr>
  </w:style>
  <w:style w:type="character" w:styleId="PageNumber">
    <w:name w:val="page number"/>
    <w:basedOn w:val="DefaultParagraphFont"/>
    <w:rsid w:val="00335FBB"/>
  </w:style>
  <w:style w:type="paragraph" w:styleId="BodyTextIndent">
    <w:name w:val="Body Text Indent"/>
    <w:aliases w:val=" (Table Source),(Table Source),(Table Source)1,(Table Source)11,Body Text 21"/>
    <w:basedOn w:val="Normal"/>
    <w:link w:val="BodyTextIndentChar"/>
    <w:rsid w:val="00335FBB"/>
    <w:pPr>
      <w:ind w:firstLine="708"/>
    </w:pPr>
    <w:rPr>
      <w:rFonts w:ascii="Arial Armenian" w:hAnsi="Arial Armenian"/>
    </w:rPr>
  </w:style>
  <w:style w:type="paragraph" w:styleId="Header">
    <w:name w:val="header"/>
    <w:aliases w:val="Header Char Char Char Char Char Char Char Char Char Char,Header Char Char Char Char Char Char Char Char Char Char Char Char,h"/>
    <w:basedOn w:val="Normal"/>
    <w:link w:val="HeaderChar"/>
    <w:uiPriority w:val="99"/>
    <w:rsid w:val="00D008DD"/>
    <w:pPr>
      <w:tabs>
        <w:tab w:val="center" w:pos="4677"/>
        <w:tab w:val="right" w:pos="9355"/>
      </w:tabs>
    </w:pPr>
    <w:rPr>
      <w:sz w:val="20"/>
      <w:szCs w:val="20"/>
      <w:lang w:val="en-AU" w:eastAsia="en-US"/>
    </w:rPr>
  </w:style>
  <w:style w:type="character" w:styleId="Hyperlink">
    <w:name w:val="Hyperlink"/>
    <w:uiPriority w:val="99"/>
    <w:rsid w:val="00D008DD"/>
    <w:rPr>
      <w:color w:val="0000FF"/>
      <w:u w:val="single"/>
    </w:rPr>
  </w:style>
  <w:style w:type="paragraph" w:styleId="BodyText2">
    <w:name w:val="Body Text 2"/>
    <w:aliases w:val="1Text"/>
    <w:basedOn w:val="Normal"/>
    <w:link w:val="BodyText2Char"/>
    <w:autoRedefine/>
    <w:qFormat/>
    <w:rsid w:val="00E960A7"/>
    <w:pPr>
      <w:spacing w:before="0" w:after="120"/>
    </w:pPr>
    <w:rPr>
      <w:rFonts w:eastAsia="Calibri"/>
      <w:b w:val="0"/>
      <w:szCs w:val="22"/>
      <w:lang w:val="hy-AM" w:eastAsia="en-US"/>
    </w:rPr>
  </w:style>
  <w:style w:type="paragraph" w:styleId="BodyTextIndent2">
    <w:name w:val="Body Text Indent 2"/>
    <w:basedOn w:val="Normal"/>
    <w:link w:val="BodyTextIndent2Char"/>
    <w:rsid w:val="00473302"/>
    <w:pPr>
      <w:ind w:firstLine="720"/>
    </w:pPr>
    <w:rPr>
      <w:rFonts w:ascii="Arial Armenian" w:hAnsi="Arial Armenian"/>
      <w:bCs/>
      <w:szCs w:val="20"/>
      <w:lang w:val="en-US" w:eastAsia="en-US"/>
    </w:rPr>
  </w:style>
  <w:style w:type="paragraph" w:styleId="BlockText">
    <w:name w:val="Block Text"/>
    <w:basedOn w:val="Normal"/>
    <w:rsid w:val="00473302"/>
    <w:pPr>
      <w:ind w:left="360" w:right="-810"/>
    </w:pPr>
    <w:rPr>
      <w:rFonts w:ascii="Times Armenian" w:hAnsi="Times Armenian"/>
      <w:bCs/>
      <w:szCs w:val="20"/>
      <w:lang w:val="en-US" w:eastAsia="en-US"/>
    </w:rPr>
  </w:style>
  <w:style w:type="paragraph" w:styleId="BodyText3">
    <w:name w:val="Body Text 3"/>
    <w:basedOn w:val="Normal"/>
    <w:link w:val="BodyText3Char"/>
    <w:rsid w:val="00473302"/>
    <w:rPr>
      <w:rFonts w:ascii="Times Armenian" w:hAnsi="Times Armenian"/>
      <w:bCs/>
      <w:szCs w:val="20"/>
      <w:lang w:val="en-US" w:eastAsia="en-US"/>
    </w:rPr>
  </w:style>
  <w:style w:type="paragraph" w:customStyle="1" w:styleId="CharCharCharCharCharCharCharCharCharCharCharChar">
    <w:name w:val="Char Char Char Char Char Char Char Char Char Char Char Char"/>
    <w:basedOn w:val="Normal"/>
    <w:rsid w:val="00473302"/>
    <w:pPr>
      <w:spacing w:after="160" w:line="240" w:lineRule="exact"/>
    </w:pPr>
    <w:rPr>
      <w:rFonts w:ascii="Arial" w:hAnsi="Arial" w:cs="Arial"/>
      <w:sz w:val="20"/>
      <w:szCs w:val="20"/>
      <w:lang w:val="en-US" w:eastAsia="en-US"/>
    </w:rPr>
  </w:style>
  <w:style w:type="paragraph" w:customStyle="1" w:styleId="Char">
    <w:name w:val="Char"/>
    <w:basedOn w:val="Normal"/>
    <w:rsid w:val="00473302"/>
    <w:pPr>
      <w:spacing w:after="160" w:line="240" w:lineRule="exact"/>
    </w:pPr>
    <w:rPr>
      <w:rFonts w:ascii="Arial" w:hAnsi="Arial" w:cs="Arial"/>
      <w:sz w:val="20"/>
      <w:szCs w:val="20"/>
      <w:lang w:val="en-US" w:eastAsia="en-US"/>
    </w:rPr>
  </w:style>
  <w:style w:type="paragraph" w:styleId="Subtitle">
    <w:name w:val="Subtitle"/>
    <w:basedOn w:val="Normal"/>
    <w:link w:val="SubtitleChar"/>
    <w:qFormat/>
    <w:rsid w:val="003B72C4"/>
    <w:pPr>
      <w:jc w:val="center"/>
    </w:pPr>
    <w:rPr>
      <w:rFonts w:ascii="Times Armenian" w:hAnsi="Times Armenian"/>
      <w:bCs/>
      <w:i/>
      <w:sz w:val="26"/>
      <w:szCs w:val="20"/>
      <w:lang w:val="en-US" w:eastAsia="en-US"/>
    </w:rPr>
  </w:style>
  <w:style w:type="paragraph" w:customStyle="1" w:styleId="CharCharCharCharCharChar1CharCharCharCharCharCharCharCharChar">
    <w:name w:val="Char Char Char Char Char Char1 Char Char Char Char Char Char Char Char Char Знак Знак"/>
    <w:basedOn w:val="Normal"/>
    <w:rsid w:val="003B72C4"/>
    <w:pPr>
      <w:spacing w:after="160" w:line="240" w:lineRule="exact"/>
    </w:pPr>
    <w:rPr>
      <w:rFonts w:ascii="Arial" w:hAnsi="Arial" w:cs="Arial"/>
      <w:sz w:val="20"/>
      <w:szCs w:val="20"/>
      <w:lang w:val="en-US" w:eastAsia="en-US"/>
    </w:rPr>
  </w:style>
  <w:style w:type="paragraph" w:customStyle="1" w:styleId="a0">
    <w:name w:val="Знак Знак"/>
    <w:basedOn w:val="Normal"/>
    <w:link w:val="Char0"/>
    <w:rsid w:val="003B72C4"/>
    <w:pPr>
      <w:spacing w:after="160" w:line="240" w:lineRule="exact"/>
    </w:pPr>
    <w:rPr>
      <w:rFonts w:ascii="Arial" w:hAnsi="Arial" w:cs="Arial"/>
      <w:sz w:val="20"/>
      <w:szCs w:val="20"/>
      <w:lang w:val="en-US" w:eastAsia="en-US"/>
    </w:rPr>
  </w:style>
  <w:style w:type="paragraph" w:customStyle="1" w:styleId="Char9">
    <w:name w:val="Char9"/>
    <w:basedOn w:val="Normal"/>
    <w:rsid w:val="003B72C4"/>
    <w:pPr>
      <w:spacing w:after="160" w:line="240" w:lineRule="exact"/>
    </w:pPr>
    <w:rPr>
      <w:rFonts w:ascii="Arial" w:hAnsi="Arial" w:cs="Arial"/>
      <w:sz w:val="20"/>
      <w:szCs w:val="20"/>
      <w:lang w:val="en-US" w:eastAsia="en-US"/>
    </w:rPr>
  </w:style>
  <w:style w:type="paragraph" w:customStyle="1" w:styleId="Style1">
    <w:name w:val="Style1"/>
    <w:basedOn w:val="Normal"/>
    <w:link w:val="Style1Char"/>
    <w:qFormat/>
    <w:rsid w:val="003B72C4"/>
    <w:pPr>
      <w:widowControl w:val="0"/>
      <w:autoSpaceDE w:val="0"/>
      <w:autoSpaceDN w:val="0"/>
      <w:adjustRightInd w:val="0"/>
    </w:pPr>
    <w:rPr>
      <w:rFonts w:ascii="Sylfaen" w:hAnsi="Sylfaen"/>
      <w:lang w:val="en-US" w:eastAsia="en-US"/>
    </w:rPr>
  </w:style>
  <w:style w:type="paragraph" w:customStyle="1" w:styleId="Style2">
    <w:name w:val="Style2"/>
    <w:basedOn w:val="Normal"/>
    <w:rsid w:val="003B72C4"/>
    <w:pPr>
      <w:widowControl w:val="0"/>
      <w:autoSpaceDE w:val="0"/>
      <w:autoSpaceDN w:val="0"/>
      <w:adjustRightInd w:val="0"/>
    </w:pPr>
    <w:rPr>
      <w:rFonts w:ascii="Sylfaen" w:hAnsi="Sylfaen"/>
      <w:lang w:val="en-US" w:eastAsia="en-US"/>
    </w:rPr>
  </w:style>
  <w:style w:type="paragraph" w:customStyle="1" w:styleId="Style3">
    <w:name w:val="Style3"/>
    <w:basedOn w:val="Normal"/>
    <w:rsid w:val="003B72C4"/>
    <w:pPr>
      <w:widowControl w:val="0"/>
      <w:autoSpaceDE w:val="0"/>
      <w:autoSpaceDN w:val="0"/>
      <w:adjustRightInd w:val="0"/>
    </w:pPr>
    <w:rPr>
      <w:rFonts w:ascii="Sylfaen" w:hAnsi="Sylfaen"/>
      <w:lang w:val="en-US" w:eastAsia="en-US"/>
    </w:rPr>
  </w:style>
  <w:style w:type="paragraph" w:customStyle="1" w:styleId="Style4">
    <w:name w:val="Style4"/>
    <w:basedOn w:val="Normal"/>
    <w:rsid w:val="003B72C4"/>
    <w:pPr>
      <w:widowControl w:val="0"/>
      <w:autoSpaceDE w:val="0"/>
      <w:autoSpaceDN w:val="0"/>
      <w:adjustRightInd w:val="0"/>
    </w:pPr>
    <w:rPr>
      <w:rFonts w:ascii="Sylfaen" w:hAnsi="Sylfaen"/>
      <w:lang w:val="en-US" w:eastAsia="en-US"/>
    </w:rPr>
  </w:style>
  <w:style w:type="paragraph" w:customStyle="1" w:styleId="CharCharCharChar">
    <w:name w:val="Char Char Char Char"/>
    <w:basedOn w:val="Normal"/>
    <w:rsid w:val="003B72C4"/>
    <w:pPr>
      <w:spacing w:after="160" w:line="240" w:lineRule="exact"/>
    </w:pPr>
    <w:rPr>
      <w:rFonts w:ascii="Arial" w:hAnsi="Arial" w:cs="Arial"/>
      <w:sz w:val="20"/>
      <w:szCs w:val="20"/>
      <w:lang w:val="en-US" w:eastAsia="en-US"/>
    </w:rPr>
  </w:style>
  <w:style w:type="paragraph" w:customStyle="1" w:styleId="Text">
    <w:name w:val="Text"/>
    <w:basedOn w:val="Normal"/>
    <w:link w:val="TextChar"/>
    <w:autoRedefine/>
    <w:rsid w:val="0002358C"/>
    <w:pPr>
      <w:numPr>
        <w:numId w:val="3"/>
      </w:numPr>
      <w:overflowPunct w:val="0"/>
      <w:autoSpaceDE w:val="0"/>
      <w:autoSpaceDN w:val="0"/>
      <w:adjustRightInd w:val="0"/>
      <w:spacing w:after="220"/>
    </w:pPr>
    <w:rPr>
      <w:szCs w:val="20"/>
      <w:lang w:val="en-GB" w:eastAsia="en-US"/>
    </w:rPr>
  </w:style>
  <w:style w:type="character" w:customStyle="1" w:styleId="FontStyle11">
    <w:name w:val="Font Style11"/>
    <w:rsid w:val="003B72C4"/>
    <w:rPr>
      <w:rFonts w:ascii="Sylfaen" w:hAnsi="Sylfaen" w:cs="Sylfaen" w:hint="default"/>
      <w:b/>
      <w:bCs/>
      <w:sz w:val="26"/>
      <w:szCs w:val="26"/>
    </w:rPr>
  </w:style>
  <w:style w:type="character" w:customStyle="1" w:styleId="FontStyle12">
    <w:name w:val="Font Style12"/>
    <w:rsid w:val="003B72C4"/>
    <w:rPr>
      <w:rFonts w:ascii="Sylfaen" w:hAnsi="Sylfaen" w:cs="Sylfaen" w:hint="default"/>
      <w:b/>
      <w:bCs/>
      <w:spacing w:val="10"/>
      <w:sz w:val="32"/>
      <w:szCs w:val="32"/>
    </w:rPr>
  </w:style>
  <w:style w:type="character" w:customStyle="1" w:styleId="FontStyle13">
    <w:name w:val="Font Style13"/>
    <w:rsid w:val="003B72C4"/>
    <w:rPr>
      <w:rFonts w:ascii="Sylfaen" w:hAnsi="Sylfaen" w:cs="Sylfaen" w:hint="default"/>
      <w:b/>
      <w:bCs/>
      <w:sz w:val="14"/>
      <w:szCs w:val="14"/>
    </w:rPr>
  </w:style>
  <w:style w:type="character" w:customStyle="1" w:styleId="FontStyle14">
    <w:name w:val="Font Style14"/>
    <w:rsid w:val="003B72C4"/>
    <w:rPr>
      <w:rFonts w:ascii="Sylfaen" w:hAnsi="Sylfaen" w:cs="Sylfaen" w:hint="default"/>
      <w:b/>
      <w:bCs/>
      <w:sz w:val="16"/>
      <w:szCs w:val="16"/>
    </w:rPr>
  </w:style>
  <w:style w:type="character" w:customStyle="1" w:styleId="Heading3CharCharCharCharCharCharChar">
    <w:name w:val="Heading 3 Char Char Char Char Char Char Char"/>
    <w:rsid w:val="003B72C4"/>
    <w:rPr>
      <w:rFonts w:ascii="Times Armenian" w:hAnsi="Times Armenian" w:hint="default"/>
      <w:b/>
      <w:bCs/>
      <w:sz w:val="24"/>
      <w:szCs w:val="24"/>
      <w:lang w:val="en-GB" w:eastAsia="en-US" w:bidi="ar-SA"/>
    </w:rPr>
  </w:style>
  <w:style w:type="character" w:styleId="FollowedHyperlink">
    <w:name w:val="FollowedHyperlink"/>
    <w:rsid w:val="003B72C4"/>
    <w:rPr>
      <w:color w:val="0000FF"/>
      <w:u w:val="single"/>
    </w:rPr>
  </w:style>
  <w:style w:type="paragraph" w:styleId="BalloonText">
    <w:name w:val="Balloon Text"/>
    <w:basedOn w:val="Normal"/>
    <w:link w:val="BalloonTextChar"/>
    <w:rsid w:val="000776D9"/>
    <w:rPr>
      <w:rFonts w:ascii="Tahoma" w:hAnsi="Tahoma" w:cs="Tahoma"/>
      <w:sz w:val="16"/>
      <w:szCs w:val="16"/>
    </w:r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List Paragraph11,Ha,OBC Bullet,lp"/>
    <w:basedOn w:val="Normal"/>
    <w:link w:val="ListParagraphChar"/>
    <w:uiPriority w:val="34"/>
    <w:qFormat/>
    <w:rsid w:val="00DA54A9"/>
    <w:pPr>
      <w:ind w:left="720"/>
    </w:pPr>
  </w:style>
  <w:style w:type="paragraph" w:customStyle="1" w:styleId="CM2">
    <w:name w:val="CM2"/>
    <w:basedOn w:val="Normal"/>
    <w:next w:val="Normal"/>
    <w:rsid w:val="00093193"/>
    <w:pPr>
      <w:widowControl w:val="0"/>
      <w:autoSpaceDE w:val="0"/>
      <w:autoSpaceDN w:val="0"/>
      <w:adjustRightInd w:val="0"/>
      <w:spacing w:line="356" w:lineRule="atLeast"/>
    </w:pPr>
    <w:rPr>
      <w:rFonts w:ascii="Arial Armenian" w:hAnsi="Arial Armenian"/>
      <w:lang w:val="en-US" w:eastAsia="en-US"/>
    </w:rPr>
  </w:style>
  <w:style w:type="paragraph" w:customStyle="1" w:styleId="Default">
    <w:name w:val="Default"/>
    <w:link w:val="DefaultChar"/>
    <w:rsid w:val="00193290"/>
    <w:pPr>
      <w:widowControl w:val="0"/>
      <w:autoSpaceDE w:val="0"/>
      <w:autoSpaceDN w:val="0"/>
      <w:adjustRightInd w:val="0"/>
    </w:pPr>
    <w:rPr>
      <w:rFonts w:ascii="Sylfaen" w:hAnsi="Sylfaen" w:cs="Sylfaen"/>
      <w:color w:val="000000"/>
      <w:sz w:val="24"/>
      <w:szCs w:val="24"/>
    </w:rPr>
  </w:style>
  <w:style w:type="paragraph" w:customStyle="1" w:styleId="CM32">
    <w:name w:val="CM32"/>
    <w:basedOn w:val="Normal"/>
    <w:next w:val="Normal"/>
    <w:rsid w:val="00B16699"/>
    <w:pPr>
      <w:widowControl w:val="0"/>
      <w:autoSpaceDE w:val="0"/>
      <w:autoSpaceDN w:val="0"/>
      <w:adjustRightInd w:val="0"/>
      <w:spacing w:after="233"/>
    </w:pPr>
    <w:rPr>
      <w:rFonts w:ascii="Arial Armenian" w:hAnsi="Arial Armenian"/>
      <w:lang w:val="en-US" w:eastAsia="en-US"/>
    </w:rPr>
  </w:style>
  <w:style w:type="paragraph" w:customStyle="1" w:styleId="CM4">
    <w:name w:val="CM4"/>
    <w:basedOn w:val="Default"/>
    <w:next w:val="Default"/>
    <w:uiPriority w:val="99"/>
    <w:rsid w:val="00627DFA"/>
    <w:pPr>
      <w:spacing w:line="248" w:lineRule="atLeast"/>
    </w:pPr>
    <w:rPr>
      <w:rFonts w:ascii="Arial Armenian" w:hAnsi="Arial Armenian" w:cs="Times New Roman"/>
      <w:color w:val="auto"/>
    </w:rPr>
  </w:style>
  <w:style w:type="paragraph" w:customStyle="1" w:styleId="1">
    <w:name w:val="Знак Знак1"/>
    <w:basedOn w:val="Normal"/>
    <w:rsid w:val="005769C1"/>
    <w:pPr>
      <w:spacing w:after="160" w:line="240" w:lineRule="exact"/>
    </w:pPr>
    <w:rPr>
      <w:rFonts w:ascii="Arial" w:hAnsi="Arial" w:cs="Arial"/>
      <w:sz w:val="20"/>
      <w:szCs w:val="20"/>
      <w:lang w:val="en-GB" w:eastAsia="en-US"/>
    </w:rPr>
  </w:style>
  <w:style w:type="paragraph" w:customStyle="1" w:styleId="2">
    <w:name w:val="Знак Знак2"/>
    <w:basedOn w:val="Normal"/>
    <w:rsid w:val="00A836D7"/>
    <w:pPr>
      <w:spacing w:after="160"/>
      <w:ind w:firstLine="709"/>
    </w:pPr>
    <w:rPr>
      <w:rFonts w:ascii="Arial AMU" w:hAnsi="Arial AMU" w:cs="Arial"/>
      <w:szCs w:val="20"/>
      <w:lang w:val="en-US" w:eastAsia="en-US"/>
    </w:rPr>
  </w:style>
  <w:style w:type="paragraph" w:customStyle="1" w:styleId="14">
    <w:name w:val="Знак Знак14"/>
    <w:basedOn w:val="Normal"/>
    <w:rsid w:val="00513314"/>
    <w:pPr>
      <w:spacing w:after="160" w:line="240" w:lineRule="exact"/>
    </w:pPr>
    <w:rPr>
      <w:rFonts w:ascii="Arial" w:hAnsi="Arial" w:cs="Arial"/>
      <w:sz w:val="20"/>
      <w:szCs w:val="20"/>
      <w:lang w:val="en-GB" w:eastAsia="en-US"/>
    </w:rPr>
  </w:style>
  <w:style w:type="paragraph" w:customStyle="1" w:styleId="CharCharCharCharCharCharCharCharCharCharChar">
    <w:name w:val="Char Char Char Знак Char Char Char Char Char Знак Char Char Char"/>
    <w:basedOn w:val="Normal"/>
    <w:rsid w:val="004900E7"/>
    <w:pPr>
      <w:spacing w:after="160" w:line="240" w:lineRule="exact"/>
    </w:pPr>
    <w:rPr>
      <w:rFonts w:ascii="Arial" w:hAnsi="Arial" w:cs="Arial"/>
      <w:sz w:val="20"/>
      <w:szCs w:val="20"/>
      <w:lang w:val="en-US" w:eastAsia="en-US"/>
    </w:rPr>
  </w:style>
  <w:style w:type="paragraph" w:customStyle="1" w:styleId="mechtex">
    <w:name w:val="mechtex"/>
    <w:basedOn w:val="Normal"/>
    <w:link w:val="mechtexChar"/>
    <w:rsid w:val="00C719CB"/>
    <w:pPr>
      <w:jc w:val="center"/>
    </w:pPr>
    <w:rPr>
      <w:rFonts w:ascii="Arial Armenian" w:hAnsi="Arial Armenian"/>
      <w:szCs w:val="20"/>
      <w:lang w:val="en-US"/>
    </w:rPr>
  </w:style>
  <w:style w:type="character" w:customStyle="1" w:styleId="mechtexChar">
    <w:name w:val="mechtex Char"/>
    <w:link w:val="mechtex"/>
    <w:rsid w:val="00C719CB"/>
    <w:rPr>
      <w:rFonts w:ascii="Arial Armenian" w:hAnsi="Arial Armenian"/>
      <w:sz w:val="22"/>
      <w:lang w:val="en-US" w:eastAsia="ru-RU" w:bidi="ar-SA"/>
    </w:rPr>
  </w:style>
  <w:style w:type="character" w:styleId="Strong">
    <w:name w:val="Strong"/>
    <w:qFormat/>
    <w:rsid w:val="003A5A6F"/>
    <w:rPr>
      <w:b/>
      <w:bCs/>
    </w:rPr>
  </w:style>
  <w:style w:type="character" w:customStyle="1" w:styleId="apple-converted-space">
    <w:name w:val="apple-converted-space"/>
    <w:rsid w:val="00680C30"/>
  </w:style>
  <w:style w:type="paragraph" w:styleId="DocumentMap">
    <w:name w:val="Document Map"/>
    <w:basedOn w:val="Normal"/>
    <w:link w:val="DocumentMapChar"/>
    <w:uiPriority w:val="99"/>
    <w:rsid w:val="00A503EB"/>
    <w:pPr>
      <w:shd w:val="clear" w:color="auto" w:fill="000080"/>
    </w:pPr>
    <w:rPr>
      <w:rFonts w:ascii="Tahoma" w:hAnsi="Tahoma" w:cs="Tahoma"/>
      <w:sz w:val="20"/>
      <w:szCs w:val="20"/>
    </w:rPr>
  </w:style>
  <w:style w:type="paragraph" w:customStyle="1" w:styleId="CharCharChar">
    <w:name w:val="Char Char Char Знак"/>
    <w:basedOn w:val="Normal"/>
    <w:next w:val="Normal"/>
    <w:rsid w:val="002A51A9"/>
    <w:pPr>
      <w:spacing w:after="160" w:line="240" w:lineRule="exact"/>
    </w:pPr>
    <w:rPr>
      <w:rFonts w:ascii="Tahoma" w:hAnsi="Tahoma"/>
      <w:szCs w:val="20"/>
      <w:lang w:val="en-US" w:eastAsia="en-US"/>
    </w:rPr>
  </w:style>
  <w:style w:type="paragraph" w:customStyle="1" w:styleId="Graphic">
    <w:name w:val="Graphic"/>
    <w:basedOn w:val="Normal"/>
    <w:rsid w:val="00C947B2"/>
    <w:pPr>
      <w:keepNext/>
      <w:overflowPunct w:val="0"/>
      <w:autoSpaceDE w:val="0"/>
      <w:autoSpaceDN w:val="0"/>
      <w:adjustRightInd w:val="0"/>
      <w:spacing w:after="130"/>
      <w:jc w:val="center"/>
      <w:textAlignment w:val="baseline"/>
    </w:pPr>
    <w:rPr>
      <w:szCs w:val="20"/>
      <w:lang w:val="en-GB" w:eastAsia="en-US"/>
    </w:rPr>
  </w:style>
  <w:style w:type="character" w:customStyle="1" w:styleId="StyleGHEAGrapalatJustifiedBefore12ptChar">
    <w:name w:val="Style GHEA Grapalat Justified Before:  12 pt Char"/>
    <w:link w:val="StyleGHEAGrapalatJustifiedBefore12pt"/>
    <w:locked/>
    <w:rsid w:val="00E472EB"/>
    <w:rPr>
      <w:rFonts w:ascii="GHEA Grapalat" w:hAnsi="GHEA Grapalat"/>
      <w:b/>
      <w:noProof/>
      <w:sz w:val="22"/>
      <w:lang w:val="ru-RU" w:eastAsia="ru-RU"/>
    </w:rPr>
  </w:style>
  <w:style w:type="paragraph" w:customStyle="1" w:styleId="StyleGHEAGrapalatJustifiedBefore12pt">
    <w:name w:val="Style GHEA Grapalat Justified Before:  12 pt"/>
    <w:basedOn w:val="Normal"/>
    <w:link w:val="StyleGHEAGrapalatJustifiedBefore12ptChar"/>
    <w:rsid w:val="00E472EB"/>
    <w:pPr>
      <w:numPr>
        <w:numId w:val="1"/>
      </w:numPr>
      <w:spacing w:before="240" w:after="240"/>
    </w:pPr>
    <w:rPr>
      <w:noProof/>
      <w:szCs w:val="20"/>
    </w:rPr>
  </w:style>
  <w:style w:type="paragraph" w:customStyle="1" w:styleId="Bullet1">
    <w:name w:val="Bullet 1"/>
    <w:basedOn w:val="Normal"/>
    <w:autoRedefine/>
    <w:qFormat/>
    <w:rsid w:val="004D4C68"/>
    <w:pPr>
      <w:numPr>
        <w:numId w:val="13"/>
      </w:numPr>
      <w:tabs>
        <w:tab w:val="left" w:pos="851"/>
      </w:tabs>
      <w:overflowPunct w:val="0"/>
      <w:autoSpaceDE w:val="0"/>
      <w:autoSpaceDN w:val="0"/>
      <w:adjustRightInd w:val="0"/>
      <w:spacing w:before="0"/>
      <w:ind w:left="1248" w:hanging="397"/>
      <w:textAlignment w:val="baseline"/>
    </w:pPr>
    <w:rPr>
      <w:b w:val="0"/>
      <w:szCs w:val="20"/>
      <w:lang w:val="en-GB" w:eastAsia="en-US"/>
    </w:rPr>
  </w:style>
  <w:style w:type="character" w:customStyle="1" w:styleId="longtext">
    <w:name w:val="long_text"/>
    <w:basedOn w:val="DefaultParagraphFont"/>
    <w:rsid w:val="00115664"/>
  </w:style>
  <w:style w:type="character" w:customStyle="1" w:styleId="CharChar6">
    <w:name w:val="Char Char6"/>
    <w:uiPriority w:val="99"/>
    <w:rsid w:val="00B5740E"/>
    <w:rPr>
      <w:rFonts w:ascii="Arial Armenian" w:hAnsi="Arial Armenian" w:cs="Arial Armenian"/>
      <w:b/>
      <w:bCs/>
      <w:sz w:val="18"/>
      <w:szCs w:val="18"/>
      <w:lang w:eastAsia="ru-RU"/>
    </w:rPr>
  </w:style>
  <w:style w:type="character" w:customStyle="1" w:styleId="BodyTextIndentChar">
    <w:name w:val="Body Text Indent Char"/>
    <w:aliases w:val=" (Table Source) Char,(Table Source) Char,(Table Source)1 Char,(Table Source)11 Char,Body Text 21 Char"/>
    <w:link w:val="BodyTextIndent"/>
    <w:rsid w:val="00275883"/>
    <w:rPr>
      <w:rFonts w:ascii="Arial Armenian" w:hAnsi="Arial Armenian"/>
      <w:sz w:val="24"/>
      <w:szCs w:val="24"/>
      <w:lang w:eastAsia="ru-RU"/>
    </w:rPr>
  </w:style>
  <w:style w:type="character" w:customStyle="1" w:styleId="BodyTextChar">
    <w:name w:val="Body Text Char"/>
    <w:aliases w:val="(Main Text) Char,date Char,Body Text (Main text) Char"/>
    <w:link w:val="BodyText"/>
    <w:locked/>
    <w:rsid w:val="007F6A4C"/>
    <w:rPr>
      <w:rFonts w:ascii="Times Armenian" w:hAnsi="Times Armenian"/>
      <w:sz w:val="52"/>
      <w:lang w:eastAsia="ru-RU"/>
    </w:rPr>
  </w:style>
  <w:style w:type="character" w:customStyle="1" w:styleId="FooterChar">
    <w:name w:val="Footer Char"/>
    <w:link w:val="Footer"/>
    <w:uiPriority w:val="99"/>
    <w:rsid w:val="00F52B25"/>
    <w:rPr>
      <w:sz w:val="24"/>
      <w:szCs w:val="24"/>
      <w:lang w:val="ru-RU" w:eastAsia="ru-RU"/>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List Paragraph11 Char"/>
    <w:link w:val="ListParagraph"/>
    <w:uiPriority w:val="34"/>
    <w:qFormat/>
    <w:locked/>
    <w:rsid w:val="00C3777C"/>
    <w:rPr>
      <w:sz w:val="24"/>
      <w:szCs w:val="24"/>
    </w:rPr>
  </w:style>
  <w:style w:type="paragraph" w:styleId="BodyTextIndent3">
    <w:name w:val="Body Text Indent 3"/>
    <w:basedOn w:val="Normal"/>
    <w:link w:val="BodyTextIndent3Char"/>
    <w:rsid w:val="00101E4C"/>
    <w:pPr>
      <w:spacing w:after="120"/>
      <w:ind w:left="360"/>
    </w:pPr>
    <w:rPr>
      <w:sz w:val="16"/>
      <w:szCs w:val="16"/>
    </w:rPr>
  </w:style>
  <w:style w:type="character" w:customStyle="1" w:styleId="BodyTextIndent3Char">
    <w:name w:val="Body Text Indent 3 Char"/>
    <w:link w:val="BodyTextIndent3"/>
    <w:rsid w:val="00101E4C"/>
    <w:rPr>
      <w:sz w:val="16"/>
      <w:szCs w:val="16"/>
      <w:lang w:val="ru-RU" w:eastAsia="ru-RU"/>
    </w:rPr>
  </w:style>
  <w:style w:type="paragraph" w:styleId="Title">
    <w:name w:val="Title"/>
    <w:basedOn w:val="Normal"/>
    <w:next w:val="Normal"/>
    <w:link w:val="TitleChar"/>
    <w:autoRedefine/>
    <w:qFormat/>
    <w:rsid w:val="00D6329B"/>
    <w:pPr>
      <w:spacing w:before="720" w:after="720"/>
      <w:jc w:val="center"/>
      <w:outlineLvl w:val="0"/>
    </w:pPr>
    <w:rPr>
      <w:b w:val="0"/>
      <w:bCs/>
      <w:kern w:val="28"/>
      <w:sz w:val="32"/>
      <w:szCs w:val="32"/>
    </w:rPr>
  </w:style>
  <w:style w:type="character" w:customStyle="1" w:styleId="TitleChar">
    <w:name w:val="Title Char"/>
    <w:link w:val="Title"/>
    <w:rsid w:val="00D6329B"/>
    <w:rPr>
      <w:rFonts w:ascii="GHEA Grapalat" w:hAnsi="GHEA Grapalat"/>
      <w:b/>
      <w:bCs/>
      <w:kern w:val="28"/>
      <w:sz w:val="32"/>
      <w:szCs w:val="32"/>
      <w:lang w:val="ru-RU" w:eastAsia="ru-RU"/>
    </w:rPr>
  </w:style>
  <w:style w:type="paragraph" w:styleId="TOC2">
    <w:name w:val="toc 2"/>
    <w:basedOn w:val="Normal"/>
    <w:next w:val="Normal"/>
    <w:autoRedefine/>
    <w:uiPriority w:val="39"/>
    <w:qFormat/>
    <w:rsid w:val="007F21D5"/>
    <w:pPr>
      <w:tabs>
        <w:tab w:val="left" w:pos="1134"/>
        <w:tab w:val="left" w:pos="1276"/>
        <w:tab w:val="right" w:leader="dot" w:pos="10065"/>
      </w:tabs>
      <w:spacing w:after="100"/>
      <w:ind w:left="284"/>
      <w:jc w:val="left"/>
    </w:pPr>
  </w:style>
  <w:style w:type="paragraph" w:styleId="TOC1">
    <w:name w:val="toc 1"/>
    <w:basedOn w:val="Normal"/>
    <w:next w:val="Normal"/>
    <w:autoRedefine/>
    <w:uiPriority w:val="39"/>
    <w:qFormat/>
    <w:rsid w:val="003F3E0E"/>
    <w:pPr>
      <w:tabs>
        <w:tab w:val="right" w:leader="dot" w:pos="10065"/>
      </w:tabs>
      <w:spacing w:after="100"/>
    </w:pPr>
  </w:style>
  <w:style w:type="paragraph" w:styleId="TOC3">
    <w:name w:val="toc 3"/>
    <w:basedOn w:val="Normal"/>
    <w:next w:val="Normal"/>
    <w:autoRedefine/>
    <w:uiPriority w:val="39"/>
    <w:qFormat/>
    <w:rsid w:val="009F1388"/>
    <w:pPr>
      <w:tabs>
        <w:tab w:val="left" w:pos="1276"/>
        <w:tab w:val="right" w:leader="dot" w:pos="10055"/>
      </w:tabs>
      <w:spacing w:after="100"/>
      <w:ind w:left="567"/>
      <w:jc w:val="left"/>
    </w:pPr>
  </w:style>
  <w:style w:type="paragraph" w:customStyle="1" w:styleId="Tables">
    <w:name w:val="Tables"/>
    <w:basedOn w:val="Normal"/>
    <w:autoRedefine/>
    <w:qFormat/>
    <w:rsid w:val="00866D50"/>
    <w:pPr>
      <w:keepNext/>
      <w:numPr>
        <w:numId w:val="16"/>
      </w:numPr>
      <w:spacing w:before="0"/>
      <w:ind w:hanging="1350"/>
      <w:jc w:val="left"/>
    </w:pPr>
    <w:rPr>
      <w:rFonts w:cs="Sylfaen"/>
      <w:szCs w:val="22"/>
      <w:lang w:val="af-ZA"/>
    </w:rPr>
  </w:style>
  <w:style w:type="paragraph" w:customStyle="1" w:styleId="Charts">
    <w:name w:val="Charts"/>
    <w:basedOn w:val="Normal"/>
    <w:autoRedefine/>
    <w:qFormat/>
    <w:rsid w:val="00263EE6"/>
    <w:pPr>
      <w:keepNext/>
      <w:numPr>
        <w:numId w:val="17"/>
      </w:numPr>
      <w:tabs>
        <w:tab w:val="left" w:pos="795"/>
      </w:tabs>
      <w:spacing w:before="360" w:after="120" w:line="240" w:lineRule="auto"/>
    </w:pPr>
    <w:rPr>
      <w:rFonts w:cs="Sylfaen"/>
      <w:szCs w:val="22"/>
      <w:u w:val="single"/>
      <w:lang w:val="it-IT"/>
    </w:rPr>
  </w:style>
  <w:style w:type="paragraph" w:styleId="Caption">
    <w:name w:val="caption"/>
    <w:aliases w:val="(Table Title),(Table Title) Char Char Char Char Char Char Char Char Char Char, (Table Title), (Table Title) Char Char Char Char Char Char Char Char Char Char"/>
    <w:basedOn w:val="Normal"/>
    <w:next w:val="Normal"/>
    <w:uiPriority w:val="35"/>
    <w:unhideWhenUsed/>
    <w:qFormat/>
    <w:rsid w:val="00C93040"/>
    <w:pPr>
      <w:spacing w:after="200"/>
    </w:pPr>
    <w:rPr>
      <w:b w:val="0"/>
      <w:bCs/>
      <w:color w:val="4F81BD" w:themeColor="accent1"/>
      <w:sz w:val="18"/>
      <w:szCs w:val="18"/>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uiPriority w:val="99"/>
    <w:qFormat/>
    <w:rsid w:val="00BB1F69"/>
    <w:rPr>
      <w:rFonts w:ascii="Arial Armenian" w:hAnsi="Arial Armenian"/>
      <w:sz w:val="20"/>
      <w:szCs w:val="20"/>
      <w:vertAlign w:val="superscript"/>
    </w:rPr>
  </w:style>
  <w:style w:type="paragraph" w:styleId="FootnoteText">
    <w:name w:val="footnote text"/>
    <w:aliases w:val="fn,ADB,single space,footnote text Char,fn Char,ADB Char,single space Char Char,footnote text,FOOTNOTES Char,FOOTNOTES Char Char Char,FOOTNOTES,Footnote Text Char Char Char,Footnote Text Char Char Char Char Char,f,Footnote Text Char2 Char"/>
    <w:basedOn w:val="Normal"/>
    <w:link w:val="FootnoteTextChar1"/>
    <w:autoRedefine/>
    <w:qFormat/>
    <w:rsid w:val="00DE6C7D"/>
    <w:pPr>
      <w:spacing w:before="0" w:line="240" w:lineRule="auto"/>
    </w:pPr>
    <w:rPr>
      <w:b w:val="0"/>
      <w:iCs/>
      <w:sz w:val="16"/>
      <w:szCs w:val="16"/>
      <w:lang w:val="en-GB" w:eastAsia="en-US"/>
    </w:rPr>
  </w:style>
  <w:style w:type="character" w:customStyle="1" w:styleId="FootnoteTextChar">
    <w:name w:val="Footnote Text Char"/>
    <w:aliases w:val="footnote text Char3,FOOTNOTES Char Char1,FOOTNOTES Char Char Char Char1,FOOTNOTES Char2,Footnote Text Char2 Char Char,fn Char2,ADB Char2,single space Char1,footnote text Char Char1,fn Char Char1,ADB Char Char1,footnote text Char2"/>
    <w:basedOn w:val="DefaultParagraphFont"/>
    <w:uiPriority w:val="99"/>
    <w:rsid w:val="00BB1F69"/>
    <w:rPr>
      <w:lang w:val="ru-RU" w:eastAsia="ru-RU"/>
    </w:rPr>
  </w:style>
  <w:style w:type="character" w:customStyle="1" w:styleId="FootnoteTextChar1">
    <w:name w:val="Footnote Text Char1"/>
    <w:aliases w:val="fn Char1,ADB Char1,single space Char,footnote text Char Char,fn Char Char,ADB Char Char,single space Char Char Char,footnote text Char1,FOOTNOTES Char Char,FOOTNOTES Char Char Char Char,FOOTNOTES Char1,f Char"/>
    <w:link w:val="FootnoteText"/>
    <w:rsid w:val="00DE6C7D"/>
    <w:rPr>
      <w:rFonts w:ascii="GHEA Grapalat" w:hAnsi="GHEA Grapalat"/>
      <w:iCs/>
      <w:sz w:val="16"/>
      <w:szCs w:val="16"/>
      <w:lang w:val="en-GB"/>
    </w:rPr>
  </w:style>
  <w:style w:type="paragraph" w:styleId="Revision">
    <w:name w:val="Revision"/>
    <w:hidden/>
    <w:uiPriority w:val="99"/>
    <w:semiHidden/>
    <w:rsid w:val="00E759BC"/>
    <w:rPr>
      <w:sz w:val="24"/>
      <w:szCs w:val="24"/>
      <w:lang w:val="ru-RU" w:eastAsia="ru-RU"/>
    </w:rPr>
  </w:style>
  <w:style w:type="paragraph" w:customStyle="1" w:styleId="Bullet2">
    <w:name w:val="Bullet 2"/>
    <w:basedOn w:val="Normal"/>
    <w:autoRedefine/>
    <w:qFormat/>
    <w:rsid w:val="00530B17"/>
    <w:pPr>
      <w:widowControl w:val="0"/>
      <w:spacing w:before="0"/>
      <w:ind w:firstLine="630"/>
    </w:pPr>
    <w:rPr>
      <w:rFonts w:eastAsia="Calibri" w:cs="Sylfaen"/>
      <w:b w:val="0"/>
      <w:szCs w:val="22"/>
      <w:lang w:val="af-ZA"/>
    </w:rPr>
  </w:style>
  <w:style w:type="paragraph" w:customStyle="1" w:styleId="StyleLeft1cmFirstline0cmRight032cm">
    <w:name w:val="Style Left:  1 cm First line:  0 cm Right:  0.32 cm"/>
    <w:basedOn w:val="Normal"/>
    <w:autoRedefine/>
    <w:rsid w:val="00735DDA"/>
    <w:pPr>
      <w:ind w:left="567" w:right="180"/>
    </w:pPr>
    <w:rPr>
      <w:szCs w:val="20"/>
    </w:rPr>
  </w:style>
  <w:style w:type="character" w:styleId="CommentReference">
    <w:name w:val="annotation reference"/>
    <w:basedOn w:val="DefaultParagraphFont"/>
    <w:uiPriority w:val="99"/>
    <w:rsid w:val="00FA0FC3"/>
    <w:rPr>
      <w:sz w:val="16"/>
      <w:szCs w:val="16"/>
    </w:rPr>
  </w:style>
  <w:style w:type="paragraph" w:styleId="CommentText">
    <w:name w:val="annotation text"/>
    <w:basedOn w:val="Normal"/>
    <w:link w:val="CommentTextChar"/>
    <w:uiPriority w:val="99"/>
    <w:rsid w:val="00FA0FC3"/>
    <w:pPr>
      <w:spacing w:line="240" w:lineRule="auto"/>
    </w:pPr>
    <w:rPr>
      <w:sz w:val="20"/>
      <w:szCs w:val="20"/>
    </w:rPr>
  </w:style>
  <w:style w:type="character" w:customStyle="1" w:styleId="CommentTextChar">
    <w:name w:val="Comment Text Char"/>
    <w:basedOn w:val="DefaultParagraphFont"/>
    <w:link w:val="CommentText"/>
    <w:uiPriority w:val="99"/>
    <w:rsid w:val="00FA0FC3"/>
    <w:rPr>
      <w:rFonts w:ascii="GHEA Grapalat" w:hAnsi="GHEA Grapalat"/>
      <w:lang w:val="ru-RU" w:eastAsia="ru-RU"/>
    </w:rPr>
  </w:style>
  <w:style w:type="paragraph" w:styleId="CommentSubject">
    <w:name w:val="annotation subject"/>
    <w:basedOn w:val="CommentText"/>
    <w:next w:val="CommentText"/>
    <w:link w:val="CommentSubjectChar"/>
    <w:uiPriority w:val="99"/>
    <w:rsid w:val="00FA0FC3"/>
    <w:rPr>
      <w:b w:val="0"/>
      <w:bCs/>
    </w:rPr>
  </w:style>
  <w:style w:type="character" w:customStyle="1" w:styleId="CommentSubjectChar">
    <w:name w:val="Comment Subject Char"/>
    <w:basedOn w:val="CommentTextChar"/>
    <w:link w:val="CommentSubject"/>
    <w:uiPriority w:val="99"/>
    <w:rsid w:val="00FA0FC3"/>
    <w:rPr>
      <w:rFonts w:ascii="GHEA Grapalat" w:hAnsi="GHEA Grapalat"/>
      <w:b/>
      <w:bCs/>
      <w:lang w:val="ru-RU" w:eastAsia="ru-RU"/>
    </w:rPr>
  </w:style>
  <w:style w:type="character" w:customStyle="1" w:styleId="Heading5Char">
    <w:name w:val="Heading 5 Char"/>
    <w:aliases w:val="Side Char"/>
    <w:basedOn w:val="DefaultParagraphFont"/>
    <w:link w:val="Heading5"/>
    <w:rsid w:val="00785686"/>
    <w:rPr>
      <w:rFonts w:ascii="GHEA Grapalat" w:hAnsi="GHEA Grapalat"/>
      <w:b/>
      <w:bCs/>
      <w:i/>
      <w:spacing w:val="60"/>
      <w:sz w:val="22"/>
      <w:lang w:val="hy-AM"/>
    </w:rPr>
  </w:style>
  <w:style w:type="character" w:customStyle="1" w:styleId="Heading7Char">
    <w:name w:val="Heading 7 Char"/>
    <w:basedOn w:val="DefaultParagraphFont"/>
    <w:link w:val="Heading7"/>
    <w:rsid w:val="008E54BF"/>
    <w:rPr>
      <w:rFonts w:ascii="Times Armenian" w:hAnsi="Times Armenian"/>
      <w:spacing w:val="-5"/>
      <w:sz w:val="24"/>
      <w:shd w:val="pct5" w:color="auto" w:fill="auto"/>
      <w:lang w:val="en-GB"/>
    </w:rPr>
  </w:style>
  <w:style w:type="paragraph" w:styleId="NormalIndent">
    <w:name w:val="Normal Indent"/>
    <w:basedOn w:val="Normal"/>
    <w:rsid w:val="008E54BF"/>
    <w:pPr>
      <w:spacing w:before="0"/>
      <w:ind w:left="720"/>
    </w:pPr>
    <w:rPr>
      <w:rFonts w:ascii="Times Armenian" w:hAnsi="Times Armenian"/>
      <w:sz w:val="24"/>
      <w:lang w:val="en-US" w:eastAsia="en-US"/>
    </w:rPr>
  </w:style>
  <w:style w:type="paragraph" w:styleId="TOC4">
    <w:name w:val="toc 4"/>
    <w:basedOn w:val="Normal"/>
    <w:next w:val="Normal"/>
    <w:autoRedefine/>
    <w:uiPriority w:val="39"/>
    <w:rsid w:val="00BA2D53"/>
    <w:pPr>
      <w:tabs>
        <w:tab w:val="left" w:pos="540"/>
        <w:tab w:val="left" w:pos="960"/>
        <w:tab w:val="right" w:leader="dot" w:pos="10065"/>
      </w:tabs>
      <w:spacing w:before="0"/>
      <w:ind w:left="1134"/>
      <w:jc w:val="left"/>
    </w:pPr>
    <w:rPr>
      <w:noProof/>
      <w:sz w:val="21"/>
      <w:szCs w:val="22"/>
      <w:lang w:val="hy-AM" w:eastAsia="en-US"/>
    </w:rPr>
  </w:style>
  <w:style w:type="paragraph" w:styleId="Index1">
    <w:name w:val="index 1"/>
    <w:basedOn w:val="Normal"/>
    <w:next w:val="Normal"/>
    <w:autoRedefine/>
    <w:rsid w:val="008E54BF"/>
    <w:pPr>
      <w:spacing w:before="0" w:line="240" w:lineRule="auto"/>
      <w:ind w:left="220" w:hanging="220"/>
    </w:pPr>
  </w:style>
  <w:style w:type="paragraph" w:styleId="IndexHeading">
    <w:name w:val="index heading"/>
    <w:basedOn w:val="Normal"/>
    <w:next w:val="Index1"/>
    <w:rsid w:val="008E54BF"/>
    <w:pPr>
      <w:tabs>
        <w:tab w:val="left" w:pos="720"/>
      </w:tabs>
      <w:spacing w:before="0"/>
      <w:ind w:left="9"/>
    </w:pPr>
    <w:rPr>
      <w:rFonts w:ascii="Times Armenian" w:hAnsi="Times Armenian"/>
      <w:szCs w:val="20"/>
      <w:lang w:val="hy-AM" w:eastAsia="en-US"/>
    </w:rPr>
  </w:style>
  <w:style w:type="paragraph" w:customStyle="1" w:styleId="xl43">
    <w:name w:val="xl43"/>
    <w:basedOn w:val="Normal"/>
    <w:rsid w:val="008E54BF"/>
    <w:pPr>
      <w:pBdr>
        <w:bottom w:val="single" w:sz="4" w:space="0" w:color="auto"/>
        <w:right w:val="single" w:sz="4" w:space="0" w:color="auto"/>
      </w:pBdr>
      <w:spacing w:before="100" w:beforeAutospacing="1" w:after="100" w:afterAutospacing="1" w:line="240" w:lineRule="auto"/>
      <w:jc w:val="left"/>
      <w:textAlignment w:val="center"/>
    </w:pPr>
    <w:rPr>
      <w:rFonts w:ascii="Times Armenian" w:eastAsia="Arial Unicode MS" w:hAnsi="Times Armenian" w:cs="Arial Unicode MS"/>
      <w:szCs w:val="22"/>
      <w:lang w:val="en-US" w:eastAsia="en-US"/>
    </w:rPr>
  </w:style>
  <w:style w:type="paragraph" w:customStyle="1" w:styleId="xl44">
    <w:name w:val="xl44"/>
    <w:basedOn w:val="Normal"/>
    <w:rsid w:val="008E54BF"/>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Armenian" w:eastAsia="Arial Unicode MS" w:hAnsi="Times Armenian" w:cs="Arial Unicode MS"/>
      <w:szCs w:val="22"/>
      <w:lang w:val="en-US" w:eastAsia="en-US"/>
    </w:rPr>
  </w:style>
  <w:style w:type="character" w:styleId="EndnoteReference">
    <w:name w:val="endnote reference"/>
    <w:rsid w:val="008E54BF"/>
    <w:rPr>
      <w:vertAlign w:val="superscript"/>
    </w:rPr>
  </w:style>
  <w:style w:type="table" w:styleId="TableGrid">
    <w:name w:val="Table Grid"/>
    <w:basedOn w:val="TableNormal"/>
    <w:uiPriority w:val="39"/>
    <w:qFormat/>
    <w:rsid w:val="008E54BF"/>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8">
    <w:name w:val="Char8"/>
    <w:basedOn w:val="Normal"/>
    <w:rsid w:val="008E54BF"/>
    <w:pPr>
      <w:spacing w:before="0" w:line="240" w:lineRule="auto"/>
      <w:jc w:val="left"/>
    </w:pPr>
    <w:rPr>
      <w:rFonts w:ascii="Times New Roman" w:hAnsi="Times New Roman"/>
      <w:sz w:val="24"/>
      <w:lang w:val="pl-PL" w:eastAsia="pl-PL"/>
    </w:rPr>
  </w:style>
  <w:style w:type="character" w:customStyle="1" w:styleId="NormalWebChar">
    <w:name w:val="Normal (Web) Char"/>
    <w:aliases w:val="Обычный (веб) Знак Знак Char,Знак Знак Знак Знак Char,Обычный (веб) Знак Знак Знак Char,Знак Знак Знак1 Знак Знак Знак Знак Знак Char,Знак1 Char,Знак Char,webb Char, webb Char"/>
    <w:link w:val="NormalWeb"/>
    <w:locked/>
    <w:rsid w:val="008E54BF"/>
    <w:rPr>
      <w:rFonts w:ascii="GHEA Grapalat" w:hAnsi="GHEA Grapalat"/>
      <w:sz w:val="22"/>
      <w:szCs w:val="24"/>
      <w:lang w:val="ru-RU" w:eastAsia="ru-RU"/>
    </w:rPr>
  </w:style>
  <w:style w:type="numbering" w:customStyle="1" w:styleId="NoList1">
    <w:name w:val="No List1"/>
    <w:next w:val="NoList"/>
    <w:uiPriority w:val="99"/>
    <w:semiHidden/>
    <w:unhideWhenUsed/>
    <w:rsid w:val="008E54BF"/>
  </w:style>
  <w:style w:type="character" w:customStyle="1" w:styleId="Heading1Char">
    <w:name w:val="Heading 1 Char"/>
    <w:aliases w:val="(Text) Char,(Section) Char,Section Heading Char,1 Char, 1 Char,Chapter Char,head3 Char"/>
    <w:link w:val="Heading1"/>
    <w:uiPriority w:val="99"/>
    <w:rsid w:val="0009272D"/>
    <w:rPr>
      <w:rFonts w:ascii="GHEA Grapalat" w:eastAsiaTheme="majorEastAsia" w:hAnsi="GHEA Grapalat" w:cstheme="majorBidi"/>
      <w:b/>
      <w:bCs/>
      <w:color w:val="1F497D" w:themeColor="text2"/>
      <w:sz w:val="24"/>
      <w:szCs w:val="24"/>
      <w:lang w:val="hy-AM"/>
    </w:rPr>
  </w:style>
  <w:style w:type="character" w:customStyle="1" w:styleId="Heading2Char">
    <w:name w:val="Heading 2 Char"/>
    <w:aliases w:val="(Chapter) Char,Paranum Char,Body Char"/>
    <w:link w:val="Heading2"/>
    <w:uiPriority w:val="9"/>
    <w:rsid w:val="002F7255"/>
    <w:rPr>
      <w:rFonts w:ascii="GHEA Grapalat" w:eastAsia="Calibri" w:hAnsi="GHEA Grapalat" w:cs="Times LatArm"/>
      <w:b/>
      <w:sz w:val="24"/>
      <w:szCs w:val="24"/>
      <w:lang w:val="hy-AM"/>
    </w:rPr>
  </w:style>
  <w:style w:type="character" w:customStyle="1" w:styleId="Heading3Char">
    <w:name w:val="Heading 3 Char"/>
    <w:aliases w:val="Centered Char2,(text) Char2,(Sub-Chapter) Char2,Heading 3 Char Char Char Char Char Char Char2"/>
    <w:link w:val="Heading3"/>
    <w:rsid w:val="004F5524"/>
    <w:rPr>
      <w:rFonts w:ascii="GHEA Grapalat" w:eastAsia="Calibri" w:hAnsi="GHEA Grapalat" w:cs="GHEA Grapalat"/>
      <w:b/>
      <w:bCs/>
      <w:noProof/>
      <w:sz w:val="24"/>
      <w:szCs w:val="26"/>
      <w:lang w:val="af-ZA"/>
    </w:rPr>
  </w:style>
  <w:style w:type="character" w:customStyle="1" w:styleId="Heading4Char">
    <w:name w:val="Heading 4 Char"/>
    <w:aliases w:val="Centred Char"/>
    <w:link w:val="Heading4"/>
    <w:rsid w:val="004D4C68"/>
    <w:rPr>
      <w:rFonts w:ascii="GHEA Grapalat" w:hAnsi="GHEA Grapalat"/>
      <w:b/>
      <w:sz w:val="22"/>
      <w:lang w:val="en-GB"/>
    </w:rPr>
  </w:style>
  <w:style w:type="character" w:customStyle="1" w:styleId="Heading6Char">
    <w:name w:val="Heading 6 Char"/>
    <w:link w:val="Heading6"/>
    <w:rsid w:val="008E54BF"/>
    <w:rPr>
      <w:rFonts w:ascii="GHEA Grapalat" w:hAnsi="GHEA Grapalat"/>
      <w:b/>
      <w:bCs/>
      <w:sz w:val="22"/>
      <w:szCs w:val="22"/>
      <w:lang w:val="en-GB"/>
    </w:rPr>
  </w:style>
  <w:style w:type="numbering" w:customStyle="1" w:styleId="NoList11">
    <w:name w:val="No List11"/>
    <w:next w:val="NoList"/>
    <w:semiHidden/>
    <w:rsid w:val="008E54BF"/>
  </w:style>
  <w:style w:type="character" w:customStyle="1" w:styleId="BodyText2Char">
    <w:name w:val="Body Text 2 Char"/>
    <w:aliases w:val="1Text Char"/>
    <w:link w:val="BodyText2"/>
    <w:rsid w:val="00E960A7"/>
    <w:rPr>
      <w:rFonts w:ascii="GHEA Grapalat" w:eastAsia="Calibri" w:hAnsi="GHEA Grapalat"/>
      <w:sz w:val="22"/>
      <w:szCs w:val="22"/>
      <w:lang w:val="hy-AM"/>
    </w:rPr>
  </w:style>
  <w:style w:type="character" w:customStyle="1" w:styleId="BodyText3Char">
    <w:name w:val="Body Text 3 Char"/>
    <w:link w:val="BodyText3"/>
    <w:rsid w:val="008E54BF"/>
    <w:rPr>
      <w:rFonts w:ascii="Times Armenian" w:hAnsi="Times Armenian"/>
      <w:bCs/>
      <w:sz w:val="22"/>
    </w:rPr>
  </w:style>
  <w:style w:type="character" w:customStyle="1" w:styleId="HeaderChar">
    <w:name w:val="Header Char"/>
    <w:aliases w:val="Header Char Char Char Char Char Char Char Char Char Char Char1,Header Char Char Char Char Char Char Char Char Char Char Char Char Char1,h Char1"/>
    <w:link w:val="Header"/>
    <w:uiPriority w:val="99"/>
    <w:rsid w:val="008E54BF"/>
    <w:rPr>
      <w:rFonts w:ascii="GHEA Grapalat" w:hAnsi="GHEA Grapalat"/>
      <w:lang w:val="en-AU"/>
    </w:rPr>
  </w:style>
  <w:style w:type="character" w:customStyle="1" w:styleId="BodyTextIndent2Char">
    <w:name w:val="Body Text Indent 2 Char"/>
    <w:link w:val="BodyTextIndent2"/>
    <w:rsid w:val="008E54BF"/>
    <w:rPr>
      <w:rFonts w:ascii="Arial Armenian" w:hAnsi="Arial Armenian"/>
      <w:bCs/>
      <w:sz w:val="22"/>
    </w:rPr>
  </w:style>
  <w:style w:type="character" w:customStyle="1" w:styleId="BalloonTextChar">
    <w:name w:val="Balloon Text Char"/>
    <w:link w:val="BalloonText"/>
    <w:uiPriority w:val="99"/>
    <w:rsid w:val="008E54BF"/>
    <w:rPr>
      <w:rFonts w:ascii="Tahoma" w:hAnsi="Tahoma" w:cs="Tahoma"/>
      <w:sz w:val="16"/>
      <w:szCs w:val="16"/>
      <w:lang w:val="ru-RU" w:eastAsia="ru-RU"/>
    </w:rPr>
  </w:style>
  <w:style w:type="table" w:customStyle="1" w:styleId="TableGrid1">
    <w:name w:val="Table Grid1"/>
    <w:basedOn w:val="TableNormal"/>
    <w:next w:val="TableGrid"/>
    <w:qFormat/>
    <w:rsid w:val="008E54BF"/>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8E54BF"/>
  </w:style>
  <w:style w:type="paragraph" w:styleId="TableofFigures">
    <w:name w:val="table of figures"/>
    <w:basedOn w:val="Normal"/>
    <w:next w:val="Normal"/>
    <w:autoRedefine/>
    <w:uiPriority w:val="99"/>
    <w:rsid w:val="00E54C03"/>
    <w:pPr>
      <w:tabs>
        <w:tab w:val="left" w:pos="1843"/>
        <w:tab w:val="right" w:leader="dot" w:pos="9923"/>
      </w:tabs>
      <w:spacing w:before="0"/>
      <w:jc w:val="left"/>
    </w:pPr>
  </w:style>
  <w:style w:type="character" w:styleId="PlaceholderText">
    <w:name w:val="Placeholder Text"/>
    <w:basedOn w:val="DefaultParagraphFont"/>
    <w:uiPriority w:val="99"/>
    <w:semiHidden/>
    <w:rsid w:val="00D43712"/>
    <w:rPr>
      <w:color w:val="808080"/>
    </w:rPr>
  </w:style>
  <w:style w:type="character" w:customStyle="1" w:styleId="Heading8Char">
    <w:name w:val="Heading 8 Char"/>
    <w:basedOn w:val="DefaultParagraphFont"/>
    <w:link w:val="Heading8"/>
    <w:rsid w:val="00060470"/>
    <w:rPr>
      <w:rFonts w:ascii="Arial Black" w:hAnsi="Arial Black"/>
      <w:caps/>
      <w:spacing w:val="60"/>
      <w:position w:val="4"/>
      <w:sz w:val="14"/>
      <w:lang w:val="en-GB"/>
    </w:rPr>
  </w:style>
  <w:style w:type="character" w:customStyle="1" w:styleId="Heading9Char">
    <w:name w:val="Heading 9 Char"/>
    <w:basedOn w:val="DefaultParagraphFont"/>
    <w:link w:val="Heading9"/>
    <w:rsid w:val="00060470"/>
    <w:rPr>
      <w:rFonts w:ascii="Garamond" w:hAnsi="Garamond"/>
      <w:b/>
      <w:i/>
      <w:kern w:val="28"/>
      <w:sz w:val="16"/>
      <w:lang w:val="en-GB"/>
    </w:rPr>
  </w:style>
  <w:style w:type="character" w:customStyle="1" w:styleId="FooterChar1">
    <w:name w:val="Footer Char1"/>
    <w:locked/>
    <w:rsid w:val="00060470"/>
    <w:rPr>
      <w:lang w:val="en-GB" w:eastAsia="en-US" w:bidi="ar-SA"/>
    </w:rPr>
  </w:style>
  <w:style w:type="paragraph" w:customStyle="1" w:styleId="CharChar7">
    <w:name w:val="Char Char7"/>
    <w:basedOn w:val="Normal"/>
    <w:rsid w:val="00060470"/>
    <w:pPr>
      <w:spacing w:before="0" w:after="160" w:line="240" w:lineRule="exact"/>
      <w:jc w:val="left"/>
    </w:pPr>
    <w:rPr>
      <w:rFonts w:ascii="Arial" w:hAnsi="Arial" w:cs="Arial"/>
      <w:sz w:val="20"/>
      <w:szCs w:val="20"/>
      <w:lang w:val="en-US" w:eastAsia="en-US"/>
    </w:rPr>
  </w:style>
  <w:style w:type="paragraph" w:customStyle="1" w:styleId="CoverSubTitle">
    <w:name w:val="Cover SubTitle"/>
    <w:basedOn w:val="Normal"/>
    <w:rsid w:val="00060470"/>
    <w:pPr>
      <w:spacing w:before="0" w:line="440" w:lineRule="exact"/>
      <w:jc w:val="center"/>
    </w:pPr>
    <w:rPr>
      <w:rFonts w:ascii="Times New Roman" w:hAnsi="Times New Roman"/>
      <w:sz w:val="32"/>
      <w:szCs w:val="20"/>
      <w:lang w:val="en-US" w:eastAsia="en-US"/>
    </w:rPr>
  </w:style>
  <w:style w:type="paragraph" w:customStyle="1" w:styleId="xl25">
    <w:name w:val="xl25"/>
    <w:basedOn w:val="Normal"/>
    <w:rsid w:val="00060470"/>
    <w:pPr>
      <w:spacing w:before="100" w:after="100" w:line="240" w:lineRule="auto"/>
      <w:jc w:val="center"/>
    </w:pPr>
    <w:rPr>
      <w:rFonts w:ascii="Times Armenian" w:hAnsi="Times Armenian"/>
      <w:sz w:val="24"/>
      <w:szCs w:val="20"/>
      <w:lang w:val="en-US" w:eastAsia="en-US"/>
    </w:rPr>
  </w:style>
  <w:style w:type="paragraph" w:customStyle="1" w:styleId="ModelSingleNoIndent">
    <w:name w:val="ModelSingleNoIndent"/>
    <w:basedOn w:val="Normal"/>
    <w:rsid w:val="00060470"/>
    <w:pPr>
      <w:spacing w:before="0" w:after="240" w:line="240" w:lineRule="auto"/>
    </w:pPr>
    <w:rPr>
      <w:rFonts w:ascii="Times New Roman" w:hAnsi="Times New Roman"/>
      <w:szCs w:val="20"/>
      <w:lang w:val="en-US" w:eastAsia="en-US"/>
    </w:rPr>
  </w:style>
  <w:style w:type="paragraph" w:customStyle="1" w:styleId="Head4">
    <w:name w:val="Head 4"/>
    <w:basedOn w:val="Heading4"/>
    <w:rsid w:val="00060470"/>
    <w:pPr>
      <w:widowControl w:val="0"/>
      <w:tabs>
        <w:tab w:val="left" w:pos="624"/>
      </w:tabs>
      <w:spacing w:before="0"/>
      <w:ind w:left="0" w:firstLine="624"/>
      <w:jc w:val="left"/>
    </w:pPr>
    <w:rPr>
      <w:rFonts w:ascii="Arial Armenian" w:hAnsi="Arial Armenian"/>
      <w:i/>
      <w:spacing w:val="-5"/>
      <w:sz w:val="24"/>
      <w:u w:val="single"/>
      <w:lang w:val="fr-FR"/>
    </w:rPr>
  </w:style>
  <w:style w:type="paragraph" w:customStyle="1" w:styleId="BodyTextMainTextdate">
    <w:name w:val="Body Text.(Main Text).date"/>
    <w:basedOn w:val="Normal"/>
    <w:rsid w:val="00060470"/>
    <w:pPr>
      <w:spacing w:before="0" w:line="240" w:lineRule="auto"/>
      <w:jc w:val="center"/>
    </w:pPr>
    <w:rPr>
      <w:rFonts w:ascii="Times LatArm" w:hAnsi="Times LatArm"/>
      <w:b w:val="0"/>
      <w:i/>
      <w:sz w:val="28"/>
      <w:szCs w:val="20"/>
      <w:lang w:val="en-US" w:eastAsia="en-US"/>
    </w:rPr>
  </w:style>
  <w:style w:type="paragraph" w:customStyle="1" w:styleId="Char7">
    <w:name w:val="Char7"/>
    <w:basedOn w:val="Normal"/>
    <w:next w:val="Normal"/>
    <w:rsid w:val="00060470"/>
    <w:pPr>
      <w:spacing w:before="0" w:after="160" w:line="240" w:lineRule="exact"/>
      <w:jc w:val="left"/>
    </w:pPr>
    <w:rPr>
      <w:rFonts w:ascii="Tahoma" w:hAnsi="Tahoma"/>
      <w:sz w:val="24"/>
      <w:szCs w:val="20"/>
      <w:lang w:val="en-US" w:eastAsia="en-US"/>
    </w:rPr>
  </w:style>
  <w:style w:type="paragraph" w:customStyle="1" w:styleId="a1">
    <w:name w:val="???????"/>
    <w:link w:val="Char1"/>
    <w:rsid w:val="00060470"/>
    <w:rPr>
      <w:lang w:val="ru-RU" w:eastAsia="ru-RU"/>
    </w:rPr>
  </w:style>
  <w:style w:type="paragraph" w:customStyle="1" w:styleId="Char1CharCharCharCharCharCharCharCharCharCharCharChar">
    <w:name w:val="Char1 Char Char Char Char Char Char Char Char Char Char Char Char"/>
    <w:basedOn w:val="Normal"/>
    <w:uiPriority w:val="99"/>
    <w:rsid w:val="00060470"/>
    <w:pPr>
      <w:spacing w:before="0" w:after="160" w:line="240" w:lineRule="exact"/>
      <w:jc w:val="left"/>
    </w:pPr>
    <w:rPr>
      <w:rFonts w:ascii="Arial" w:hAnsi="Arial" w:cs="Arial"/>
      <w:sz w:val="20"/>
      <w:szCs w:val="20"/>
      <w:lang w:val="en-US" w:eastAsia="en-US"/>
    </w:rPr>
  </w:style>
  <w:style w:type="paragraph" w:customStyle="1" w:styleId="Armenian">
    <w:name w:val="Armenian"/>
    <w:basedOn w:val="Normal"/>
    <w:rsid w:val="00060470"/>
    <w:pPr>
      <w:spacing w:before="0" w:line="240" w:lineRule="auto"/>
      <w:jc w:val="left"/>
    </w:pPr>
    <w:rPr>
      <w:rFonts w:ascii="Times LatArm" w:hAnsi="Times LatArm"/>
      <w:sz w:val="24"/>
      <w:lang w:val="en-US"/>
    </w:rPr>
  </w:style>
  <w:style w:type="paragraph" w:customStyle="1" w:styleId="CharCharChar0">
    <w:name w:val="Char Char Char"/>
    <w:basedOn w:val="Normal"/>
    <w:uiPriority w:val="99"/>
    <w:rsid w:val="00060470"/>
    <w:pPr>
      <w:spacing w:before="0" w:after="160" w:line="240" w:lineRule="exact"/>
      <w:jc w:val="left"/>
    </w:pPr>
    <w:rPr>
      <w:rFonts w:ascii="Arial" w:hAnsi="Arial" w:cs="Arial"/>
      <w:sz w:val="20"/>
      <w:szCs w:val="20"/>
      <w:lang w:val="en-US" w:eastAsia="en-US"/>
    </w:rPr>
  </w:style>
  <w:style w:type="paragraph" w:customStyle="1" w:styleId="ModelNrmlDouble">
    <w:name w:val="ModelNrmlDouble"/>
    <w:basedOn w:val="Normal"/>
    <w:rsid w:val="00060470"/>
    <w:pPr>
      <w:overflowPunct w:val="0"/>
      <w:autoSpaceDE w:val="0"/>
      <w:autoSpaceDN w:val="0"/>
      <w:adjustRightInd w:val="0"/>
      <w:spacing w:before="0" w:after="360" w:line="480" w:lineRule="auto"/>
      <w:ind w:firstLine="720"/>
      <w:textAlignment w:val="baseline"/>
    </w:pPr>
    <w:rPr>
      <w:rFonts w:ascii="Times New Roman" w:hAnsi="Times New Roman"/>
      <w:szCs w:val="20"/>
      <w:lang w:val="en-US" w:eastAsia="en-US"/>
    </w:rPr>
  </w:style>
  <w:style w:type="paragraph" w:customStyle="1" w:styleId="norm">
    <w:name w:val="norm"/>
    <w:basedOn w:val="Normal"/>
    <w:link w:val="normChar"/>
    <w:rsid w:val="00060470"/>
    <w:pPr>
      <w:spacing w:before="0" w:line="480" w:lineRule="auto"/>
      <w:ind w:firstLine="709"/>
    </w:pPr>
    <w:rPr>
      <w:rFonts w:ascii="Arial Armenian" w:hAnsi="Arial Armenian"/>
      <w:szCs w:val="20"/>
      <w:lang w:val="en-US"/>
    </w:rPr>
  </w:style>
  <w:style w:type="paragraph" w:styleId="ListBullet">
    <w:name w:val="List Bullet"/>
    <w:basedOn w:val="Normal"/>
    <w:autoRedefine/>
    <w:qFormat/>
    <w:rsid w:val="00060470"/>
    <w:pPr>
      <w:overflowPunct w:val="0"/>
      <w:autoSpaceDE w:val="0"/>
      <w:autoSpaceDN w:val="0"/>
      <w:adjustRightInd w:val="0"/>
      <w:spacing w:before="130" w:line="240" w:lineRule="auto"/>
      <w:ind w:left="928" w:hanging="360"/>
      <w:textAlignment w:val="baseline"/>
    </w:pPr>
    <w:rPr>
      <w:rFonts w:ascii="Times New Roman" w:hAnsi="Times New Roman"/>
      <w:szCs w:val="20"/>
      <w:lang w:val="en-GB" w:eastAsia="en-US"/>
    </w:rPr>
  </w:style>
  <w:style w:type="paragraph" w:styleId="PlainText">
    <w:name w:val="Plain Text"/>
    <w:basedOn w:val="Normal"/>
    <w:link w:val="PlainTextChar"/>
    <w:rsid w:val="00060470"/>
    <w:pPr>
      <w:numPr>
        <w:numId w:val="12"/>
      </w:numPr>
      <w:tabs>
        <w:tab w:val="clear" w:pos="540"/>
      </w:tabs>
      <w:spacing w:before="0" w:line="240" w:lineRule="auto"/>
      <w:ind w:left="0" w:firstLine="0"/>
      <w:jc w:val="left"/>
    </w:pPr>
    <w:rPr>
      <w:rFonts w:ascii="Courier New" w:hAnsi="Courier New"/>
      <w:sz w:val="20"/>
      <w:szCs w:val="20"/>
    </w:rPr>
  </w:style>
  <w:style w:type="character" w:customStyle="1" w:styleId="PlainTextChar">
    <w:name w:val="Plain Text Char"/>
    <w:basedOn w:val="DefaultParagraphFont"/>
    <w:link w:val="PlainText"/>
    <w:rsid w:val="00060470"/>
    <w:rPr>
      <w:rFonts w:ascii="Courier New" w:hAnsi="Courier New"/>
      <w:b/>
      <w:lang w:val="ru-RU" w:eastAsia="ru-RU"/>
    </w:rPr>
  </w:style>
  <w:style w:type="paragraph" w:customStyle="1" w:styleId="Tabletext">
    <w:name w:val="Tabletext"/>
    <w:basedOn w:val="Normal"/>
    <w:rsid w:val="00060470"/>
    <w:pPr>
      <w:overflowPunct w:val="0"/>
      <w:autoSpaceDE w:val="0"/>
      <w:autoSpaceDN w:val="0"/>
      <w:adjustRightInd w:val="0"/>
      <w:spacing w:before="0" w:line="240" w:lineRule="auto"/>
      <w:ind w:left="153" w:hanging="153"/>
      <w:jc w:val="left"/>
      <w:textAlignment w:val="baseline"/>
    </w:pPr>
    <w:rPr>
      <w:rFonts w:ascii="Times New Roman" w:hAnsi="Times New Roman"/>
      <w:sz w:val="18"/>
      <w:szCs w:val="20"/>
      <w:lang w:val="en-GB" w:eastAsia="en-US"/>
    </w:rPr>
  </w:style>
  <w:style w:type="paragraph" w:styleId="ListBullet2">
    <w:name w:val="List Bullet 2"/>
    <w:basedOn w:val="Normal"/>
    <w:autoRedefine/>
    <w:rsid w:val="00060470"/>
    <w:pPr>
      <w:numPr>
        <w:numId w:val="2"/>
      </w:numPr>
      <w:spacing w:before="0" w:line="240" w:lineRule="auto"/>
      <w:jc w:val="left"/>
    </w:pPr>
    <w:rPr>
      <w:rFonts w:ascii="Times New Roman" w:hAnsi="Times New Roman"/>
      <w:sz w:val="24"/>
      <w:lang w:val="en-US" w:eastAsia="en-US"/>
    </w:rPr>
  </w:style>
  <w:style w:type="paragraph" w:styleId="ListContinue2">
    <w:name w:val="List Continue 2"/>
    <w:basedOn w:val="Normal"/>
    <w:rsid w:val="00060470"/>
    <w:pPr>
      <w:spacing w:before="0" w:after="120" w:line="240" w:lineRule="auto"/>
      <w:ind w:left="720"/>
      <w:jc w:val="left"/>
    </w:pPr>
    <w:rPr>
      <w:rFonts w:ascii="Times New Roman" w:hAnsi="Times New Roman"/>
      <w:sz w:val="24"/>
      <w:lang w:val="en-US" w:eastAsia="en-US"/>
    </w:rPr>
  </w:style>
  <w:style w:type="paragraph" w:customStyle="1" w:styleId="GlossaryHeader">
    <w:name w:val="Glossary Header"/>
    <w:next w:val="Normal"/>
    <w:rsid w:val="00060470"/>
    <w:pPr>
      <w:pageBreakBefore/>
      <w:overflowPunct w:val="0"/>
      <w:autoSpaceDE w:val="0"/>
      <w:autoSpaceDN w:val="0"/>
      <w:adjustRightInd w:val="0"/>
      <w:textAlignment w:val="baseline"/>
    </w:pPr>
    <w:rPr>
      <w:noProof/>
      <w:sz w:val="36"/>
      <w:lang w:val="en-GB"/>
    </w:rPr>
  </w:style>
  <w:style w:type="paragraph" w:customStyle="1" w:styleId="CaptionSubtitle">
    <w:name w:val="Caption: Subtitle"/>
    <w:rsid w:val="00060470"/>
    <w:rPr>
      <w:rFonts w:ascii="Arial" w:hAnsi="Arial"/>
      <w:noProof/>
      <w:sz w:val="18"/>
    </w:rPr>
  </w:style>
  <w:style w:type="paragraph" w:customStyle="1" w:styleId="KLegalHeading3">
    <w:name w:val="KLegal Heading 3"/>
    <w:basedOn w:val="Normal"/>
    <w:next w:val="Text"/>
    <w:rsid w:val="00060470"/>
    <w:pPr>
      <w:keepNext/>
      <w:numPr>
        <w:ilvl w:val="2"/>
        <w:numId w:val="1"/>
      </w:numPr>
      <w:overflowPunct w:val="0"/>
      <w:autoSpaceDE w:val="0"/>
      <w:autoSpaceDN w:val="0"/>
      <w:adjustRightInd w:val="0"/>
      <w:spacing w:before="0" w:after="220" w:line="240" w:lineRule="auto"/>
      <w:ind w:left="1440" w:hanging="720"/>
      <w:textAlignment w:val="baseline"/>
    </w:pPr>
    <w:rPr>
      <w:rFonts w:ascii="Times New Roman" w:hAnsi="Times New Roman"/>
      <w:b w:val="0"/>
      <w:szCs w:val="20"/>
      <w:lang w:val="en-GB" w:eastAsia="en-US"/>
    </w:rPr>
  </w:style>
  <w:style w:type="paragraph" w:customStyle="1" w:styleId="KLegalHeading4">
    <w:name w:val="KLegal Heading 4"/>
    <w:basedOn w:val="Normal"/>
    <w:next w:val="Text"/>
    <w:rsid w:val="00060470"/>
    <w:pPr>
      <w:keepNext/>
      <w:numPr>
        <w:ilvl w:val="3"/>
        <w:numId w:val="1"/>
      </w:numPr>
      <w:overflowPunct w:val="0"/>
      <w:autoSpaceDE w:val="0"/>
      <w:autoSpaceDN w:val="0"/>
      <w:adjustRightInd w:val="0"/>
      <w:spacing w:before="0" w:after="220" w:line="240" w:lineRule="auto"/>
      <w:ind w:left="2160" w:hanging="720"/>
      <w:textAlignment w:val="baseline"/>
    </w:pPr>
    <w:rPr>
      <w:rFonts w:ascii="Times New Roman" w:hAnsi="Times New Roman"/>
      <w:b w:val="0"/>
      <w:i/>
      <w:szCs w:val="20"/>
      <w:lang w:val="en-GB" w:eastAsia="en-US"/>
    </w:rPr>
  </w:style>
  <w:style w:type="paragraph" w:customStyle="1" w:styleId="KLegalHeading1">
    <w:name w:val="KLegal Heading 1"/>
    <w:basedOn w:val="Normal"/>
    <w:next w:val="KLegalHeading2"/>
    <w:rsid w:val="00060470"/>
    <w:pPr>
      <w:keepNext/>
      <w:pageBreakBefore/>
      <w:overflowPunct w:val="0"/>
      <w:autoSpaceDE w:val="0"/>
      <w:autoSpaceDN w:val="0"/>
      <w:adjustRightInd w:val="0"/>
      <w:spacing w:before="0" w:after="440" w:line="240" w:lineRule="auto"/>
      <w:ind w:left="851" w:hanging="851"/>
      <w:textAlignment w:val="baseline"/>
      <w:outlineLvl w:val="0"/>
    </w:pPr>
    <w:rPr>
      <w:rFonts w:ascii="Times New Roman" w:hAnsi="Times New Roman"/>
      <w:b w:val="0"/>
      <w:sz w:val="32"/>
      <w:szCs w:val="20"/>
      <w:lang w:val="en-GB" w:eastAsia="en-US"/>
    </w:rPr>
  </w:style>
  <w:style w:type="paragraph" w:customStyle="1" w:styleId="KLegalHeading2">
    <w:name w:val="KLegal Heading 2"/>
    <w:basedOn w:val="Normal"/>
    <w:next w:val="KLegalHeading3"/>
    <w:rsid w:val="00060470"/>
    <w:pPr>
      <w:keepNext/>
      <w:numPr>
        <w:ilvl w:val="1"/>
        <w:numId w:val="1"/>
      </w:numPr>
      <w:overflowPunct w:val="0"/>
      <w:autoSpaceDE w:val="0"/>
      <w:autoSpaceDN w:val="0"/>
      <w:adjustRightInd w:val="0"/>
      <w:spacing w:before="0" w:after="220" w:line="240" w:lineRule="auto"/>
      <w:ind w:left="851" w:hanging="851"/>
      <w:textAlignment w:val="baseline"/>
      <w:outlineLvl w:val="1"/>
    </w:pPr>
    <w:rPr>
      <w:rFonts w:ascii="Times New Roman" w:hAnsi="Times New Roman"/>
      <w:b w:val="0"/>
      <w:sz w:val="28"/>
      <w:szCs w:val="20"/>
      <w:lang w:val="en-GB" w:eastAsia="en-US"/>
    </w:rPr>
  </w:style>
  <w:style w:type="paragraph" w:customStyle="1" w:styleId="font5">
    <w:name w:val="font5"/>
    <w:basedOn w:val="Normal"/>
    <w:rsid w:val="00060470"/>
    <w:pPr>
      <w:spacing w:before="100" w:beforeAutospacing="1" w:after="100" w:afterAutospacing="1" w:line="240" w:lineRule="auto"/>
      <w:jc w:val="left"/>
    </w:pPr>
    <w:rPr>
      <w:rFonts w:ascii="Times Armenian" w:hAnsi="Times Armenian"/>
      <w:color w:val="000000"/>
      <w:sz w:val="16"/>
      <w:szCs w:val="16"/>
      <w:lang w:val="en-US" w:eastAsia="en-US"/>
    </w:rPr>
  </w:style>
  <w:style w:type="paragraph" w:customStyle="1" w:styleId="font6">
    <w:name w:val="font6"/>
    <w:basedOn w:val="Normal"/>
    <w:rsid w:val="00060470"/>
    <w:pPr>
      <w:spacing w:before="100" w:beforeAutospacing="1" w:after="100" w:afterAutospacing="1" w:line="240" w:lineRule="auto"/>
      <w:jc w:val="left"/>
    </w:pPr>
    <w:rPr>
      <w:rFonts w:ascii="Times Armenian" w:hAnsi="Times Armenian"/>
      <w:b w:val="0"/>
      <w:bCs/>
      <w:color w:val="000000"/>
      <w:sz w:val="16"/>
      <w:szCs w:val="16"/>
      <w:lang w:val="en-US" w:eastAsia="en-US"/>
    </w:rPr>
  </w:style>
  <w:style w:type="paragraph" w:customStyle="1" w:styleId="font7">
    <w:name w:val="font7"/>
    <w:basedOn w:val="Normal"/>
    <w:rsid w:val="00060470"/>
    <w:pPr>
      <w:spacing w:before="100" w:beforeAutospacing="1" w:after="100" w:afterAutospacing="1" w:line="240" w:lineRule="auto"/>
      <w:jc w:val="left"/>
    </w:pPr>
    <w:rPr>
      <w:rFonts w:ascii="Times Armenian" w:hAnsi="Times Armenian"/>
      <w:color w:val="000000"/>
      <w:sz w:val="20"/>
      <w:szCs w:val="20"/>
      <w:lang w:val="en-US" w:eastAsia="en-US"/>
    </w:rPr>
  </w:style>
  <w:style w:type="paragraph" w:customStyle="1" w:styleId="font8">
    <w:name w:val="font8"/>
    <w:basedOn w:val="Normal"/>
    <w:rsid w:val="00060470"/>
    <w:pPr>
      <w:spacing w:before="100" w:beforeAutospacing="1" w:after="100" w:afterAutospacing="1" w:line="240" w:lineRule="auto"/>
      <w:jc w:val="left"/>
    </w:pPr>
    <w:rPr>
      <w:rFonts w:ascii="Times Armenian" w:hAnsi="Times Armenian"/>
      <w:color w:val="000000"/>
      <w:sz w:val="16"/>
      <w:szCs w:val="16"/>
      <w:lang w:val="en-US" w:eastAsia="en-US"/>
    </w:rPr>
  </w:style>
  <w:style w:type="paragraph" w:customStyle="1" w:styleId="font9">
    <w:name w:val="font9"/>
    <w:basedOn w:val="Normal"/>
    <w:rsid w:val="00060470"/>
    <w:pPr>
      <w:spacing w:before="100" w:beforeAutospacing="1" w:after="100" w:afterAutospacing="1" w:line="240" w:lineRule="auto"/>
      <w:jc w:val="left"/>
    </w:pPr>
    <w:rPr>
      <w:rFonts w:ascii="Times Armenian" w:hAnsi="Times Armenian"/>
      <w:color w:val="000000"/>
      <w:szCs w:val="22"/>
      <w:lang w:val="en-US" w:eastAsia="en-US"/>
    </w:rPr>
  </w:style>
  <w:style w:type="paragraph" w:customStyle="1" w:styleId="font10">
    <w:name w:val="font10"/>
    <w:basedOn w:val="Normal"/>
    <w:rsid w:val="00060470"/>
    <w:pPr>
      <w:spacing w:before="100" w:beforeAutospacing="1" w:after="100" w:afterAutospacing="1" w:line="240" w:lineRule="auto"/>
      <w:jc w:val="left"/>
    </w:pPr>
    <w:rPr>
      <w:rFonts w:ascii="Times Armenian" w:hAnsi="Times Armenian"/>
      <w:b w:val="0"/>
      <w:bCs/>
      <w:color w:val="000000"/>
      <w:sz w:val="16"/>
      <w:szCs w:val="16"/>
      <w:lang w:val="en-US" w:eastAsia="en-US"/>
    </w:rPr>
  </w:style>
  <w:style w:type="paragraph" w:customStyle="1" w:styleId="xl65">
    <w:name w:val="xl65"/>
    <w:basedOn w:val="Normal"/>
    <w:rsid w:val="00060470"/>
    <w:pPr>
      <w:spacing w:before="100" w:beforeAutospacing="1" w:after="100" w:afterAutospacing="1" w:line="240" w:lineRule="auto"/>
      <w:jc w:val="left"/>
      <w:textAlignment w:val="center"/>
    </w:pPr>
    <w:rPr>
      <w:rFonts w:ascii="Times New Roman" w:hAnsi="Times New Roman"/>
      <w:sz w:val="24"/>
      <w:lang w:val="en-US" w:eastAsia="en-US"/>
    </w:rPr>
  </w:style>
  <w:style w:type="paragraph" w:customStyle="1" w:styleId="xl66">
    <w:name w:val="xl66"/>
    <w:basedOn w:val="Normal"/>
    <w:rsid w:val="00060470"/>
    <w:pPr>
      <w:pBdr>
        <w:right w:val="single" w:sz="8"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67">
    <w:name w:val="xl67"/>
    <w:basedOn w:val="Normal"/>
    <w:rsid w:val="00060470"/>
    <w:pPr>
      <w:spacing w:before="100" w:beforeAutospacing="1" w:after="100" w:afterAutospacing="1" w:line="240" w:lineRule="auto"/>
      <w:jc w:val="center"/>
      <w:textAlignment w:val="center"/>
    </w:pPr>
    <w:rPr>
      <w:rFonts w:ascii="Times New Roman" w:hAnsi="Times New Roman"/>
      <w:sz w:val="24"/>
      <w:lang w:val="en-US" w:eastAsia="en-US"/>
    </w:rPr>
  </w:style>
  <w:style w:type="paragraph" w:customStyle="1" w:styleId="xl68">
    <w:name w:val="xl68"/>
    <w:basedOn w:val="Normal"/>
    <w:rsid w:val="00060470"/>
    <w:pPr>
      <w:spacing w:before="100" w:beforeAutospacing="1" w:after="100" w:afterAutospacing="1" w:line="240" w:lineRule="auto"/>
      <w:jc w:val="right"/>
      <w:textAlignment w:val="top"/>
    </w:pPr>
    <w:rPr>
      <w:rFonts w:ascii="Times Armenian" w:hAnsi="Times Armenian"/>
      <w:sz w:val="18"/>
      <w:szCs w:val="18"/>
      <w:lang w:val="en-US" w:eastAsia="en-US"/>
    </w:rPr>
  </w:style>
  <w:style w:type="paragraph" w:customStyle="1" w:styleId="xl69">
    <w:name w:val="xl69"/>
    <w:basedOn w:val="Normal"/>
    <w:rsid w:val="00060470"/>
    <w:pPr>
      <w:spacing w:before="100" w:beforeAutospacing="1" w:after="100" w:afterAutospacing="1" w:line="240" w:lineRule="auto"/>
      <w:textAlignment w:val="top"/>
    </w:pPr>
    <w:rPr>
      <w:rFonts w:ascii="Times Armenian" w:hAnsi="Times Armenian"/>
      <w:sz w:val="18"/>
      <w:szCs w:val="18"/>
      <w:lang w:val="en-US" w:eastAsia="en-US"/>
    </w:rPr>
  </w:style>
  <w:style w:type="paragraph" w:customStyle="1" w:styleId="xl70">
    <w:name w:val="xl70"/>
    <w:basedOn w:val="Normal"/>
    <w:rsid w:val="00060470"/>
    <w:pPr>
      <w:pBdr>
        <w:top w:val="double" w:sz="6" w:space="0" w:color="auto"/>
        <w:left w:val="double" w:sz="6" w:space="0" w:color="auto"/>
        <w:right w:val="single" w:sz="8"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71">
    <w:name w:val="xl71"/>
    <w:basedOn w:val="Normal"/>
    <w:rsid w:val="00060470"/>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72">
    <w:name w:val="xl72"/>
    <w:basedOn w:val="Normal"/>
    <w:rsid w:val="00060470"/>
    <w:pPr>
      <w:pBdr>
        <w:top w:val="double" w:sz="6" w:space="0" w:color="auto"/>
        <w:left w:val="single" w:sz="8"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73">
    <w:name w:val="xl73"/>
    <w:basedOn w:val="Normal"/>
    <w:rsid w:val="00060470"/>
    <w:pPr>
      <w:pBdr>
        <w:top w:val="double" w:sz="6" w:space="0" w:color="auto"/>
        <w:right w:val="single" w:sz="8"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74">
    <w:name w:val="xl74"/>
    <w:basedOn w:val="Normal"/>
    <w:rsid w:val="00060470"/>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75">
    <w:name w:val="xl75"/>
    <w:basedOn w:val="Normal"/>
    <w:rsid w:val="00060470"/>
    <w:pPr>
      <w:pBdr>
        <w:top w:val="double" w:sz="6" w:space="0" w:color="auto"/>
        <w:bottom w:val="single" w:sz="8"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76">
    <w:name w:val="xl76"/>
    <w:basedOn w:val="Normal"/>
    <w:rsid w:val="00060470"/>
    <w:pPr>
      <w:pBdr>
        <w:top w:val="double" w:sz="6" w:space="0" w:color="auto"/>
        <w:bottom w:val="single" w:sz="8" w:space="0" w:color="auto"/>
        <w:right w:val="double" w:sz="6"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77">
    <w:name w:val="xl77"/>
    <w:basedOn w:val="Normal"/>
    <w:rsid w:val="00060470"/>
    <w:pPr>
      <w:pBdr>
        <w:left w:val="double" w:sz="6" w:space="0" w:color="auto"/>
        <w:bottom w:val="double" w:sz="6" w:space="0" w:color="auto"/>
        <w:right w:val="single" w:sz="8"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78">
    <w:name w:val="xl78"/>
    <w:basedOn w:val="Normal"/>
    <w:rsid w:val="00060470"/>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79">
    <w:name w:val="xl79"/>
    <w:basedOn w:val="Normal"/>
    <w:rsid w:val="00060470"/>
    <w:pPr>
      <w:pBdr>
        <w:left w:val="single" w:sz="8" w:space="0" w:color="auto"/>
        <w:bottom w:val="double" w:sz="6"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80">
    <w:name w:val="xl80"/>
    <w:basedOn w:val="Normal"/>
    <w:rsid w:val="00060470"/>
    <w:pPr>
      <w:pBdr>
        <w:bottom w:val="double" w:sz="6" w:space="0" w:color="auto"/>
        <w:right w:val="single" w:sz="8"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81">
    <w:name w:val="xl81"/>
    <w:basedOn w:val="Normal"/>
    <w:rsid w:val="00060470"/>
    <w:pPr>
      <w:pBdr>
        <w:top w:val="double" w:sz="6" w:space="0" w:color="auto"/>
        <w:left w:val="single" w:sz="8" w:space="0" w:color="auto"/>
      </w:pBdr>
      <w:spacing w:before="100" w:beforeAutospacing="1" w:after="100" w:afterAutospacing="1" w:line="240" w:lineRule="auto"/>
      <w:jc w:val="left"/>
      <w:textAlignment w:val="center"/>
    </w:pPr>
    <w:rPr>
      <w:rFonts w:ascii="Times Armenian" w:hAnsi="Times Armenian"/>
      <w:b w:val="0"/>
      <w:bCs/>
      <w:sz w:val="16"/>
      <w:szCs w:val="16"/>
      <w:lang w:val="en-US" w:eastAsia="en-US"/>
    </w:rPr>
  </w:style>
  <w:style w:type="paragraph" w:customStyle="1" w:styleId="xl82">
    <w:name w:val="xl82"/>
    <w:basedOn w:val="Normal"/>
    <w:rsid w:val="00060470"/>
    <w:pPr>
      <w:pBdr>
        <w:top w:val="double" w:sz="6" w:space="0" w:color="auto"/>
        <w:right w:val="single" w:sz="8" w:space="0" w:color="auto"/>
      </w:pBdr>
      <w:spacing w:before="100" w:beforeAutospacing="1" w:after="100" w:afterAutospacing="1" w:line="240" w:lineRule="auto"/>
      <w:jc w:val="left"/>
      <w:textAlignment w:val="center"/>
    </w:pPr>
    <w:rPr>
      <w:rFonts w:ascii="Times Armenian" w:hAnsi="Times Armenian"/>
      <w:b w:val="0"/>
      <w:bCs/>
      <w:sz w:val="16"/>
      <w:szCs w:val="16"/>
      <w:lang w:val="en-US" w:eastAsia="en-US"/>
    </w:rPr>
  </w:style>
  <w:style w:type="paragraph" w:customStyle="1" w:styleId="xl83">
    <w:name w:val="xl83"/>
    <w:basedOn w:val="Normal"/>
    <w:rsid w:val="00060470"/>
    <w:pPr>
      <w:pBdr>
        <w:left w:val="single" w:sz="8" w:space="0" w:color="auto"/>
        <w:bottom w:val="double" w:sz="6" w:space="0" w:color="auto"/>
      </w:pBdr>
      <w:spacing w:before="100" w:beforeAutospacing="1" w:after="100" w:afterAutospacing="1" w:line="240" w:lineRule="auto"/>
      <w:jc w:val="left"/>
      <w:textAlignment w:val="center"/>
    </w:pPr>
    <w:rPr>
      <w:rFonts w:ascii="Times Armenian" w:hAnsi="Times Armenian"/>
      <w:color w:val="FF0000"/>
      <w:sz w:val="16"/>
      <w:szCs w:val="16"/>
      <w:lang w:val="en-US" w:eastAsia="en-US"/>
    </w:rPr>
  </w:style>
  <w:style w:type="paragraph" w:customStyle="1" w:styleId="xl84">
    <w:name w:val="xl84"/>
    <w:basedOn w:val="Normal"/>
    <w:rsid w:val="00060470"/>
    <w:pPr>
      <w:pBdr>
        <w:bottom w:val="double" w:sz="6" w:space="0" w:color="auto"/>
        <w:right w:val="single" w:sz="8" w:space="0" w:color="auto"/>
      </w:pBdr>
      <w:spacing w:before="100" w:beforeAutospacing="1" w:after="100" w:afterAutospacing="1" w:line="240" w:lineRule="auto"/>
      <w:jc w:val="left"/>
      <w:textAlignment w:val="center"/>
    </w:pPr>
    <w:rPr>
      <w:rFonts w:ascii="Times Armenian" w:hAnsi="Times Armenian"/>
      <w:color w:val="FF0000"/>
      <w:sz w:val="16"/>
      <w:szCs w:val="16"/>
      <w:lang w:val="en-US" w:eastAsia="en-US"/>
    </w:rPr>
  </w:style>
  <w:style w:type="paragraph" w:customStyle="1" w:styleId="xl85">
    <w:name w:val="xl85"/>
    <w:basedOn w:val="Normal"/>
    <w:rsid w:val="00060470"/>
    <w:pPr>
      <w:pBdr>
        <w:top w:val="double" w:sz="6" w:space="0" w:color="auto"/>
        <w:left w:val="single" w:sz="8" w:space="0" w:color="auto"/>
      </w:pBdr>
      <w:spacing w:before="100" w:beforeAutospacing="1" w:after="100" w:afterAutospacing="1" w:line="240" w:lineRule="auto"/>
      <w:textAlignment w:val="center"/>
    </w:pPr>
    <w:rPr>
      <w:rFonts w:ascii="Times Armenian" w:hAnsi="Times Armenian"/>
      <w:b w:val="0"/>
      <w:bCs/>
      <w:sz w:val="16"/>
      <w:szCs w:val="16"/>
      <w:lang w:val="en-US" w:eastAsia="en-US"/>
    </w:rPr>
  </w:style>
  <w:style w:type="paragraph" w:customStyle="1" w:styleId="xl86">
    <w:name w:val="xl86"/>
    <w:basedOn w:val="Normal"/>
    <w:rsid w:val="00060470"/>
    <w:pPr>
      <w:pBdr>
        <w:top w:val="double" w:sz="6" w:space="0" w:color="auto"/>
        <w:right w:val="single" w:sz="8" w:space="0" w:color="auto"/>
      </w:pBdr>
      <w:spacing w:before="100" w:beforeAutospacing="1" w:after="100" w:afterAutospacing="1" w:line="240" w:lineRule="auto"/>
      <w:textAlignment w:val="center"/>
    </w:pPr>
    <w:rPr>
      <w:rFonts w:ascii="Times Armenian" w:hAnsi="Times Armenian"/>
      <w:b w:val="0"/>
      <w:bCs/>
      <w:sz w:val="16"/>
      <w:szCs w:val="16"/>
      <w:lang w:val="en-US" w:eastAsia="en-US"/>
    </w:rPr>
  </w:style>
  <w:style w:type="paragraph" w:customStyle="1" w:styleId="xl87">
    <w:name w:val="xl87"/>
    <w:basedOn w:val="Normal"/>
    <w:rsid w:val="00060470"/>
    <w:pPr>
      <w:pBdr>
        <w:left w:val="single" w:sz="8" w:space="0" w:color="auto"/>
      </w:pBdr>
      <w:spacing w:before="100" w:beforeAutospacing="1" w:after="100" w:afterAutospacing="1" w:line="240" w:lineRule="auto"/>
      <w:jc w:val="left"/>
      <w:textAlignment w:val="center"/>
    </w:pPr>
    <w:rPr>
      <w:rFonts w:ascii="Times Armenian" w:hAnsi="Times Armenian"/>
      <w:color w:val="FF0000"/>
      <w:sz w:val="16"/>
      <w:szCs w:val="16"/>
      <w:lang w:val="en-US" w:eastAsia="en-US"/>
    </w:rPr>
  </w:style>
  <w:style w:type="paragraph" w:customStyle="1" w:styleId="xl88">
    <w:name w:val="xl88"/>
    <w:basedOn w:val="Normal"/>
    <w:rsid w:val="00060470"/>
    <w:pPr>
      <w:pBdr>
        <w:right w:val="single" w:sz="8" w:space="0" w:color="auto"/>
      </w:pBdr>
      <w:spacing w:before="100" w:beforeAutospacing="1" w:after="100" w:afterAutospacing="1" w:line="240" w:lineRule="auto"/>
      <w:jc w:val="left"/>
      <w:textAlignment w:val="center"/>
    </w:pPr>
    <w:rPr>
      <w:rFonts w:ascii="Times Armenian" w:hAnsi="Times Armenian"/>
      <w:color w:val="FF0000"/>
      <w:sz w:val="16"/>
      <w:szCs w:val="16"/>
      <w:lang w:val="en-US" w:eastAsia="en-US"/>
    </w:rPr>
  </w:style>
  <w:style w:type="paragraph" w:customStyle="1" w:styleId="xl89">
    <w:name w:val="xl89"/>
    <w:basedOn w:val="Normal"/>
    <w:rsid w:val="00060470"/>
    <w:pPr>
      <w:pBdr>
        <w:left w:val="single" w:sz="8" w:space="0" w:color="auto"/>
        <w:bottom w:val="double" w:sz="6" w:space="0" w:color="auto"/>
      </w:pBdr>
      <w:spacing w:before="100" w:beforeAutospacing="1" w:after="100" w:afterAutospacing="1" w:line="240" w:lineRule="auto"/>
      <w:textAlignment w:val="center"/>
    </w:pPr>
    <w:rPr>
      <w:rFonts w:ascii="Times Armenian" w:hAnsi="Times Armenian"/>
      <w:sz w:val="16"/>
      <w:szCs w:val="16"/>
      <w:lang w:val="en-US" w:eastAsia="en-US"/>
    </w:rPr>
  </w:style>
  <w:style w:type="paragraph" w:customStyle="1" w:styleId="xl90">
    <w:name w:val="xl90"/>
    <w:basedOn w:val="Normal"/>
    <w:rsid w:val="00060470"/>
    <w:pPr>
      <w:pBdr>
        <w:bottom w:val="double" w:sz="6" w:space="0" w:color="auto"/>
        <w:right w:val="single" w:sz="8" w:space="0" w:color="auto"/>
      </w:pBdr>
      <w:spacing w:before="100" w:beforeAutospacing="1" w:after="100" w:afterAutospacing="1" w:line="240" w:lineRule="auto"/>
      <w:textAlignment w:val="center"/>
    </w:pPr>
    <w:rPr>
      <w:rFonts w:ascii="Times Armenian" w:hAnsi="Times Armenian"/>
      <w:sz w:val="16"/>
      <w:szCs w:val="16"/>
      <w:lang w:val="en-US" w:eastAsia="en-US"/>
    </w:rPr>
  </w:style>
  <w:style w:type="paragraph" w:customStyle="1" w:styleId="xl91">
    <w:name w:val="xl91"/>
    <w:basedOn w:val="Normal"/>
    <w:rsid w:val="00060470"/>
    <w:pPr>
      <w:pBdr>
        <w:bottom w:val="double" w:sz="6" w:space="0" w:color="auto"/>
        <w:right w:val="single" w:sz="8"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92">
    <w:name w:val="xl92"/>
    <w:basedOn w:val="Normal"/>
    <w:rsid w:val="00060470"/>
    <w:pPr>
      <w:pBdr>
        <w:left w:val="single" w:sz="8" w:space="0" w:color="auto"/>
        <w:bottom w:val="single" w:sz="8" w:space="0" w:color="auto"/>
      </w:pBdr>
      <w:spacing w:before="100" w:beforeAutospacing="1" w:after="100" w:afterAutospacing="1" w:line="240" w:lineRule="auto"/>
      <w:textAlignment w:val="center"/>
    </w:pPr>
    <w:rPr>
      <w:rFonts w:ascii="Times Armenian" w:hAnsi="Times Armenian"/>
      <w:color w:val="FF0000"/>
      <w:sz w:val="16"/>
      <w:szCs w:val="16"/>
      <w:lang w:val="en-US" w:eastAsia="en-US"/>
    </w:rPr>
  </w:style>
  <w:style w:type="paragraph" w:customStyle="1" w:styleId="xl93">
    <w:name w:val="xl93"/>
    <w:basedOn w:val="Normal"/>
    <w:rsid w:val="00060470"/>
    <w:pPr>
      <w:pBdr>
        <w:bottom w:val="single" w:sz="8" w:space="0" w:color="auto"/>
        <w:right w:val="single" w:sz="8" w:space="0" w:color="auto"/>
      </w:pBdr>
      <w:spacing w:before="100" w:beforeAutospacing="1" w:after="100" w:afterAutospacing="1" w:line="240" w:lineRule="auto"/>
      <w:textAlignment w:val="center"/>
    </w:pPr>
    <w:rPr>
      <w:rFonts w:ascii="Times Armenian" w:hAnsi="Times Armenian"/>
      <w:color w:val="FF0000"/>
      <w:sz w:val="16"/>
      <w:szCs w:val="16"/>
      <w:lang w:val="en-US" w:eastAsia="en-US"/>
    </w:rPr>
  </w:style>
  <w:style w:type="paragraph" w:customStyle="1" w:styleId="xl94">
    <w:name w:val="xl94"/>
    <w:basedOn w:val="Normal"/>
    <w:rsid w:val="00060470"/>
    <w:pPr>
      <w:pBdr>
        <w:top w:val="single" w:sz="8" w:space="0" w:color="auto"/>
        <w:left w:val="single" w:sz="8" w:space="0" w:color="auto"/>
      </w:pBdr>
      <w:spacing w:before="100" w:beforeAutospacing="1" w:after="100" w:afterAutospacing="1" w:line="240" w:lineRule="auto"/>
      <w:textAlignment w:val="center"/>
    </w:pPr>
    <w:rPr>
      <w:rFonts w:ascii="Times Armenian" w:hAnsi="Times Armenian"/>
      <w:b w:val="0"/>
      <w:bCs/>
      <w:sz w:val="16"/>
      <w:szCs w:val="16"/>
      <w:lang w:val="en-US" w:eastAsia="en-US"/>
    </w:rPr>
  </w:style>
  <w:style w:type="paragraph" w:customStyle="1" w:styleId="xl95">
    <w:name w:val="xl95"/>
    <w:basedOn w:val="Normal"/>
    <w:rsid w:val="00060470"/>
    <w:pPr>
      <w:pBdr>
        <w:top w:val="single" w:sz="8" w:space="0" w:color="auto"/>
        <w:right w:val="single" w:sz="8" w:space="0" w:color="auto"/>
      </w:pBdr>
      <w:spacing w:before="100" w:beforeAutospacing="1" w:after="100" w:afterAutospacing="1" w:line="240" w:lineRule="auto"/>
      <w:textAlignment w:val="center"/>
    </w:pPr>
    <w:rPr>
      <w:rFonts w:ascii="Times Armenian" w:hAnsi="Times Armenian"/>
      <w:b w:val="0"/>
      <w:bCs/>
      <w:sz w:val="16"/>
      <w:szCs w:val="16"/>
      <w:lang w:val="en-US" w:eastAsia="en-US"/>
    </w:rPr>
  </w:style>
  <w:style w:type="paragraph" w:customStyle="1" w:styleId="xl96">
    <w:name w:val="xl96"/>
    <w:basedOn w:val="Normal"/>
    <w:rsid w:val="00060470"/>
    <w:pPr>
      <w:pBdr>
        <w:left w:val="single" w:sz="8" w:space="0" w:color="auto"/>
      </w:pBdr>
      <w:spacing w:before="100" w:beforeAutospacing="1" w:after="100" w:afterAutospacing="1" w:line="240" w:lineRule="auto"/>
      <w:textAlignment w:val="center"/>
    </w:pPr>
    <w:rPr>
      <w:rFonts w:ascii="Times Armenian" w:hAnsi="Times Armenian"/>
      <w:sz w:val="16"/>
      <w:szCs w:val="16"/>
      <w:lang w:val="en-US" w:eastAsia="en-US"/>
    </w:rPr>
  </w:style>
  <w:style w:type="paragraph" w:customStyle="1" w:styleId="xl97">
    <w:name w:val="xl97"/>
    <w:basedOn w:val="Normal"/>
    <w:rsid w:val="00060470"/>
    <w:pPr>
      <w:pBdr>
        <w:right w:val="single" w:sz="8" w:space="0" w:color="auto"/>
      </w:pBdr>
      <w:spacing w:before="100" w:beforeAutospacing="1" w:after="100" w:afterAutospacing="1" w:line="240" w:lineRule="auto"/>
      <w:textAlignment w:val="center"/>
    </w:pPr>
    <w:rPr>
      <w:rFonts w:ascii="Times Armenian" w:hAnsi="Times Armenian"/>
      <w:sz w:val="16"/>
      <w:szCs w:val="16"/>
      <w:lang w:val="en-US" w:eastAsia="en-US"/>
    </w:rPr>
  </w:style>
  <w:style w:type="paragraph" w:customStyle="1" w:styleId="xl98">
    <w:name w:val="xl98"/>
    <w:basedOn w:val="Normal"/>
    <w:rsid w:val="00060470"/>
    <w:pPr>
      <w:pBdr>
        <w:right w:val="single" w:sz="8" w:space="0" w:color="auto"/>
      </w:pBdr>
      <w:spacing w:before="100" w:beforeAutospacing="1" w:after="100" w:afterAutospacing="1" w:line="240" w:lineRule="auto"/>
      <w:textAlignment w:val="center"/>
    </w:pPr>
    <w:rPr>
      <w:rFonts w:ascii="Times Armenian" w:hAnsi="Times Armenian"/>
      <w:b w:val="0"/>
      <w:bCs/>
      <w:sz w:val="16"/>
      <w:szCs w:val="16"/>
      <w:lang w:val="en-US" w:eastAsia="en-US"/>
    </w:rPr>
  </w:style>
  <w:style w:type="paragraph" w:customStyle="1" w:styleId="xl99">
    <w:name w:val="xl99"/>
    <w:basedOn w:val="Normal"/>
    <w:rsid w:val="00060470"/>
    <w:pPr>
      <w:pBdr>
        <w:bottom w:val="single" w:sz="8" w:space="0" w:color="auto"/>
        <w:right w:val="single" w:sz="8" w:space="0" w:color="auto"/>
      </w:pBdr>
      <w:spacing w:before="100" w:beforeAutospacing="1" w:after="100" w:afterAutospacing="1" w:line="240" w:lineRule="auto"/>
      <w:textAlignment w:val="center"/>
    </w:pPr>
    <w:rPr>
      <w:rFonts w:ascii="Times Armenian" w:hAnsi="Times Armenian"/>
      <w:sz w:val="16"/>
      <w:szCs w:val="16"/>
      <w:lang w:val="en-US" w:eastAsia="en-US"/>
    </w:rPr>
  </w:style>
  <w:style w:type="paragraph" w:customStyle="1" w:styleId="xl100">
    <w:name w:val="xl100"/>
    <w:basedOn w:val="Normal"/>
    <w:rsid w:val="00060470"/>
    <w:pPr>
      <w:pBdr>
        <w:bottom w:val="single" w:sz="8" w:space="0" w:color="auto"/>
        <w:right w:val="single" w:sz="8" w:space="0" w:color="auto"/>
      </w:pBdr>
      <w:spacing w:before="100" w:beforeAutospacing="1" w:after="100" w:afterAutospacing="1" w:line="240" w:lineRule="auto"/>
      <w:textAlignment w:val="center"/>
    </w:pPr>
    <w:rPr>
      <w:rFonts w:ascii="Times Armenian" w:hAnsi="Times Armenian"/>
      <w:b w:val="0"/>
      <w:bCs/>
      <w:sz w:val="16"/>
      <w:szCs w:val="16"/>
      <w:lang w:val="en-US" w:eastAsia="en-US"/>
    </w:rPr>
  </w:style>
  <w:style w:type="paragraph" w:customStyle="1" w:styleId="xl101">
    <w:name w:val="xl101"/>
    <w:basedOn w:val="Normal"/>
    <w:rsid w:val="00060470"/>
    <w:pPr>
      <w:pBdr>
        <w:left w:val="single" w:sz="8" w:space="0" w:color="auto"/>
      </w:pBdr>
      <w:spacing w:before="100" w:beforeAutospacing="1" w:after="100" w:afterAutospacing="1" w:line="240" w:lineRule="auto"/>
      <w:textAlignment w:val="center"/>
    </w:pPr>
    <w:rPr>
      <w:rFonts w:ascii="Times Armenian" w:hAnsi="Times Armenian"/>
      <w:color w:val="FF0000"/>
      <w:sz w:val="16"/>
      <w:szCs w:val="16"/>
      <w:lang w:val="en-US" w:eastAsia="en-US"/>
    </w:rPr>
  </w:style>
  <w:style w:type="paragraph" w:customStyle="1" w:styleId="xl102">
    <w:name w:val="xl102"/>
    <w:basedOn w:val="Normal"/>
    <w:rsid w:val="00060470"/>
    <w:pPr>
      <w:pBdr>
        <w:right w:val="single" w:sz="8" w:space="0" w:color="auto"/>
      </w:pBdr>
      <w:spacing w:before="100" w:beforeAutospacing="1" w:after="100" w:afterAutospacing="1" w:line="240" w:lineRule="auto"/>
      <w:textAlignment w:val="center"/>
    </w:pPr>
    <w:rPr>
      <w:rFonts w:ascii="Times Armenian" w:hAnsi="Times Armenian"/>
      <w:color w:val="FF0000"/>
      <w:sz w:val="16"/>
      <w:szCs w:val="16"/>
      <w:lang w:val="en-US" w:eastAsia="en-US"/>
    </w:rPr>
  </w:style>
  <w:style w:type="paragraph" w:customStyle="1" w:styleId="xl103">
    <w:name w:val="xl103"/>
    <w:basedOn w:val="Normal"/>
    <w:rsid w:val="00060470"/>
    <w:pPr>
      <w:pBdr>
        <w:bottom w:val="double" w:sz="6" w:space="0" w:color="auto"/>
        <w:right w:val="double" w:sz="6"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04">
    <w:name w:val="xl104"/>
    <w:basedOn w:val="Normal"/>
    <w:rsid w:val="00060470"/>
    <w:pPr>
      <w:spacing w:before="100" w:beforeAutospacing="1" w:after="100" w:afterAutospacing="1" w:line="240" w:lineRule="auto"/>
      <w:jc w:val="left"/>
      <w:textAlignment w:val="center"/>
    </w:pPr>
    <w:rPr>
      <w:rFonts w:ascii="Calibri" w:hAnsi="Calibri"/>
      <w:sz w:val="24"/>
      <w:lang w:val="en-US" w:eastAsia="en-US"/>
    </w:rPr>
  </w:style>
  <w:style w:type="paragraph" w:customStyle="1" w:styleId="xl105">
    <w:name w:val="xl105"/>
    <w:basedOn w:val="Normal"/>
    <w:rsid w:val="00060470"/>
    <w:pPr>
      <w:pBdr>
        <w:top w:val="single" w:sz="8" w:space="0" w:color="auto"/>
        <w:left w:val="single" w:sz="8" w:space="0" w:color="auto"/>
        <w:bottom w:val="double" w:sz="6"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106">
    <w:name w:val="xl106"/>
    <w:basedOn w:val="Normal"/>
    <w:rsid w:val="00060470"/>
    <w:pPr>
      <w:pBdr>
        <w:top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107">
    <w:name w:val="xl107"/>
    <w:basedOn w:val="Normal"/>
    <w:rsid w:val="00060470"/>
    <w:pPr>
      <w:pBdr>
        <w:top w:val="single" w:sz="8" w:space="0" w:color="auto"/>
        <w:bottom w:val="double" w:sz="6" w:space="0" w:color="auto"/>
        <w:right w:val="double" w:sz="6"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108">
    <w:name w:val="xl108"/>
    <w:basedOn w:val="Normal"/>
    <w:rsid w:val="00060470"/>
    <w:pPr>
      <w:pBdr>
        <w:top w:val="double" w:sz="6" w:space="0" w:color="auto"/>
        <w:left w:val="single" w:sz="8" w:space="0" w:color="auto"/>
        <w:right w:val="single" w:sz="8" w:space="0" w:color="auto"/>
      </w:pBdr>
      <w:spacing w:before="100" w:beforeAutospacing="1" w:after="100" w:afterAutospacing="1" w:line="240" w:lineRule="auto"/>
      <w:textAlignment w:val="center"/>
    </w:pPr>
    <w:rPr>
      <w:rFonts w:ascii="Times Armenian" w:hAnsi="Times Armenian"/>
      <w:b w:val="0"/>
      <w:bCs/>
      <w:sz w:val="16"/>
      <w:szCs w:val="16"/>
      <w:lang w:val="en-US" w:eastAsia="en-US"/>
    </w:rPr>
  </w:style>
  <w:style w:type="paragraph" w:customStyle="1" w:styleId="xl109">
    <w:name w:val="xl109"/>
    <w:basedOn w:val="Normal"/>
    <w:rsid w:val="00060470"/>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10">
    <w:name w:val="xl110"/>
    <w:basedOn w:val="Normal"/>
    <w:rsid w:val="00060470"/>
    <w:pPr>
      <w:pBdr>
        <w:top w:val="double" w:sz="6" w:space="0" w:color="auto"/>
        <w:left w:val="single" w:sz="8"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11">
    <w:name w:val="xl111"/>
    <w:basedOn w:val="Normal"/>
    <w:rsid w:val="00060470"/>
    <w:pPr>
      <w:pBdr>
        <w:top w:val="double" w:sz="6" w:space="0" w:color="auto"/>
        <w:right w:val="single" w:sz="8"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12">
    <w:name w:val="xl112"/>
    <w:basedOn w:val="Normal"/>
    <w:rsid w:val="00060470"/>
    <w:pPr>
      <w:pBdr>
        <w:top w:val="double" w:sz="6" w:space="0" w:color="auto"/>
        <w:right w:val="double" w:sz="6"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13">
    <w:name w:val="xl113"/>
    <w:basedOn w:val="Normal"/>
    <w:rsid w:val="00060470"/>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14">
    <w:name w:val="xl114"/>
    <w:basedOn w:val="Normal"/>
    <w:rsid w:val="00060470"/>
    <w:pPr>
      <w:pBdr>
        <w:left w:val="single" w:sz="8" w:space="0" w:color="auto"/>
        <w:bottom w:val="double" w:sz="6"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15">
    <w:name w:val="xl115"/>
    <w:basedOn w:val="Normal"/>
    <w:rsid w:val="00060470"/>
    <w:pPr>
      <w:pBdr>
        <w:left w:val="double" w:sz="6" w:space="0" w:color="auto"/>
        <w:right w:val="single" w:sz="8"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116">
    <w:name w:val="xl116"/>
    <w:basedOn w:val="Normal"/>
    <w:rsid w:val="00060470"/>
    <w:pPr>
      <w:pBdr>
        <w:left w:val="single" w:sz="8" w:space="0" w:color="auto"/>
        <w:right w:val="single" w:sz="8"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17">
    <w:name w:val="xl117"/>
    <w:basedOn w:val="Normal"/>
    <w:rsid w:val="00060470"/>
    <w:pPr>
      <w:pBdr>
        <w:left w:val="single" w:sz="8"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18">
    <w:name w:val="xl118"/>
    <w:basedOn w:val="Normal"/>
    <w:rsid w:val="00060470"/>
    <w:pPr>
      <w:pBdr>
        <w:right w:val="single" w:sz="8"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19">
    <w:name w:val="xl119"/>
    <w:basedOn w:val="Normal"/>
    <w:rsid w:val="00060470"/>
    <w:pPr>
      <w:pBdr>
        <w:right w:val="double" w:sz="6"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20">
    <w:name w:val="xl120"/>
    <w:basedOn w:val="Normal"/>
    <w:rsid w:val="00060470"/>
    <w:pPr>
      <w:pBdr>
        <w:left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121">
    <w:name w:val="xl121"/>
    <w:basedOn w:val="Normal"/>
    <w:rsid w:val="0006047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22">
    <w:name w:val="xl122"/>
    <w:basedOn w:val="Normal"/>
    <w:rsid w:val="00060470"/>
    <w:pPr>
      <w:pBdr>
        <w:left w:val="single" w:sz="8" w:space="0" w:color="auto"/>
        <w:bottom w:val="single" w:sz="8"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23">
    <w:name w:val="xl123"/>
    <w:basedOn w:val="Normal"/>
    <w:rsid w:val="00060470"/>
    <w:pPr>
      <w:pBdr>
        <w:bottom w:val="single" w:sz="8" w:space="0" w:color="auto"/>
        <w:right w:val="single" w:sz="8"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24">
    <w:name w:val="xl124"/>
    <w:basedOn w:val="Normal"/>
    <w:rsid w:val="00060470"/>
    <w:pPr>
      <w:pBdr>
        <w:bottom w:val="single" w:sz="8" w:space="0" w:color="auto"/>
        <w:right w:val="double" w:sz="6"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25">
    <w:name w:val="xl125"/>
    <w:basedOn w:val="Normal"/>
    <w:rsid w:val="00060470"/>
    <w:pPr>
      <w:pBdr>
        <w:top w:val="single" w:sz="8" w:space="0" w:color="auto"/>
        <w:left w:val="double" w:sz="6" w:space="0" w:color="auto"/>
        <w:right w:val="single" w:sz="8"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126">
    <w:name w:val="xl126"/>
    <w:basedOn w:val="Normal"/>
    <w:rsid w:val="00060470"/>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Armenian" w:hAnsi="Times Armenian"/>
      <w:b w:val="0"/>
      <w:bCs/>
      <w:sz w:val="16"/>
      <w:szCs w:val="16"/>
      <w:lang w:val="en-US" w:eastAsia="en-US"/>
    </w:rPr>
  </w:style>
  <w:style w:type="paragraph" w:customStyle="1" w:styleId="xl127">
    <w:name w:val="xl127"/>
    <w:basedOn w:val="Normal"/>
    <w:rsid w:val="0006047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28">
    <w:name w:val="xl128"/>
    <w:basedOn w:val="Normal"/>
    <w:rsid w:val="00060470"/>
    <w:pPr>
      <w:pBdr>
        <w:top w:val="single" w:sz="8" w:space="0" w:color="auto"/>
        <w:left w:val="single" w:sz="8"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29">
    <w:name w:val="xl129"/>
    <w:basedOn w:val="Normal"/>
    <w:rsid w:val="00060470"/>
    <w:pPr>
      <w:pBdr>
        <w:top w:val="single" w:sz="8" w:space="0" w:color="auto"/>
        <w:right w:val="single" w:sz="8"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30">
    <w:name w:val="xl130"/>
    <w:basedOn w:val="Normal"/>
    <w:rsid w:val="00060470"/>
    <w:pPr>
      <w:pBdr>
        <w:top w:val="single" w:sz="8" w:space="0" w:color="auto"/>
        <w:right w:val="double" w:sz="6"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31">
    <w:name w:val="xl131"/>
    <w:basedOn w:val="Normal"/>
    <w:rsid w:val="00060470"/>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Armenian" w:hAnsi="Times Armenian"/>
      <w:b w:val="0"/>
      <w:bCs/>
      <w:sz w:val="16"/>
      <w:szCs w:val="16"/>
      <w:lang w:val="en-US" w:eastAsia="en-US"/>
    </w:rPr>
  </w:style>
  <w:style w:type="paragraph" w:customStyle="1" w:styleId="xl132">
    <w:name w:val="xl132"/>
    <w:basedOn w:val="Normal"/>
    <w:rsid w:val="00060470"/>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Armenian" w:hAnsi="Times Armenian"/>
      <w:sz w:val="16"/>
      <w:szCs w:val="16"/>
      <w:lang w:val="en-US" w:eastAsia="en-US"/>
    </w:rPr>
  </w:style>
  <w:style w:type="paragraph" w:customStyle="1" w:styleId="xl133">
    <w:name w:val="xl133"/>
    <w:basedOn w:val="Normal"/>
    <w:rsid w:val="0006047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134">
    <w:name w:val="xl134"/>
    <w:basedOn w:val="Normal"/>
    <w:rsid w:val="00060470"/>
    <w:pPr>
      <w:pBdr>
        <w:top w:val="single" w:sz="8" w:space="0" w:color="auto"/>
        <w:left w:val="single" w:sz="8"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135">
    <w:name w:val="xl135"/>
    <w:basedOn w:val="Normal"/>
    <w:rsid w:val="00060470"/>
    <w:pPr>
      <w:pBdr>
        <w:top w:val="single" w:sz="8" w:space="0" w:color="auto"/>
        <w:right w:val="single" w:sz="8"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136">
    <w:name w:val="xl136"/>
    <w:basedOn w:val="Normal"/>
    <w:rsid w:val="00060470"/>
    <w:pPr>
      <w:pBdr>
        <w:top w:val="single" w:sz="8" w:space="0" w:color="auto"/>
        <w:right w:val="double" w:sz="6"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137">
    <w:name w:val="xl137"/>
    <w:basedOn w:val="Normal"/>
    <w:rsid w:val="00060470"/>
    <w:pPr>
      <w:pBdr>
        <w:left w:val="single" w:sz="8" w:space="0" w:color="auto"/>
        <w:right w:val="single" w:sz="8" w:space="0" w:color="auto"/>
      </w:pBdr>
      <w:spacing w:before="100" w:beforeAutospacing="1" w:after="100" w:afterAutospacing="1" w:line="240" w:lineRule="auto"/>
      <w:textAlignment w:val="center"/>
    </w:pPr>
    <w:rPr>
      <w:rFonts w:ascii="Times Armenian" w:hAnsi="Times Armenian"/>
      <w:sz w:val="16"/>
      <w:szCs w:val="16"/>
      <w:lang w:val="en-US" w:eastAsia="en-US"/>
    </w:rPr>
  </w:style>
  <w:style w:type="paragraph" w:customStyle="1" w:styleId="xl138">
    <w:name w:val="xl138"/>
    <w:basedOn w:val="Normal"/>
    <w:rsid w:val="00060470"/>
    <w:pPr>
      <w:pBdr>
        <w:left w:val="single" w:sz="8" w:space="0" w:color="auto"/>
        <w:right w:val="single" w:sz="8"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139">
    <w:name w:val="xl139"/>
    <w:basedOn w:val="Normal"/>
    <w:rsid w:val="00060470"/>
    <w:pPr>
      <w:pBdr>
        <w:left w:val="single" w:sz="8"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140">
    <w:name w:val="xl140"/>
    <w:basedOn w:val="Normal"/>
    <w:rsid w:val="00060470"/>
    <w:pPr>
      <w:pBdr>
        <w:right w:val="double" w:sz="6"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141">
    <w:name w:val="xl141"/>
    <w:basedOn w:val="Normal"/>
    <w:rsid w:val="00060470"/>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Armenian" w:hAnsi="Times Armenian"/>
      <w:sz w:val="16"/>
      <w:szCs w:val="16"/>
      <w:lang w:val="en-US" w:eastAsia="en-US"/>
    </w:rPr>
  </w:style>
  <w:style w:type="paragraph" w:customStyle="1" w:styleId="xl142">
    <w:name w:val="xl142"/>
    <w:basedOn w:val="Normal"/>
    <w:rsid w:val="0006047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143">
    <w:name w:val="xl143"/>
    <w:basedOn w:val="Normal"/>
    <w:rsid w:val="00060470"/>
    <w:pPr>
      <w:pBdr>
        <w:left w:val="single" w:sz="8" w:space="0" w:color="auto"/>
        <w:bottom w:val="single" w:sz="8"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144">
    <w:name w:val="xl144"/>
    <w:basedOn w:val="Normal"/>
    <w:rsid w:val="00060470"/>
    <w:pPr>
      <w:pBdr>
        <w:bottom w:val="single" w:sz="8" w:space="0" w:color="auto"/>
        <w:right w:val="single" w:sz="8"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145">
    <w:name w:val="xl145"/>
    <w:basedOn w:val="Normal"/>
    <w:rsid w:val="00060470"/>
    <w:pPr>
      <w:pBdr>
        <w:bottom w:val="single" w:sz="8" w:space="0" w:color="auto"/>
        <w:right w:val="double" w:sz="6"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146">
    <w:name w:val="xl146"/>
    <w:basedOn w:val="Normal"/>
    <w:rsid w:val="00060470"/>
    <w:pPr>
      <w:pBdr>
        <w:left w:val="single" w:sz="8" w:space="0" w:color="auto"/>
        <w:bottom w:val="single" w:sz="8" w:space="0" w:color="auto"/>
      </w:pBdr>
      <w:spacing w:before="100" w:beforeAutospacing="1" w:after="100" w:afterAutospacing="1" w:line="240" w:lineRule="auto"/>
      <w:textAlignment w:val="center"/>
    </w:pPr>
    <w:rPr>
      <w:rFonts w:ascii="Times Armenian" w:hAnsi="Times Armenian"/>
      <w:b w:val="0"/>
      <w:bCs/>
      <w:sz w:val="16"/>
      <w:szCs w:val="16"/>
      <w:lang w:val="en-US" w:eastAsia="en-US"/>
    </w:rPr>
  </w:style>
  <w:style w:type="paragraph" w:customStyle="1" w:styleId="xl147">
    <w:name w:val="xl147"/>
    <w:basedOn w:val="Normal"/>
    <w:rsid w:val="00060470"/>
    <w:pPr>
      <w:pBdr>
        <w:top w:val="single" w:sz="8" w:space="0" w:color="auto"/>
        <w:left w:val="single" w:sz="8" w:space="0" w:color="auto"/>
        <w:right w:val="double" w:sz="6"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148">
    <w:name w:val="xl148"/>
    <w:basedOn w:val="Normal"/>
    <w:rsid w:val="00060470"/>
    <w:pPr>
      <w:pBdr>
        <w:left w:val="single" w:sz="8" w:space="0" w:color="auto"/>
        <w:right w:val="double" w:sz="6"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149">
    <w:name w:val="xl149"/>
    <w:basedOn w:val="Normal"/>
    <w:rsid w:val="00060470"/>
    <w:pPr>
      <w:pBdr>
        <w:left w:val="single" w:sz="8" w:space="0" w:color="auto"/>
        <w:bottom w:val="single" w:sz="8" w:space="0" w:color="auto"/>
        <w:right w:val="double" w:sz="6"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150">
    <w:name w:val="xl150"/>
    <w:basedOn w:val="Normal"/>
    <w:rsid w:val="00060470"/>
    <w:pPr>
      <w:pBdr>
        <w:top w:val="double" w:sz="6" w:space="0" w:color="auto"/>
        <w:left w:val="single" w:sz="8" w:space="0" w:color="auto"/>
        <w:right w:val="double" w:sz="6"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51">
    <w:name w:val="xl151"/>
    <w:basedOn w:val="Normal"/>
    <w:rsid w:val="00060470"/>
    <w:pPr>
      <w:pBdr>
        <w:left w:val="single" w:sz="8" w:space="0" w:color="auto"/>
        <w:right w:val="double" w:sz="6"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52">
    <w:name w:val="xl152"/>
    <w:basedOn w:val="Normal"/>
    <w:rsid w:val="00060470"/>
    <w:pPr>
      <w:pBdr>
        <w:left w:val="single" w:sz="8" w:space="0" w:color="auto"/>
        <w:bottom w:val="single" w:sz="8" w:space="0" w:color="auto"/>
        <w:right w:val="double" w:sz="6"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53">
    <w:name w:val="xl153"/>
    <w:basedOn w:val="Normal"/>
    <w:rsid w:val="00060470"/>
    <w:pPr>
      <w:pBdr>
        <w:top w:val="single" w:sz="8" w:space="0" w:color="auto"/>
        <w:left w:val="single" w:sz="8" w:space="0" w:color="auto"/>
        <w:right w:val="double" w:sz="6"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54">
    <w:name w:val="xl154"/>
    <w:basedOn w:val="Normal"/>
    <w:rsid w:val="00060470"/>
    <w:pPr>
      <w:spacing w:before="100" w:beforeAutospacing="1" w:after="100" w:afterAutospacing="1" w:line="240" w:lineRule="auto"/>
      <w:jc w:val="center"/>
      <w:textAlignment w:val="center"/>
    </w:pPr>
    <w:rPr>
      <w:rFonts w:ascii="Calibri" w:hAnsi="Calibri"/>
      <w:sz w:val="24"/>
      <w:lang w:val="en-US" w:eastAsia="en-US"/>
    </w:rPr>
  </w:style>
  <w:style w:type="paragraph" w:customStyle="1" w:styleId="xl155">
    <w:name w:val="xl155"/>
    <w:basedOn w:val="Normal"/>
    <w:rsid w:val="00060470"/>
    <w:pPr>
      <w:spacing w:before="100" w:beforeAutospacing="1" w:after="100" w:afterAutospacing="1" w:line="240" w:lineRule="auto"/>
      <w:jc w:val="left"/>
      <w:textAlignment w:val="center"/>
    </w:pPr>
    <w:rPr>
      <w:rFonts w:ascii="Times Armenian" w:hAnsi="Times Armenian"/>
      <w:b w:val="0"/>
      <w:bCs/>
      <w:sz w:val="18"/>
      <w:szCs w:val="18"/>
      <w:lang w:val="en-US" w:eastAsia="en-US"/>
    </w:rPr>
  </w:style>
  <w:style w:type="paragraph" w:customStyle="1" w:styleId="xl156">
    <w:name w:val="xl156"/>
    <w:basedOn w:val="Normal"/>
    <w:rsid w:val="00060470"/>
    <w:pPr>
      <w:pBdr>
        <w:top w:val="single" w:sz="8" w:space="0" w:color="auto"/>
        <w:left w:val="single" w:sz="8" w:space="0" w:color="auto"/>
        <w:bottom w:val="double" w:sz="6" w:space="0" w:color="auto"/>
        <w:right w:val="double" w:sz="6" w:space="0" w:color="auto"/>
      </w:pBdr>
      <w:spacing w:before="100" w:beforeAutospacing="1" w:after="100" w:afterAutospacing="1" w:line="240" w:lineRule="auto"/>
      <w:jc w:val="center"/>
      <w:textAlignment w:val="center"/>
    </w:pPr>
    <w:rPr>
      <w:rFonts w:ascii="Times Armenian" w:hAnsi="Times Armenian"/>
      <w:sz w:val="16"/>
      <w:szCs w:val="16"/>
      <w:lang w:val="en-US" w:eastAsia="en-US"/>
    </w:rPr>
  </w:style>
  <w:style w:type="paragraph" w:customStyle="1" w:styleId="xl157">
    <w:name w:val="xl157"/>
    <w:basedOn w:val="Normal"/>
    <w:rsid w:val="00060470"/>
    <w:pPr>
      <w:pBdr>
        <w:left w:val="single" w:sz="8" w:space="0" w:color="auto"/>
        <w:bottom w:val="double" w:sz="6" w:space="0" w:color="auto"/>
        <w:right w:val="double" w:sz="6" w:space="0" w:color="auto"/>
      </w:pBdr>
      <w:spacing w:before="100" w:beforeAutospacing="1" w:after="100" w:afterAutospacing="1" w:line="240" w:lineRule="auto"/>
      <w:jc w:val="center"/>
      <w:textAlignment w:val="center"/>
    </w:pPr>
    <w:rPr>
      <w:rFonts w:ascii="Times Armenian" w:hAnsi="Times Armenian"/>
      <w:b w:val="0"/>
      <w:bCs/>
      <w:sz w:val="16"/>
      <w:szCs w:val="16"/>
      <w:lang w:val="en-US" w:eastAsia="en-US"/>
    </w:rPr>
  </w:style>
  <w:style w:type="paragraph" w:customStyle="1" w:styleId="xl158">
    <w:name w:val="xl158"/>
    <w:basedOn w:val="Normal"/>
    <w:rsid w:val="00060470"/>
    <w:pPr>
      <w:pBdr>
        <w:top w:val="double" w:sz="6" w:space="0" w:color="auto"/>
        <w:left w:val="single" w:sz="8" w:space="0" w:color="auto"/>
        <w:right w:val="double" w:sz="6" w:space="0" w:color="auto"/>
      </w:pBdr>
      <w:spacing w:before="100" w:beforeAutospacing="1" w:after="100" w:afterAutospacing="1" w:line="240" w:lineRule="auto"/>
      <w:textAlignment w:val="center"/>
    </w:pPr>
    <w:rPr>
      <w:rFonts w:ascii="Times Armenian" w:hAnsi="Times Armenian"/>
      <w:b w:val="0"/>
      <w:bCs/>
      <w:sz w:val="16"/>
      <w:szCs w:val="16"/>
      <w:lang w:val="en-US" w:eastAsia="en-US"/>
    </w:rPr>
  </w:style>
  <w:style w:type="paragraph" w:customStyle="1" w:styleId="xl159">
    <w:name w:val="xl159"/>
    <w:basedOn w:val="Normal"/>
    <w:rsid w:val="00060470"/>
    <w:pPr>
      <w:pBdr>
        <w:left w:val="single" w:sz="8" w:space="0" w:color="auto"/>
        <w:bottom w:val="single" w:sz="8" w:space="0" w:color="auto"/>
        <w:right w:val="double" w:sz="6" w:space="0" w:color="auto"/>
      </w:pBdr>
      <w:spacing w:before="100" w:beforeAutospacing="1" w:after="100" w:afterAutospacing="1" w:line="240" w:lineRule="auto"/>
      <w:textAlignment w:val="center"/>
    </w:pPr>
    <w:rPr>
      <w:rFonts w:ascii="Times Armenian" w:hAnsi="Times Armenian"/>
      <w:b w:val="0"/>
      <w:bCs/>
      <w:sz w:val="16"/>
      <w:szCs w:val="16"/>
      <w:lang w:val="en-US" w:eastAsia="en-US"/>
    </w:rPr>
  </w:style>
  <w:style w:type="paragraph" w:customStyle="1" w:styleId="xl160">
    <w:name w:val="xl160"/>
    <w:basedOn w:val="Normal"/>
    <w:rsid w:val="00060470"/>
    <w:pPr>
      <w:pBdr>
        <w:top w:val="single" w:sz="8" w:space="0" w:color="auto"/>
        <w:left w:val="single" w:sz="8" w:space="0" w:color="auto"/>
        <w:right w:val="double" w:sz="6" w:space="0" w:color="auto"/>
      </w:pBdr>
      <w:spacing w:before="100" w:beforeAutospacing="1" w:after="100" w:afterAutospacing="1" w:line="240" w:lineRule="auto"/>
      <w:textAlignment w:val="center"/>
    </w:pPr>
    <w:rPr>
      <w:rFonts w:ascii="Times Armenian" w:hAnsi="Times Armenian"/>
      <w:b w:val="0"/>
      <w:bCs/>
      <w:sz w:val="16"/>
      <w:szCs w:val="16"/>
      <w:lang w:val="en-US" w:eastAsia="en-US"/>
    </w:rPr>
  </w:style>
  <w:style w:type="paragraph" w:customStyle="1" w:styleId="xl161">
    <w:name w:val="xl161"/>
    <w:basedOn w:val="Normal"/>
    <w:rsid w:val="00060470"/>
    <w:pPr>
      <w:spacing w:before="100" w:beforeAutospacing="1" w:after="100" w:afterAutospacing="1" w:line="240" w:lineRule="auto"/>
      <w:jc w:val="left"/>
      <w:textAlignment w:val="center"/>
    </w:pPr>
    <w:rPr>
      <w:rFonts w:ascii="Times Armenian" w:hAnsi="Times Armenian"/>
      <w:b w:val="0"/>
      <w:bCs/>
      <w:sz w:val="18"/>
      <w:szCs w:val="18"/>
      <w:u w:val="single"/>
      <w:lang w:val="en-US" w:eastAsia="en-US"/>
    </w:rPr>
  </w:style>
  <w:style w:type="paragraph" w:customStyle="1" w:styleId="xl24">
    <w:name w:val="xl24"/>
    <w:basedOn w:val="Normal"/>
    <w:rsid w:val="00060470"/>
    <w:pPr>
      <w:spacing w:before="100" w:beforeAutospacing="1" w:after="100" w:afterAutospacing="1" w:line="240" w:lineRule="auto"/>
      <w:jc w:val="left"/>
      <w:textAlignment w:val="top"/>
    </w:pPr>
    <w:rPr>
      <w:rFonts w:ascii="Times Armenian" w:eastAsia="Arial Unicode MS" w:hAnsi="Times Armenian" w:cs="Arial Unicode MS"/>
      <w:b w:val="0"/>
      <w:bCs/>
      <w:szCs w:val="22"/>
      <w:lang w:val="en-US" w:eastAsia="en-US"/>
    </w:rPr>
  </w:style>
  <w:style w:type="paragraph" w:customStyle="1" w:styleId="xl26">
    <w:name w:val="xl26"/>
    <w:basedOn w:val="Normal"/>
    <w:rsid w:val="00060470"/>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Armenian" w:eastAsia="Arial Unicode MS" w:hAnsi="Times Armenian" w:cs="Arial Unicode MS"/>
      <w:b w:val="0"/>
      <w:bCs/>
      <w:szCs w:val="22"/>
      <w:lang w:val="en-US" w:eastAsia="en-US"/>
    </w:rPr>
  </w:style>
  <w:style w:type="paragraph" w:customStyle="1" w:styleId="xl27">
    <w:name w:val="xl27"/>
    <w:basedOn w:val="Normal"/>
    <w:rsid w:val="00060470"/>
    <w:pPr>
      <w:pBdr>
        <w:bottom w:val="single" w:sz="4" w:space="0" w:color="auto"/>
      </w:pBdr>
      <w:spacing w:before="100" w:beforeAutospacing="1" w:after="100" w:afterAutospacing="1" w:line="240" w:lineRule="auto"/>
      <w:jc w:val="left"/>
      <w:textAlignment w:val="top"/>
    </w:pPr>
    <w:rPr>
      <w:rFonts w:ascii="Times Armenian" w:eastAsia="Arial Unicode MS" w:hAnsi="Times Armenian" w:cs="Arial Unicode MS"/>
      <w:szCs w:val="22"/>
      <w:lang w:val="en-US" w:eastAsia="en-US"/>
    </w:rPr>
  </w:style>
  <w:style w:type="paragraph" w:customStyle="1" w:styleId="xl28">
    <w:name w:val="xl28"/>
    <w:basedOn w:val="Normal"/>
    <w:rsid w:val="00060470"/>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Armenian" w:eastAsia="Arial Unicode MS" w:hAnsi="Times Armenian" w:cs="Arial Unicode MS"/>
      <w:szCs w:val="22"/>
      <w:lang w:val="en-US" w:eastAsia="en-US"/>
    </w:rPr>
  </w:style>
  <w:style w:type="paragraph" w:customStyle="1" w:styleId="xl29">
    <w:name w:val="xl29"/>
    <w:basedOn w:val="Normal"/>
    <w:rsid w:val="00060470"/>
    <w:pPr>
      <w:pBdr>
        <w:bottom w:val="single" w:sz="4" w:space="0" w:color="auto"/>
        <w:right w:val="single" w:sz="4" w:space="0" w:color="auto"/>
      </w:pBdr>
      <w:spacing w:before="100" w:beforeAutospacing="1" w:after="100" w:afterAutospacing="1" w:line="240" w:lineRule="auto"/>
      <w:jc w:val="left"/>
      <w:textAlignment w:val="top"/>
    </w:pPr>
    <w:rPr>
      <w:rFonts w:ascii="Times Armenian" w:eastAsia="Arial Unicode MS" w:hAnsi="Times Armenian" w:cs="Arial Unicode MS"/>
      <w:b w:val="0"/>
      <w:bCs/>
      <w:szCs w:val="22"/>
      <w:lang w:val="en-US" w:eastAsia="en-US"/>
    </w:rPr>
  </w:style>
  <w:style w:type="paragraph" w:customStyle="1" w:styleId="xl30">
    <w:name w:val="xl30"/>
    <w:basedOn w:val="Normal"/>
    <w:rsid w:val="00060470"/>
    <w:pPr>
      <w:pBdr>
        <w:bottom w:val="single" w:sz="4" w:space="0" w:color="auto"/>
      </w:pBdr>
      <w:spacing w:before="100" w:beforeAutospacing="1" w:after="100" w:afterAutospacing="1" w:line="240" w:lineRule="auto"/>
      <w:jc w:val="center"/>
      <w:textAlignment w:val="top"/>
    </w:pPr>
    <w:rPr>
      <w:rFonts w:ascii="Times Armenian" w:eastAsia="Arial Unicode MS" w:hAnsi="Times Armenian" w:cs="Arial Unicode MS"/>
      <w:b w:val="0"/>
      <w:bCs/>
      <w:szCs w:val="22"/>
      <w:lang w:val="en-US" w:eastAsia="en-US"/>
    </w:rPr>
  </w:style>
  <w:style w:type="paragraph" w:customStyle="1" w:styleId="xl31">
    <w:name w:val="xl31"/>
    <w:basedOn w:val="Normal"/>
    <w:rsid w:val="00060470"/>
    <w:pPr>
      <w:pBdr>
        <w:left w:val="single" w:sz="4" w:space="0" w:color="auto"/>
        <w:bottom w:val="single" w:sz="4" w:space="0" w:color="auto"/>
      </w:pBdr>
      <w:spacing w:before="100" w:beforeAutospacing="1" w:after="100" w:afterAutospacing="1" w:line="240" w:lineRule="auto"/>
      <w:jc w:val="center"/>
      <w:textAlignment w:val="top"/>
    </w:pPr>
    <w:rPr>
      <w:rFonts w:ascii="Times Armenian" w:eastAsia="Arial Unicode MS" w:hAnsi="Times Armenian" w:cs="Arial Unicode MS"/>
      <w:b w:val="0"/>
      <w:bCs/>
      <w:sz w:val="24"/>
      <w:lang w:val="en-US" w:eastAsia="en-US"/>
    </w:rPr>
  </w:style>
  <w:style w:type="paragraph" w:customStyle="1" w:styleId="xl32">
    <w:name w:val="xl32"/>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Armenian" w:eastAsia="Arial Unicode MS" w:hAnsi="Times Armenian" w:cs="Arial Unicode MS"/>
      <w:sz w:val="24"/>
      <w:lang w:val="en-US" w:eastAsia="en-US"/>
    </w:rPr>
  </w:style>
  <w:style w:type="paragraph" w:customStyle="1" w:styleId="xl33">
    <w:name w:val="xl33"/>
    <w:basedOn w:val="Normal"/>
    <w:rsid w:val="00060470"/>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Times Armenian" w:eastAsia="Arial Unicode MS" w:hAnsi="Times Armenian" w:cs="Arial Unicode MS"/>
      <w:sz w:val="24"/>
      <w:lang w:val="en-US" w:eastAsia="en-US"/>
    </w:rPr>
  </w:style>
  <w:style w:type="paragraph" w:customStyle="1" w:styleId="xl34">
    <w:name w:val="xl34"/>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Armenian" w:eastAsia="Arial Unicode MS" w:hAnsi="Times Armenian" w:cs="Arial Unicode MS"/>
      <w:b w:val="0"/>
      <w:bCs/>
      <w:sz w:val="24"/>
      <w:lang w:val="en-US" w:eastAsia="en-US"/>
    </w:rPr>
  </w:style>
  <w:style w:type="paragraph" w:customStyle="1" w:styleId="xl35">
    <w:name w:val="xl35"/>
    <w:basedOn w:val="Normal"/>
    <w:rsid w:val="00060470"/>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Times Armenian" w:eastAsia="Arial Unicode MS" w:hAnsi="Times Armenian" w:cs="Arial Unicode MS"/>
      <w:b w:val="0"/>
      <w:bCs/>
      <w:sz w:val="24"/>
      <w:lang w:val="en-US" w:eastAsia="en-US"/>
    </w:rPr>
  </w:style>
  <w:style w:type="paragraph" w:customStyle="1" w:styleId="xl36">
    <w:name w:val="xl36"/>
    <w:basedOn w:val="Normal"/>
    <w:rsid w:val="00060470"/>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Times Armenian" w:eastAsia="Arial Unicode MS" w:hAnsi="Times Armenian" w:cs="Arial Unicode MS"/>
      <w:sz w:val="24"/>
      <w:lang w:val="en-US" w:eastAsia="en-US"/>
    </w:rPr>
  </w:style>
  <w:style w:type="paragraph" w:customStyle="1" w:styleId="xl23">
    <w:name w:val="xl23"/>
    <w:basedOn w:val="Normal"/>
    <w:rsid w:val="00060470"/>
    <w:pPr>
      <w:spacing w:before="100" w:beforeAutospacing="1" w:after="100" w:afterAutospacing="1" w:line="240" w:lineRule="auto"/>
      <w:jc w:val="center"/>
      <w:textAlignment w:val="center"/>
    </w:pPr>
    <w:rPr>
      <w:rFonts w:ascii="Times Armenian" w:hAnsi="Times Armenian"/>
      <w:sz w:val="24"/>
      <w:lang w:val="en-US" w:eastAsia="en-US"/>
    </w:rPr>
  </w:style>
  <w:style w:type="paragraph" w:customStyle="1" w:styleId="xl37">
    <w:name w:val="xl37"/>
    <w:basedOn w:val="Normal"/>
    <w:rsid w:val="00060470"/>
    <w:pPr>
      <w:spacing w:before="100" w:beforeAutospacing="1" w:after="100" w:afterAutospacing="1" w:line="240" w:lineRule="auto"/>
      <w:jc w:val="right"/>
      <w:textAlignment w:val="center"/>
    </w:pPr>
    <w:rPr>
      <w:rFonts w:ascii="Times Armenian" w:eastAsia="Arial Unicode MS" w:hAnsi="Times Armenian" w:cs="Arial Unicode MS"/>
      <w:szCs w:val="22"/>
      <w:lang w:val="en-US" w:eastAsia="en-US"/>
    </w:rPr>
  </w:style>
  <w:style w:type="paragraph" w:customStyle="1" w:styleId="xl38">
    <w:name w:val="xl38"/>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24"/>
      <w:lang w:val="en-US" w:eastAsia="en-US"/>
    </w:rPr>
  </w:style>
  <w:style w:type="paragraph" w:customStyle="1" w:styleId="xl39">
    <w:name w:val="xl39"/>
    <w:basedOn w:val="Normal"/>
    <w:rsid w:val="0006047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24"/>
      <w:lang w:val="en-US" w:eastAsia="en-US"/>
    </w:rPr>
  </w:style>
  <w:style w:type="paragraph" w:customStyle="1" w:styleId="xl40">
    <w:name w:val="xl40"/>
    <w:basedOn w:val="Normal"/>
    <w:rsid w:val="00060470"/>
    <w:pPr>
      <w:pBdr>
        <w:bottom w:val="single" w:sz="4" w:space="0" w:color="auto"/>
        <w:right w:val="single" w:sz="4" w:space="0" w:color="auto"/>
      </w:pBdr>
      <w:spacing w:before="100" w:beforeAutospacing="1" w:after="100" w:afterAutospacing="1" w:line="240" w:lineRule="auto"/>
      <w:jc w:val="left"/>
      <w:textAlignment w:val="center"/>
    </w:pPr>
    <w:rPr>
      <w:rFonts w:ascii="Times Armenian" w:eastAsia="Arial Unicode MS" w:hAnsi="Times Armenian" w:cs="Arial Unicode MS"/>
      <w:sz w:val="24"/>
      <w:lang w:val="en-US" w:eastAsia="en-US"/>
    </w:rPr>
  </w:style>
  <w:style w:type="paragraph" w:customStyle="1" w:styleId="xl41">
    <w:name w:val="xl41"/>
    <w:basedOn w:val="Normal"/>
    <w:rsid w:val="0006047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Armenian" w:eastAsia="Arial Unicode MS" w:hAnsi="Times Armenian" w:cs="Arial Unicode MS"/>
      <w:sz w:val="24"/>
      <w:lang w:val="en-US" w:eastAsia="en-US"/>
    </w:rPr>
  </w:style>
  <w:style w:type="paragraph" w:customStyle="1" w:styleId="xl42">
    <w:name w:val="xl42"/>
    <w:basedOn w:val="Normal"/>
    <w:rsid w:val="00060470"/>
    <w:pPr>
      <w:pBdr>
        <w:left w:val="single" w:sz="4" w:space="0" w:color="auto"/>
        <w:right w:val="single" w:sz="4" w:space="0" w:color="auto"/>
      </w:pBdr>
      <w:spacing w:before="100" w:beforeAutospacing="1" w:after="100" w:afterAutospacing="1" w:line="240" w:lineRule="auto"/>
      <w:jc w:val="left"/>
      <w:textAlignment w:val="center"/>
    </w:pPr>
    <w:rPr>
      <w:rFonts w:ascii="Times Armenian" w:eastAsia="Arial Unicode MS" w:hAnsi="Times Armenian" w:cs="Arial Unicode MS"/>
      <w:sz w:val="24"/>
      <w:lang w:val="en-US" w:eastAsia="en-US"/>
    </w:rPr>
  </w:style>
  <w:style w:type="paragraph" w:customStyle="1" w:styleId="xl45">
    <w:name w:val="xl45"/>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val="0"/>
      <w:bCs/>
      <w:sz w:val="24"/>
      <w:lang w:val="en-US" w:eastAsia="en-US"/>
    </w:rPr>
  </w:style>
  <w:style w:type="paragraph" w:customStyle="1" w:styleId="xl46">
    <w:name w:val="xl46"/>
    <w:basedOn w:val="Normal"/>
    <w:rsid w:val="00060470"/>
    <w:pPr>
      <w:spacing w:before="100" w:beforeAutospacing="1" w:after="100" w:afterAutospacing="1" w:line="240" w:lineRule="auto"/>
      <w:jc w:val="center"/>
      <w:textAlignment w:val="center"/>
    </w:pPr>
    <w:rPr>
      <w:rFonts w:ascii="Times Armenian" w:eastAsia="Arial Unicode MS" w:hAnsi="Times Armenian" w:cs="Arial Unicode MS"/>
      <w:b w:val="0"/>
      <w:bCs/>
      <w:szCs w:val="22"/>
      <w:u w:val="single"/>
      <w:lang w:val="en-US" w:eastAsia="en-US"/>
    </w:rPr>
  </w:style>
  <w:style w:type="paragraph" w:customStyle="1" w:styleId="xl47">
    <w:name w:val="xl47"/>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24"/>
      <w:lang w:val="en-US" w:eastAsia="en-US"/>
    </w:rPr>
  </w:style>
  <w:style w:type="paragraph" w:customStyle="1" w:styleId="xl48">
    <w:name w:val="xl48"/>
    <w:basedOn w:val="Normal"/>
    <w:rsid w:val="00060470"/>
    <w:pPr>
      <w:spacing w:before="100" w:beforeAutospacing="1" w:after="100" w:afterAutospacing="1" w:line="240" w:lineRule="auto"/>
      <w:jc w:val="right"/>
      <w:textAlignment w:val="center"/>
    </w:pPr>
    <w:rPr>
      <w:rFonts w:ascii="Times Armenian" w:eastAsia="Arial Unicode MS" w:hAnsi="Times Armenian" w:cs="Arial Unicode MS"/>
      <w:szCs w:val="22"/>
      <w:lang w:val="en-US" w:eastAsia="en-US"/>
    </w:rPr>
  </w:style>
  <w:style w:type="paragraph" w:customStyle="1" w:styleId="StyleBodyTextArialAMChar">
    <w:name w:val="Style Body Text + Arial AM Char"/>
    <w:basedOn w:val="BodyText"/>
    <w:rsid w:val="00060470"/>
    <w:pPr>
      <w:spacing w:before="0" w:after="240" w:line="240" w:lineRule="auto"/>
      <w:jc w:val="both"/>
    </w:pPr>
    <w:rPr>
      <w:rFonts w:ascii="Arial AM" w:hAnsi="Arial AM"/>
      <w:spacing w:val="-5"/>
      <w:sz w:val="24"/>
      <w:lang w:val="en-GB" w:eastAsia="en-US"/>
    </w:rPr>
  </w:style>
  <w:style w:type="paragraph" w:customStyle="1" w:styleId="CharCharChar1">
    <w:name w:val="Char Char Char Знак Знак"/>
    <w:basedOn w:val="Normal"/>
    <w:uiPriority w:val="99"/>
    <w:rsid w:val="00060470"/>
    <w:pPr>
      <w:spacing w:before="0" w:after="160" w:line="240" w:lineRule="exact"/>
      <w:jc w:val="left"/>
    </w:pPr>
    <w:rPr>
      <w:rFonts w:ascii="Arial" w:hAnsi="Arial" w:cs="Arial"/>
      <w:sz w:val="20"/>
      <w:szCs w:val="20"/>
      <w:lang w:val="en-US" w:eastAsia="en-US"/>
    </w:rPr>
  </w:style>
  <w:style w:type="paragraph" w:customStyle="1" w:styleId="CharCharCharCharChar">
    <w:name w:val="Char Char Char Char Char Знак Знак"/>
    <w:basedOn w:val="Normal"/>
    <w:uiPriority w:val="99"/>
    <w:rsid w:val="00060470"/>
    <w:pPr>
      <w:spacing w:before="0" w:after="160" w:line="240" w:lineRule="exact"/>
      <w:jc w:val="left"/>
    </w:pPr>
    <w:rPr>
      <w:rFonts w:ascii="Arial" w:hAnsi="Arial" w:cs="Arial"/>
      <w:sz w:val="20"/>
      <w:szCs w:val="20"/>
      <w:lang w:val="en-US" w:eastAsia="en-US"/>
    </w:rPr>
  </w:style>
  <w:style w:type="paragraph" w:customStyle="1" w:styleId="10">
    <w:name w:val="Абзац списка1"/>
    <w:basedOn w:val="Normal"/>
    <w:uiPriority w:val="99"/>
    <w:qFormat/>
    <w:rsid w:val="00060470"/>
    <w:pPr>
      <w:spacing w:before="0" w:after="200"/>
      <w:ind w:left="720"/>
      <w:jc w:val="left"/>
    </w:pPr>
    <w:rPr>
      <w:rFonts w:ascii="Calibri" w:eastAsia="Calibri" w:hAnsi="Calibri"/>
      <w:szCs w:val="22"/>
      <w:lang w:eastAsia="en-US"/>
    </w:rPr>
  </w:style>
  <w:style w:type="paragraph" w:styleId="NoSpacing">
    <w:name w:val="No Spacing"/>
    <w:link w:val="NoSpacingChar"/>
    <w:uiPriority w:val="1"/>
    <w:qFormat/>
    <w:rsid w:val="00060470"/>
    <w:rPr>
      <w:rFonts w:ascii="Calibri" w:eastAsia="Calibri" w:hAnsi="Calibri"/>
      <w:sz w:val="22"/>
      <w:szCs w:val="22"/>
    </w:rPr>
  </w:style>
  <w:style w:type="paragraph" w:customStyle="1" w:styleId="5">
    <w:name w:val="Знак Знак5"/>
    <w:basedOn w:val="Normal"/>
    <w:link w:val="Char2"/>
    <w:rsid w:val="00060470"/>
    <w:pPr>
      <w:spacing w:before="0" w:after="160" w:line="240" w:lineRule="exact"/>
      <w:jc w:val="left"/>
    </w:pPr>
    <w:rPr>
      <w:rFonts w:ascii="Arial" w:hAnsi="Arial" w:cs="Arial"/>
      <w:sz w:val="20"/>
      <w:szCs w:val="20"/>
      <w:lang w:val="en-US" w:eastAsia="en-US"/>
    </w:rPr>
  </w:style>
  <w:style w:type="paragraph" w:customStyle="1" w:styleId="subhead3">
    <w:name w:val="sub_head3"/>
    <w:basedOn w:val="Normal"/>
    <w:rsid w:val="00060470"/>
    <w:pPr>
      <w:spacing w:before="0" w:after="120"/>
    </w:pPr>
    <w:rPr>
      <w:rFonts w:ascii="Times Armenian" w:hAnsi="Times Armenian"/>
      <w:i/>
      <w:szCs w:val="22"/>
      <w:u w:val="single"/>
      <w:lang w:val="en-US"/>
    </w:rPr>
  </w:style>
  <w:style w:type="paragraph" w:customStyle="1" w:styleId="StyleHeading2ParanumTextLeft">
    <w:name w:val="Style Heading 2ParanumText + Left"/>
    <w:basedOn w:val="Heading2"/>
    <w:rsid w:val="00060470"/>
    <w:pPr>
      <w:widowControl w:val="0"/>
      <w:numPr>
        <w:numId w:val="4"/>
      </w:numPr>
      <w:tabs>
        <w:tab w:val="clear" w:pos="720"/>
        <w:tab w:val="num" w:pos="1440"/>
      </w:tabs>
      <w:spacing w:before="120" w:after="120" w:line="240" w:lineRule="auto"/>
      <w:ind w:left="1440"/>
      <w:jc w:val="left"/>
    </w:pPr>
    <w:rPr>
      <w:rFonts w:ascii="Times Armenian" w:hAnsi="Times Armenian"/>
      <w:bCs/>
      <w:kern w:val="28"/>
      <w:szCs w:val="20"/>
      <w:lang w:val="en-GB"/>
    </w:rPr>
  </w:style>
  <w:style w:type="paragraph" w:customStyle="1" w:styleId="annexedhead">
    <w:name w:val="annexed head"/>
    <w:basedOn w:val="Heading2"/>
    <w:rsid w:val="00060470"/>
    <w:pPr>
      <w:widowControl w:val="0"/>
      <w:spacing w:before="120" w:after="120" w:line="240" w:lineRule="auto"/>
      <w:ind w:left="928" w:hanging="360"/>
      <w:jc w:val="left"/>
    </w:pPr>
    <w:rPr>
      <w:rFonts w:ascii="Times Armenian" w:hAnsi="Times Armenian"/>
      <w:kern w:val="28"/>
      <w:szCs w:val="20"/>
      <w:lang w:val="en-GB"/>
    </w:rPr>
  </w:style>
  <w:style w:type="paragraph" w:customStyle="1" w:styleId="Tabletitle">
    <w:name w:val="Table_title"/>
    <w:basedOn w:val="Normal"/>
    <w:rsid w:val="00060470"/>
    <w:pPr>
      <w:tabs>
        <w:tab w:val="left" w:pos="9626"/>
        <w:tab w:val="left" w:pos="10916"/>
        <w:tab w:val="left" w:pos="12206"/>
        <w:tab w:val="left" w:pos="13496"/>
      </w:tabs>
      <w:spacing w:before="0" w:line="240" w:lineRule="auto"/>
      <w:ind w:left="108"/>
      <w:jc w:val="left"/>
    </w:pPr>
    <w:rPr>
      <w:rFonts w:ascii="Times Armenian" w:hAnsi="Times Armenian" w:cs="Arial"/>
      <w:b w:val="0"/>
      <w:bCs/>
      <w:szCs w:val="22"/>
      <w:lang w:val="en-US"/>
    </w:rPr>
  </w:style>
  <w:style w:type="paragraph" w:customStyle="1" w:styleId="StyleHeading3CenteredtextLinespacingsingle">
    <w:name w:val="Style Heading 3Centered(text) + Line spacing:  single"/>
    <w:basedOn w:val="Heading3"/>
    <w:rsid w:val="00060470"/>
    <w:pPr>
      <w:widowControl w:val="0"/>
      <w:ind w:left="928" w:hanging="360"/>
    </w:pPr>
    <w:rPr>
      <w:rFonts w:ascii="Times Armenian" w:hAnsi="Times Armenian" w:cs="Times New Roman"/>
      <w:bCs w:val="0"/>
      <w:i/>
      <w:iCs/>
      <w:spacing w:val="-5"/>
      <w:szCs w:val="20"/>
    </w:rPr>
  </w:style>
  <w:style w:type="paragraph" w:customStyle="1" w:styleId="Titlefigure">
    <w:name w:val="Title_figure"/>
    <w:basedOn w:val="Caption"/>
    <w:next w:val="Normal"/>
    <w:rsid w:val="00060470"/>
    <w:pPr>
      <w:keepNext/>
      <w:spacing w:before="0" w:after="60" w:line="240" w:lineRule="auto"/>
      <w:jc w:val="left"/>
    </w:pPr>
    <w:rPr>
      <w:rFonts w:ascii="Times Armenian" w:hAnsi="Times Armenian"/>
      <w:color w:val="auto"/>
      <w:sz w:val="22"/>
      <w:szCs w:val="20"/>
      <w:lang w:val="en-US"/>
    </w:rPr>
  </w:style>
  <w:style w:type="paragraph" w:customStyle="1" w:styleId="ModelNrmlSingle">
    <w:name w:val="ModelNrmlSingle"/>
    <w:basedOn w:val="Normal"/>
    <w:rsid w:val="00060470"/>
    <w:pPr>
      <w:spacing w:before="0" w:after="240" w:line="240" w:lineRule="auto"/>
      <w:ind w:firstLine="720"/>
    </w:pPr>
    <w:rPr>
      <w:rFonts w:ascii="Times New Roman" w:hAnsi="Times New Roman"/>
      <w:szCs w:val="20"/>
      <w:lang w:val="en-US" w:eastAsia="en-US"/>
    </w:rPr>
  </w:style>
  <w:style w:type="paragraph" w:customStyle="1" w:styleId="CharCharCharCharCharCharCharCharCharCharCharCharCharCharChar">
    <w:name w:val="Char Char Char Char Знак Char Знак Char Char Char Char Char Char Char Char Char Char"/>
    <w:basedOn w:val="Normal"/>
    <w:uiPriority w:val="99"/>
    <w:rsid w:val="00060470"/>
    <w:pPr>
      <w:tabs>
        <w:tab w:val="left" w:pos="709"/>
      </w:tabs>
      <w:spacing w:before="0" w:line="240" w:lineRule="auto"/>
      <w:jc w:val="left"/>
    </w:pPr>
    <w:rPr>
      <w:rFonts w:ascii="Tahoma" w:hAnsi="Tahoma"/>
      <w:sz w:val="24"/>
      <w:lang w:val="pl-PL" w:eastAsia="pl-PL"/>
    </w:rPr>
  </w:style>
  <w:style w:type="character" w:customStyle="1" w:styleId="hps">
    <w:name w:val="hps"/>
    <w:basedOn w:val="DefaultParagraphFont"/>
    <w:rsid w:val="00060470"/>
  </w:style>
  <w:style w:type="character" w:customStyle="1" w:styleId="CharChar4">
    <w:name w:val="Char Char4"/>
    <w:locked/>
    <w:rsid w:val="00060470"/>
    <w:rPr>
      <w:rFonts w:ascii="Times Armenian" w:hAnsi="Times Armenian"/>
      <w:lang w:val="hy-AM" w:eastAsia="en-US" w:bidi="ar-SA"/>
    </w:rPr>
  </w:style>
  <w:style w:type="character" w:customStyle="1" w:styleId="normChar">
    <w:name w:val="norm Char"/>
    <w:link w:val="norm"/>
    <w:locked/>
    <w:rsid w:val="00060470"/>
    <w:rPr>
      <w:rFonts w:ascii="Arial Armenian" w:hAnsi="Arial Armenian"/>
      <w:sz w:val="22"/>
      <w:lang w:eastAsia="ru-RU"/>
    </w:rPr>
  </w:style>
  <w:style w:type="character" w:customStyle="1" w:styleId="Heading3Char1">
    <w:name w:val="Heading 3 Char1"/>
    <w:aliases w:val="Centered Char,(text) Char,(Sub-Chapter) Char,Heading 3 Char Char Char Char Char Char Char1,Centered Char1,(text) Char1,(Sub-Chapter) Char1,Heading 3 Char2"/>
    <w:rsid w:val="00060470"/>
    <w:rPr>
      <w:rFonts w:ascii="Times Armenian" w:hAnsi="Times Armenian"/>
      <w:sz w:val="24"/>
      <w:lang w:val="fr-FR" w:eastAsia="en-US" w:bidi="ar-SA"/>
    </w:rPr>
  </w:style>
  <w:style w:type="character" w:customStyle="1" w:styleId="CharChar16">
    <w:name w:val="Char Char16"/>
    <w:uiPriority w:val="99"/>
    <w:rsid w:val="00060470"/>
    <w:rPr>
      <w:b/>
      <w:sz w:val="32"/>
      <w:lang w:val="en-GB" w:eastAsia="en-US" w:bidi="ar-SA"/>
    </w:rPr>
  </w:style>
  <w:style w:type="character" w:customStyle="1" w:styleId="CharChar14">
    <w:name w:val="Char Char14"/>
    <w:uiPriority w:val="99"/>
    <w:rsid w:val="00060470"/>
    <w:rPr>
      <w:sz w:val="22"/>
      <w:lang w:val="en-GB" w:eastAsia="en-US" w:bidi="ar-SA"/>
    </w:rPr>
  </w:style>
  <w:style w:type="character" w:customStyle="1" w:styleId="CharChar15">
    <w:name w:val="Char Char15"/>
    <w:uiPriority w:val="99"/>
    <w:rsid w:val="00060470"/>
    <w:rPr>
      <w:sz w:val="36"/>
      <w:lang w:val="en-GB" w:eastAsia="en-US" w:bidi="ar-SA"/>
    </w:rPr>
  </w:style>
  <w:style w:type="character" w:customStyle="1" w:styleId="CharChar13">
    <w:name w:val="Char Char13"/>
    <w:uiPriority w:val="99"/>
    <w:rsid w:val="00060470"/>
    <w:rPr>
      <w:sz w:val="22"/>
      <w:lang w:val="en-GB" w:eastAsia="en-US" w:bidi="ar-SA"/>
    </w:rPr>
  </w:style>
  <w:style w:type="character" w:customStyle="1" w:styleId="CharChar12">
    <w:name w:val="Char Char12"/>
    <w:uiPriority w:val="99"/>
    <w:rsid w:val="00060470"/>
    <w:rPr>
      <w:sz w:val="22"/>
      <w:lang w:val="en-GB" w:eastAsia="en-US" w:bidi="ar-SA"/>
    </w:rPr>
  </w:style>
  <w:style w:type="character" w:customStyle="1" w:styleId="CharChar11">
    <w:name w:val="Char Char11"/>
    <w:uiPriority w:val="99"/>
    <w:rsid w:val="00060470"/>
    <w:rPr>
      <w:rFonts w:ascii="Times Armenian" w:hAnsi="Times Armenian"/>
      <w:b/>
      <w:bCs/>
      <w:sz w:val="32"/>
      <w:szCs w:val="24"/>
      <w:lang w:val="fr-FR" w:eastAsia="en-US" w:bidi="ar-SA"/>
    </w:rPr>
  </w:style>
  <w:style w:type="character" w:customStyle="1" w:styleId="CharChar10">
    <w:name w:val="Char Char10"/>
    <w:uiPriority w:val="99"/>
    <w:rsid w:val="00060470"/>
    <w:rPr>
      <w:rFonts w:ascii="Times Armenian" w:hAnsi="Times Armenian"/>
      <w:color w:val="993300"/>
      <w:sz w:val="22"/>
      <w:szCs w:val="24"/>
      <w:lang w:val="hy-AM" w:eastAsia="en-US" w:bidi="ar-SA"/>
    </w:rPr>
  </w:style>
  <w:style w:type="character" w:styleId="Emphasis">
    <w:name w:val="Emphasis"/>
    <w:qFormat/>
    <w:rsid w:val="00060470"/>
    <w:rPr>
      <w:i/>
      <w:iCs/>
    </w:rPr>
  </w:style>
  <w:style w:type="character" w:customStyle="1" w:styleId="CharChar9">
    <w:name w:val="Char Char9"/>
    <w:uiPriority w:val="99"/>
    <w:rsid w:val="00060470"/>
    <w:rPr>
      <w:rFonts w:ascii="Times Armenian" w:hAnsi="Times Armenian"/>
      <w:b/>
      <w:i/>
      <w:sz w:val="24"/>
      <w:u w:val="single"/>
      <w:lang w:val="hy-AM" w:eastAsia="en-US" w:bidi="ar-SA"/>
    </w:rPr>
  </w:style>
  <w:style w:type="character" w:customStyle="1" w:styleId="BodyTextChar1">
    <w:name w:val="Body Text Char1"/>
    <w:aliases w:val="(Main Text) Char1,date Char1,Body Text (Main text) Char1,Body Text Char4,Body Text (Main text) Char4"/>
    <w:uiPriority w:val="99"/>
    <w:rsid w:val="00060470"/>
    <w:rPr>
      <w:rFonts w:eastAsia="Batang"/>
      <w:sz w:val="24"/>
      <w:szCs w:val="24"/>
    </w:rPr>
  </w:style>
  <w:style w:type="character" w:customStyle="1" w:styleId="NoSpacingChar">
    <w:name w:val="No Spacing Char"/>
    <w:link w:val="NoSpacing"/>
    <w:rsid w:val="00060470"/>
    <w:rPr>
      <w:rFonts w:ascii="Calibri" w:eastAsia="Calibri" w:hAnsi="Calibri"/>
      <w:sz w:val="22"/>
      <w:szCs w:val="22"/>
    </w:rPr>
  </w:style>
  <w:style w:type="character" w:customStyle="1" w:styleId="Heading4Char1">
    <w:name w:val="Heading 4 Char1"/>
    <w:aliases w:val="Centred Char1,Heading 4 Char2"/>
    <w:rsid w:val="00060470"/>
    <w:rPr>
      <w:rFonts w:ascii="Cambria" w:eastAsia="Times New Roman" w:hAnsi="Cambria" w:cs="Times New Roman"/>
      <w:b/>
      <w:bCs/>
      <w:i/>
      <w:iCs/>
      <w:color w:val="4F81BD"/>
      <w:sz w:val="24"/>
      <w:szCs w:val="24"/>
    </w:rPr>
  </w:style>
  <w:style w:type="character" w:customStyle="1" w:styleId="Heading5Char1">
    <w:name w:val="Heading 5 Char1"/>
    <w:aliases w:val="Side Char1"/>
    <w:rsid w:val="00060470"/>
    <w:rPr>
      <w:rFonts w:ascii="Cambria" w:eastAsia="Times New Roman" w:hAnsi="Cambria" w:cs="Times New Roman"/>
      <w:color w:val="243F60"/>
      <w:sz w:val="24"/>
      <w:szCs w:val="24"/>
    </w:rPr>
  </w:style>
  <w:style w:type="character" w:customStyle="1" w:styleId="SubtitleChar">
    <w:name w:val="Subtitle Char"/>
    <w:link w:val="Subtitle"/>
    <w:rsid w:val="00060470"/>
    <w:rPr>
      <w:rFonts w:ascii="Times Armenian" w:hAnsi="Times Armenian"/>
      <w:bCs/>
      <w:i/>
      <w:sz w:val="26"/>
    </w:rPr>
  </w:style>
  <w:style w:type="character" w:customStyle="1" w:styleId="BodyTextIndentChar2">
    <w:name w:val="Body Text Indent Char2"/>
    <w:aliases w:val="(Table Source)1 Char1"/>
    <w:locked/>
    <w:rsid w:val="00060470"/>
    <w:rPr>
      <w:rFonts w:ascii="Times New Roman" w:hAnsi="Times New Roman" w:cs="Times New Roman"/>
      <w:sz w:val="20"/>
      <w:szCs w:val="20"/>
      <w:lang w:val="en-GB"/>
    </w:rPr>
  </w:style>
  <w:style w:type="paragraph" w:customStyle="1" w:styleId="Char1CharCharCharCharCharCharCharCharCharCharCharChar2">
    <w:name w:val="Char1 Char Char Char Char Char Char Char Char Char Char Char Char2"/>
    <w:basedOn w:val="Normal"/>
    <w:rsid w:val="00060470"/>
    <w:pPr>
      <w:spacing w:before="0" w:after="160" w:line="240" w:lineRule="exact"/>
      <w:jc w:val="left"/>
    </w:pPr>
    <w:rPr>
      <w:rFonts w:ascii="Arial" w:hAnsi="Arial" w:cs="Arial"/>
      <w:sz w:val="20"/>
      <w:szCs w:val="20"/>
      <w:lang w:val="en-US" w:eastAsia="en-US"/>
    </w:rPr>
  </w:style>
  <w:style w:type="paragraph" w:customStyle="1" w:styleId="Char10">
    <w:name w:val="Char1"/>
    <w:basedOn w:val="Normal"/>
    <w:uiPriority w:val="99"/>
    <w:locked/>
    <w:rsid w:val="00060470"/>
    <w:pPr>
      <w:spacing w:before="0" w:after="160" w:line="240" w:lineRule="auto"/>
      <w:jc w:val="left"/>
    </w:pPr>
    <w:rPr>
      <w:rFonts w:ascii="Verdana" w:eastAsia="Batang" w:hAnsi="Verdana" w:cs="Verdana"/>
      <w:sz w:val="24"/>
      <w:lang w:val="en-US" w:eastAsia="en-US"/>
    </w:rPr>
  </w:style>
  <w:style w:type="paragraph" w:customStyle="1" w:styleId="CharCharChar2">
    <w:name w:val="Char Char Char2"/>
    <w:basedOn w:val="Normal"/>
    <w:rsid w:val="00060470"/>
    <w:pPr>
      <w:spacing w:before="0" w:after="160" w:line="240" w:lineRule="exact"/>
      <w:jc w:val="left"/>
    </w:pPr>
    <w:rPr>
      <w:rFonts w:ascii="Arial" w:hAnsi="Arial" w:cs="Arial"/>
      <w:sz w:val="20"/>
      <w:szCs w:val="20"/>
      <w:lang w:val="en-US" w:eastAsia="en-US"/>
    </w:rPr>
  </w:style>
  <w:style w:type="paragraph" w:customStyle="1" w:styleId="CharCharChar20">
    <w:name w:val="Char Char Char Знак Знак2"/>
    <w:basedOn w:val="Normal"/>
    <w:rsid w:val="00060470"/>
    <w:pPr>
      <w:spacing w:before="0" w:after="160" w:line="240" w:lineRule="exact"/>
      <w:jc w:val="left"/>
    </w:pPr>
    <w:rPr>
      <w:rFonts w:ascii="Arial" w:hAnsi="Arial" w:cs="Arial"/>
      <w:sz w:val="20"/>
      <w:szCs w:val="20"/>
      <w:lang w:val="en-US" w:eastAsia="en-US"/>
    </w:rPr>
  </w:style>
  <w:style w:type="paragraph" w:customStyle="1" w:styleId="CharCharCharCharChar2">
    <w:name w:val="Char Char Char Char Char Знак Знак2"/>
    <w:basedOn w:val="Normal"/>
    <w:rsid w:val="00060470"/>
    <w:pPr>
      <w:spacing w:before="0" w:after="160" w:line="240" w:lineRule="exact"/>
      <w:jc w:val="left"/>
    </w:pPr>
    <w:rPr>
      <w:rFonts w:ascii="Arial" w:hAnsi="Arial" w:cs="Arial"/>
      <w:sz w:val="20"/>
      <w:szCs w:val="20"/>
      <w:lang w:val="en-US" w:eastAsia="en-US"/>
    </w:rPr>
  </w:style>
  <w:style w:type="paragraph" w:customStyle="1" w:styleId="CharCharCharCharCharCharCharCharCharCharCharCharCharCharChar3">
    <w:name w:val="Char Char Char Char Знак Char Знак Char Char Char Char Char Char Char Char Char Char3"/>
    <w:basedOn w:val="Normal"/>
    <w:rsid w:val="00060470"/>
    <w:pPr>
      <w:tabs>
        <w:tab w:val="left" w:pos="709"/>
      </w:tabs>
      <w:spacing w:before="0" w:line="240" w:lineRule="auto"/>
      <w:jc w:val="left"/>
    </w:pPr>
    <w:rPr>
      <w:rFonts w:ascii="Tahoma" w:hAnsi="Tahoma"/>
      <w:sz w:val="24"/>
      <w:lang w:val="pl-PL" w:eastAsia="pl-PL"/>
    </w:rPr>
  </w:style>
  <w:style w:type="character" w:customStyle="1" w:styleId="CharChar162">
    <w:name w:val="Char Char162"/>
    <w:rsid w:val="00060470"/>
    <w:rPr>
      <w:b/>
      <w:sz w:val="32"/>
      <w:lang w:val="en-GB" w:eastAsia="en-US"/>
    </w:rPr>
  </w:style>
  <w:style w:type="character" w:customStyle="1" w:styleId="CharChar142">
    <w:name w:val="Char Char142"/>
    <w:uiPriority w:val="99"/>
    <w:rsid w:val="00060470"/>
    <w:rPr>
      <w:sz w:val="22"/>
      <w:lang w:val="en-GB" w:eastAsia="en-US"/>
    </w:rPr>
  </w:style>
  <w:style w:type="character" w:customStyle="1" w:styleId="CharChar152">
    <w:name w:val="Char Char152"/>
    <w:rsid w:val="00060470"/>
    <w:rPr>
      <w:sz w:val="36"/>
      <w:lang w:val="en-GB" w:eastAsia="en-US"/>
    </w:rPr>
  </w:style>
  <w:style w:type="character" w:customStyle="1" w:styleId="CharChar132">
    <w:name w:val="Char Char132"/>
    <w:rsid w:val="00060470"/>
    <w:rPr>
      <w:sz w:val="22"/>
      <w:lang w:val="en-GB" w:eastAsia="en-US"/>
    </w:rPr>
  </w:style>
  <w:style w:type="character" w:customStyle="1" w:styleId="CharChar122">
    <w:name w:val="Char Char122"/>
    <w:rsid w:val="00060470"/>
    <w:rPr>
      <w:sz w:val="22"/>
      <w:lang w:val="en-GB" w:eastAsia="en-US"/>
    </w:rPr>
  </w:style>
  <w:style w:type="character" w:customStyle="1" w:styleId="CharChar112">
    <w:name w:val="Char Char112"/>
    <w:uiPriority w:val="99"/>
    <w:rsid w:val="00060470"/>
    <w:rPr>
      <w:rFonts w:ascii="Times Armenian" w:hAnsi="Times Armenian"/>
      <w:b/>
      <w:sz w:val="24"/>
      <w:lang w:val="fr-FR" w:eastAsia="en-US"/>
    </w:rPr>
  </w:style>
  <w:style w:type="character" w:customStyle="1" w:styleId="CharChar102">
    <w:name w:val="Char Char102"/>
    <w:rsid w:val="00060470"/>
    <w:rPr>
      <w:rFonts w:ascii="Times Armenian" w:hAnsi="Times Armenian"/>
      <w:color w:val="993300"/>
      <w:sz w:val="24"/>
      <w:lang w:val="hy-AM" w:eastAsia="en-US"/>
    </w:rPr>
  </w:style>
  <w:style w:type="character" w:customStyle="1" w:styleId="CharChar92">
    <w:name w:val="Char Char92"/>
    <w:rsid w:val="00060470"/>
    <w:rPr>
      <w:rFonts w:ascii="Times Armenian" w:hAnsi="Times Armenian"/>
      <w:b/>
      <w:i/>
      <w:sz w:val="24"/>
      <w:u w:val="single"/>
      <w:lang w:val="hy-AM" w:eastAsia="en-US"/>
    </w:rPr>
  </w:style>
  <w:style w:type="character" w:customStyle="1" w:styleId="BodyText2Char1">
    <w:name w:val="Body Text 2 Char1"/>
    <w:aliases w:val="1Text Char1"/>
    <w:link w:val="1Text1"/>
    <w:locked/>
    <w:rsid w:val="00060470"/>
    <w:rPr>
      <w:rFonts w:cs="Times New Roman"/>
    </w:rPr>
  </w:style>
  <w:style w:type="paragraph" w:customStyle="1" w:styleId="11">
    <w:name w:val="Рецензия1"/>
    <w:hidden/>
    <w:uiPriority w:val="99"/>
    <w:semiHidden/>
    <w:rsid w:val="00060470"/>
    <w:rPr>
      <w:rFonts w:ascii="Arial Armenian" w:hAnsi="Arial Armenian"/>
      <w:sz w:val="22"/>
      <w:szCs w:val="22"/>
      <w:lang w:eastAsia="ru-RU"/>
    </w:rPr>
  </w:style>
  <w:style w:type="character" w:customStyle="1" w:styleId="DocumentMapChar">
    <w:name w:val="Document Map Char"/>
    <w:link w:val="DocumentMap"/>
    <w:uiPriority w:val="99"/>
    <w:rsid w:val="00060470"/>
    <w:rPr>
      <w:rFonts w:ascii="Tahoma" w:hAnsi="Tahoma" w:cs="Tahoma"/>
      <w:shd w:val="clear" w:color="auto" w:fill="000080"/>
      <w:lang w:val="ru-RU" w:eastAsia="ru-RU"/>
    </w:rPr>
  </w:style>
  <w:style w:type="paragraph" w:customStyle="1" w:styleId="font11">
    <w:name w:val="font11"/>
    <w:basedOn w:val="Normal"/>
    <w:rsid w:val="00060470"/>
    <w:pPr>
      <w:spacing w:before="100" w:after="100" w:line="240" w:lineRule="auto"/>
      <w:jc w:val="left"/>
    </w:pPr>
    <w:rPr>
      <w:rFonts w:ascii="Times New Roman" w:eastAsia="SimSun" w:hAnsi="Times New Roman"/>
      <w:color w:val="000000"/>
      <w:sz w:val="16"/>
      <w:szCs w:val="16"/>
      <w:lang w:val="en-US" w:eastAsia="en-US"/>
    </w:rPr>
  </w:style>
  <w:style w:type="paragraph" w:customStyle="1" w:styleId="font12">
    <w:name w:val="font12"/>
    <w:basedOn w:val="Normal"/>
    <w:rsid w:val="00060470"/>
    <w:pPr>
      <w:spacing w:before="100" w:after="100" w:line="240" w:lineRule="auto"/>
      <w:jc w:val="left"/>
    </w:pPr>
    <w:rPr>
      <w:rFonts w:ascii="Times New Roman" w:eastAsia="SimSun" w:hAnsi="Times New Roman"/>
      <w:color w:val="000000"/>
      <w:sz w:val="16"/>
      <w:szCs w:val="16"/>
      <w:lang w:val="en-US" w:eastAsia="en-US"/>
    </w:rPr>
  </w:style>
  <w:style w:type="paragraph" w:customStyle="1" w:styleId="font13">
    <w:name w:val="font13"/>
    <w:basedOn w:val="Normal"/>
    <w:rsid w:val="00060470"/>
    <w:pPr>
      <w:spacing w:before="100" w:after="100" w:line="240" w:lineRule="auto"/>
      <w:jc w:val="left"/>
    </w:pPr>
    <w:rPr>
      <w:rFonts w:ascii="Times New Roman" w:eastAsia="SimSun" w:hAnsi="Times New Roman"/>
      <w:b w:val="0"/>
      <w:bCs/>
      <w:color w:val="000000"/>
      <w:sz w:val="16"/>
      <w:szCs w:val="16"/>
      <w:lang w:val="en-US" w:eastAsia="en-US"/>
    </w:rPr>
  </w:style>
  <w:style w:type="paragraph" w:customStyle="1" w:styleId="font14">
    <w:name w:val="font14"/>
    <w:basedOn w:val="Normal"/>
    <w:rsid w:val="00060470"/>
    <w:pPr>
      <w:spacing w:before="100" w:after="100" w:line="240" w:lineRule="auto"/>
      <w:jc w:val="left"/>
    </w:pPr>
    <w:rPr>
      <w:rFonts w:ascii="Times New Roman" w:eastAsia="SimSun" w:hAnsi="Times New Roman"/>
      <w:i/>
      <w:iCs/>
      <w:sz w:val="20"/>
      <w:szCs w:val="20"/>
      <w:lang w:val="en-US" w:eastAsia="en-US"/>
    </w:rPr>
  </w:style>
  <w:style w:type="paragraph" w:customStyle="1" w:styleId="font15">
    <w:name w:val="font15"/>
    <w:basedOn w:val="Normal"/>
    <w:rsid w:val="00060470"/>
    <w:pPr>
      <w:spacing w:before="100" w:after="100" w:line="240" w:lineRule="auto"/>
      <w:jc w:val="left"/>
    </w:pPr>
    <w:rPr>
      <w:rFonts w:ascii="Times New Roman" w:eastAsia="SimSun" w:hAnsi="Times New Roman"/>
      <w:i/>
      <w:iCs/>
      <w:sz w:val="28"/>
      <w:szCs w:val="28"/>
      <w:lang w:val="en-US" w:eastAsia="en-US"/>
    </w:rPr>
  </w:style>
  <w:style w:type="paragraph" w:customStyle="1" w:styleId="xl49">
    <w:name w:val="xl49"/>
    <w:basedOn w:val="Normal"/>
    <w:rsid w:val="00060470"/>
    <w:pPr>
      <w:pBdr>
        <w:top w:val="single" w:sz="4" w:space="0" w:color="auto"/>
        <w:left w:val="single" w:sz="8" w:space="21" w:color="auto"/>
        <w:bottom w:val="single" w:sz="4" w:space="0" w:color="auto"/>
        <w:right w:val="single" w:sz="4" w:space="0" w:color="auto"/>
      </w:pBdr>
      <w:spacing w:before="100" w:after="100" w:line="240" w:lineRule="auto"/>
      <w:jc w:val="left"/>
    </w:pPr>
    <w:rPr>
      <w:rFonts w:ascii="Times New Roman" w:eastAsia="SimSun" w:hAnsi="Times New Roman"/>
      <w:sz w:val="24"/>
      <w:lang w:val="en-US" w:eastAsia="en-US"/>
    </w:rPr>
  </w:style>
  <w:style w:type="paragraph" w:customStyle="1" w:styleId="xl50">
    <w:name w:val="xl50"/>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jc w:val="left"/>
    </w:pPr>
    <w:rPr>
      <w:rFonts w:ascii="Times New Roman" w:eastAsia="SimSun" w:hAnsi="Times New Roman"/>
      <w:i/>
      <w:iCs/>
      <w:sz w:val="24"/>
      <w:lang w:val="en-US" w:eastAsia="en-US"/>
    </w:rPr>
  </w:style>
  <w:style w:type="paragraph" w:customStyle="1" w:styleId="xl51">
    <w:name w:val="xl51"/>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jc w:val="left"/>
    </w:pPr>
    <w:rPr>
      <w:rFonts w:ascii="Times New Roman" w:eastAsia="SimSun" w:hAnsi="Times New Roman"/>
      <w:i/>
      <w:iCs/>
      <w:sz w:val="24"/>
      <w:lang w:val="en-US" w:eastAsia="en-US"/>
    </w:rPr>
  </w:style>
  <w:style w:type="paragraph" w:customStyle="1" w:styleId="xl52">
    <w:name w:val="xl52"/>
    <w:basedOn w:val="Normal"/>
    <w:rsid w:val="00060470"/>
    <w:pPr>
      <w:pBdr>
        <w:top w:val="single" w:sz="4" w:space="0" w:color="auto"/>
        <w:left w:val="single" w:sz="8" w:space="21" w:color="auto"/>
        <w:bottom w:val="single" w:sz="4" w:space="0" w:color="auto"/>
        <w:right w:val="single" w:sz="4" w:space="0" w:color="auto"/>
      </w:pBdr>
      <w:shd w:val="clear" w:color="auto" w:fill="FFFFFF"/>
      <w:spacing w:before="100" w:after="100" w:line="240" w:lineRule="auto"/>
      <w:jc w:val="left"/>
    </w:pPr>
    <w:rPr>
      <w:rFonts w:ascii="Times New Roman" w:eastAsia="SimSun" w:hAnsi="Times New Roman"/>
      <w:b w:val="0"/>
      <w:bCs/>
      <w:sz w:val="24"/>
      <w:lang w:val="en-US" w:eastAsia="en-US"/>
    </w:rPr>
  </w:style>
  <w:style w:type="paragraph" w:customStyle="1" w:styleId="xl53">
    <w:name w:val="xl53"/>
    <w:basedOn w:val="Normal"/>
    <w:rsid w:val="00060470"/>
    <w:pPr>
      <w:pBdr>
        <w:top w:val="single" w:sz="4" w:space="0" w:color="auto"/>
        <w:left w:val="single" w:sz="8" w:space="31" w:color="auto"/>
        <w:bottom w:val="single" w:sz="4" w:space="0" w:color="auto"/>
        <w:right w:val="single" w:sz="4" w:space="0" w:color="auto"/>
      </w:pBdr>
      <w:shd w:val="clear" w:color="auto" w:fill="FFFFFF"/>
      <w:spacing w:before="100" w:after="100" w:line="240" w:lineRule="auto"/>
      <w:jc w:val="left"/>
    </w:pPr>
    <w:rPr>
      <w:rFonts w:ascii="Times New Roman" w:eastAsia="SimSun" w:hAnsi="Times New Roman"/>
      <w:sz w:val="24"/>
      <w:lang w:val="en-US" w:eastAsia="en-US"/>
    </w:rPr>
  </w:style>
  <w:style w:type="paragraph" w:customStyle="1" w:styleId="xl54">
    <w:name w:val="xl54"/>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jc w:val="left"/>
    </w:pPr>
    <w:rPr>
      <w:rFonts w:ascii="Times New Roman" w:eastAsia="SimSun" w:hAnsi="Times New Roman"/>
      <w:sz w:val="24"/>
      <w:lang w:val="en-US" w:eastAsia="en-US"/>
    </w:rPr>
  </w:style>
  <w:style w:type="paragraph" w:customStyle="1" w:styleId="xl55">
    <w:name w:val="xl55"/>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jc w:val="left"/>
    </w:pPr>
    <w:rPr>
      <w:rFonts w:ascii="Times New Roman" w:eastAsia="SimSun" w:hAnsi="Times New Roman"/>
      <w:sz w:val="24"/>
      <w:lang w:val="en-US" w:eastAsia="en-US"/>
    </w:rPr>
  </w:style>
  <w:style w:type="paragraph" w:customStyle="1" w:styleId="xl56">
    <w:name w:val="xl56"/>
    <w:basedOn w:val="Normal"/>
    <w:rsid w:val="00060470"/>
    <w:pPr>
      <w:pBdr>
        <w:top w:val="single" w:sz="4" w:space="0" w:color="auto"/>
        <w:left w:val="single" w:sz="8" w:space="31" w:color="auto"/>
        <w:bottom w:val="single" w:sz="4" w:space="0" w:color="auto"/>
        <w:right w:val="single" w:sz="4" w:space="0" w:color="auto"/>
      </w:pBdr>
      <w:spacing w:before="100" w:after="100" w:line="240" w:lineRule="auto"/>
      <w:jc w:val="left"/>
    </w:pPr>
    <w:rPr>
      <w:rFonts w:ascii="Times New Roman" w:eastAsia="SimSun" w:hAnsi="Times New Roman"/>
      <w:sz w:val="24"/>
      <w:lang w:val="en-US" w:eastAsia="en-US"/>
    </w:rPr>
  </w:style>
  <w:style w:type="paragraph" w:customStyle="1" w:styleId="xl57">
    <w:name w:val="xl57"/>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jc w:val="left"/>
    </w:pPr>
    <w:rPr>
      <w:rFonts w:ascii="Times New Roman" w:eastAsia="SimSun" w:hAnsi="Times New Roman"/>
      <w:sz w:val="24"/>
      <w:lang w:val="en-US" w:eastAsia="en-US"/>
    </w:rPr>
  </w:style>
  <w:style w:type="paragraph" w:customStyle="1" w:styleId="xl58">
    <w:name w:val="xl58"/>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jc w:val="left"/>
    </w:pPr>
    <w:rPr>
      <w:rFonts w:ascii="Times New Roman" w:eastAsia="SimSun" w:hAnsi="Times New Roman"/>
      <w:sz w:val="24"/>
      <w:lang w:val="en-US" w:eastAsia="en-US"/>
    </w:rPr>
  </w:style>
  <w:style w:type="paragraph" w:customStyle="1" w:styleId="xl59">
    <w:name w:val="xl59"/>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jc w:val="left"/>
    </w:pPr>
    <w:rPr>
      <w:rFonts w:ascii="Times New Roman" w:eastAsia="SimSun" w:hAnsi="Times New Roman"/>
      <w:sz w:val="24"/>
      <w:lang w:val="en-US" w:eastAsia="en-US"/>
    </w:rPr>
  </w:style>
  <w:style w:type="paragraph" w:customStyle="1" w:styleId="xl60">
    <w:name w:val="xl60"/>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jc w:val="left"/>
    </w:pPr>
    <w:rPr>
      <w:rFonts w:ascii="Times New Roman" w:eastAsia="SimSun" w:hAnsi="Times New Roman"/>
      <w:sz w:val="24"/>
      <w:lang w:val="en-US" w:eastAsia="en-US"/>
    </w:rPr>
  </w:style>
  <w:style w:type="paragraph" w:customStyle="1" w:styleId="xl61">
    <w:name w:val="xl61"/>
    <w:basedOn w:val="Normal"/>
    <w:rsid w:val="00060470"/>
    <w:pPr>
      <w:pBdr>
        <w:top w:val="single" w:sz="4" w:space="0" w:color="auto"/>
        <w:left w:val="single" w:sz="8" w:space="11" w:color="auto"/>
        <w:bottom w:val="single" w:sz="4" w:space="0" w:color="auto"/>
        <w:right w:val="single" w:sz="4" w:space="0" w:color="auto"/>
      </w:pBdr>
      <w:spacing w:before="100" w:after="100" w:line="240" w:lineRule="auto"/>
      <w:jc w:val="left"/>
    </w:pPr>
    <w:rPr>
      <w:rFonts w:ascii="Times New Roman" w:eastAsia="SimSun" w:hAnsi="Times New Roman"/>
      <w:b w:val="0"/>
      <w:bCs/>
      <w:i/>
      <w:iCs/>
      <w:sz w:val="24"/>
      <w:lang w:val="en-US" w:eastAsia="en-US"/>
    </w:rPr>
  </w:style>
  <w:style w:type="paragraph" w:customStyle="1" w:styleId="xl62">
    <w:name w:val="xl62"/>
    <w:basedOn w:val="Normal"/>
    <w:rsid w:val="00060470"/>
    <w:pPr>
      <w:pBdr>
        <w:top w:val="single" w:sz="4" w:space="0" w:color="auto"/>
        <w:left w:val="single" w:sz="8" w:space="11" w:color="auto"/>
        <w:bottom w:val="single" w:sz="4" w:space="0" w:color="auto"/>
        <w:right w:val="single" w:sz="4" w:space="0" w:color="auto"/>
      </w:pBdr>
      <w:spacing w:before="100" w:after="100" w:line="240" w:lineRule="auto"/>
      <w:jc w:val="left"/>
    </w:pPr>
    <w:rPr>
      <w:rFonts w:ascii="Times New Roman" w:eastAsia="SimSun" w:hAnsi="Times New Roman"/>
      <w:b w:val="0"/>
      <w:bCs/>
      <w:sz w:val="24"/>
      <w:lang w:val="en-US" w:eastAsia="en-US"/>
    </w:rPr>
  </w:style>
  <w:style w:type="paragraph" w:customStyle="1" w:styleId="xl63">
    <w:name w:val="xl63"/>
    <w:basedOn w:val="Normal"/>
    <w:rsid w:val="00060470"/>
    <w:pPr>
      <w:pBdr>
        <w:top w:val="single" w:sz="4" w:space="0" w:color="auto"/>
        <w:left w:val="single" w:sz="8" w:space="0" w:color="auto"/>
        <w:bottom w:val="single" w:sz="4" w:space="0" w:color="auto"/>
        <w:right w:val="single" w:sz="4" w:space="0" w:color="auto"/>
      </w:pBdr>
      <w:spacing w:before="100" w:after="100" w:line="240" w:lineRule="auto"/>
      <w:jc w:val="left"/>
    </w:pPr>
    <w:rPr>
      <w:rFonts w:ascii="Times New Roman" w:eastAsia="SimSun" w:hAnsi="Times New Roman"/>
      <w:sz w:val="24"/>
      <w:lang w:val="en-US" w:eastAsia="en-US"/>
    </w:rPr>
  </w:style>
  <w:style w:type="paragraph" w:customStyle="1" w:styleId="xl64">
    <w:name w:val="xl64"/>
    <w:basedOn w:val="Normal"/>
    <w:rsid w:val="00060470"/>
    <w:pPr>
      <w:pBdr>
        <w:top w:val="single" w:sz="4" w:space="0" w:color="auto"/>
        <w:left w:val="single" w:sz="8" w:space="11" w:color="auto"/>
        <w:bottom w:val="single" w:sz="4" w:space="0" w:color="auto"/>
        <w:right w:val="single" w:sz="4" w:space="0" w:color="auto"/>
      </w:pBdr>
      <w:shd w:val="clear" w:color="auto" w:fill="C0C0C0"/>
      <w:spacing w:before="100" w:after="100" w:line="240" w:lineRule="auto"/>
      <w:jc w:val="left"/>
    </w:pPr>
    <w:rPr>
      <w:rFonts w:ascii="Times New Roman" w:eastAsia="SimSun" w:hAnsi="Times New Roman"/>
      <w:i/>
      <w:iCs/>
      <w:sz w:val="24"/>
      <w:lang w:val="en-US" w:eastAsia="en-US"/>
    </w:rPr>
  </w:style>
  <w:style w:type="paragraph" w:customStyle="1" w:styleId="paragraph">
    <w:name w:val="paragraph"/>
    <w:basedOn w:val="Normal"/>
    <w:rsid w:val="00060470"/>
    <w:pPr>
      <w:spacing w:before="100" w:beforeAutospacing="1" w:after="100" w:afterAutospacing="1" w:line="240" w:lineRule="auto"/>
      <w:jc w:val="left"/>
    </w:pPr>
    <w:rPr>
      <w:rFonts w:ascii="Times New Roman" w:hAnsi="Times New Roman"/>
      <w:sz w:val="24"/>
      <w:lang w:val="en-US" w:eastAsia="en-US"/>
    </w:rPr>
  </w:style>
  <w:style w:type="character" w:customStyle="1" w:styleId="normaltextrun">
    <w:name w:val="normaltextrun"/>
    <w:rsid w:val="00060470"/>
  </w:style>
  <w:style w:type="character" w:customStyle="1" w:styleId="BodyText2Char2">
    <w:name w:val="Body Text 2 Char2"/>
    <w:aliases w:val="1Text Char2"/>
    <w:uiPriority w:val="99"/>
    <w:rsid w:val="00060470"/>
    <w:rPr>
      <w:sz w:val="24"/>
      <w:szCs w:val="24"/>
    </w:rPr>
  </w:style>
  <w:style w:type="numbering" w:customStyle="1" w:styleId="NoList2">
    <w:name w:val="No List2"/>
    <w:next w:val="NoList"/>
    <w:semiHidden/>
    <w:rsid w:val="00060470"/>
  </w:style>
  <w:style w:type="paragraph" w:customStyle="1" w:styleId="110">
    <w:name w:val="Рецензия11"/>
    <w:hidden/>
    <w:uiPriority w:val="99"/>
    <w:semiHidden/>
    <w:rsid w:val="00060470"/>
    <w:rPr>
      <w:rFonts w:ascii="Arial Armenian" w:hAnsi="Arial Armenian"/>
      <w:sz w:val="22"/>
      <w:szCs w:val="22"/>
      <w:lang w:eastAsia="ru-RU"/>
    </w:rPr>
  </w:style>
  <w:style w:type="character" w:customStyle="1" w:styleId="showhide1">
    <w:name w:val="showhide1"/>
    <w:rsid w:val="00060470"/>
    <w:rPr>
      <w:b/>
      <w:bCs/>
      <w:color w:val="000000"/>
      <w:sz w:val="21"/>
      <w:szCs w:val="21"/>
      <w:u w:val="single"/>
    </w:rPr>
  </w:style>
  <w:style w:type="paragraph" w:customStyle="1" w:styleId="alignright">
    <w:name w:val="alignright"/>
    <w:basedOn w:val="Normal"/>
    <w:rsid w:val="00060470"/>
    <w:pPr>
      <w:spacing w:before="100" w:beforeAutospacing="1" w:after="100" w:afterAutospacing="1" w:line="240" w:lineRule="auto"/>
      <w:jc w:val="left"/>
    </w:pPr>
    <w:rPr>
      <w:rFonts w:ascii="Times New Roman" w:hAnsi="Times New Roman"/>
      <w:sz w:val="24"/>
      <w:lang w:val="en-US" w:eastAsia="en-US"/>
    </w:rPr>
  </w:style>
  <w:style w:type="character" w:customStyle="1" w:styleId="BodyTextIndentChar3">
    <w:name w:val="Body Text Indent Char3"/>
    <w:aliases w:val="(Table Source)1 Char2,(Table Source)11 Char1"/>
    <w:uiPriority w:val="99"/>
    <w:locked/>
    <w:rsid w:val="00060470"/>
    <w:rPr>
      <w:rFonts w:ascii="Times New Roman" w:hAnsi="Times New Roman" w:cs="Times New Roman"/>
      <w:sz w:val="20"/>
      <w:szCs w:val="20"/>
      <w:lang w:val="en-GB" w:eastAsia="en-US"/>
    </w:rPr>
  </w:style>
  <w:style w:type="paragraph" w:customStyle="1" w:styleId="Char20">
    <w:name w:val="Char2"/>
    <w:basedOn w:val="Normal"/>
    <w:locked/>
    <w:rsid w:val="00060470"/>
    <w:pPr>
      <w:spacing w:before="0" w:after="160" w:line="240" w:lineRule="auto"/>
      <w:jc w:val="left"/>
    </w:pPr>
    <w:rPr>
      <w:rFonts w:ascii="Verdana" w:eastAsia="Batang" w:hAnsi="Verdana" w:cs="Verdana"/>
      <w:sz w:val="24"/>
      <w:lang w:val="en-US" w:eastAsia="en-US"/>
    </w:rPr>
  </w:style>
  <w:style w:type="paragraph" w:customStyle="1" w:styleId="CharChar1">
    <w:name w:val="Char Char1"/>
    <w:basedOn w:val="Normal"/>
    <w:uiPriority w:val="99"/>
    <w:rsid w:val="00060470"/>
    <w:pPr>
      <w:spacing w:before="0" w:after="160" w:line="240" w:lineRule="exact"/>
      <w:jc w:val="left"/>
    </w:pPr>
    <w:rPr>
      <w:rFonts w:ascii="Arial" w:hAnsi="Arial" w:cs="Arial"/>
      <w:sz w:val="20"/>
      <w:szCs w:val="20"/>
      <w:lang w:val="en-US" w:eastAsia="en-US"/>
    </w:rPr>
  </w:style>
  <w:style w:type="paragraph" w:customStyle="1" w:styleId="Char1CharCharCharCharCharCharCharCharCharCharCharChar1">
    <w:name w:val="Char1 Char Char Char Char Char Char Char Char Char Char Char Char1"/>
    <w:basedOn w:val="Normal"/>
    <w:rsid w:val="00060470"/>
    <w:pPr>
      <w:spacing w:before="0" w:after="160" w:line="240" w:lineRule="exact"/>
      <w:jc w:val="left"/>
    </w:pPr>
    <w:rPr>
      <w:rFonts w:ascii="Arial" w:hAnsi="Arial" w:cs="Arial"/>
      <w:sz w:val="20"/>
      <w:szCs w:val="20"/>
      <w:lang w:val="en-US" w:eastAsia="en-US"/>
    </w:rPr>
  </w:style>
  <w:style w:type="paragraph" w:customStyle="1" w:styleId="CharCharChar10">
    <w:name w:val="Char Char Char1"/>
    <w:basedOn w:val="Normal"/>
    <w:rsid w:val="00060470"/>
    <w:pPr>
      <w:spacing w:before="0" w:after="160" w:line="240" w:lineRule="exact"/>
      <w:jc w:val="left"/>
    </w:pPr>
    <w:rPr>
      <w:rFonts w:ascii="Arial" w:hAnsi="Arial" w:cs="Arial"/>
      <w:sz w:val="20"/>
      <w:szCs w:val="20"/>
      <w:lang w:val="en-US" w:eastAsia="en-US"/>
    </w:rPr>
  </w:style>
  <w:style w:type="paragraph" w:customStyle="1" w:styleId="CharCharChar11">
    <w:name w:val="Char Char Char Знак Знак1"/>
    <w:basedOn w:val="Normal"/>
    <w:rsid w:val="00060470"/>
    <w:pPr>
      <w:spacing w:before="0" w:after="160" w:line="240" w:lineRule="exact"/>
      <w:jc w:val="left"/>
    </w:pPr>
    <w:rPr>
      <w:rFonts w:ascii="Arial" w:hAnsi="Arial" w:cs="Arial"/>
      <w:sz w:val="20"/>
      <w:szCs w:val="20"/>
      <w:lang w:val="en-US" w:eastAsia="en-US"/>
    </w:rPr>
  </w:style>
  <w:style w:type="paragraph" w:customStyle="1" w:styleId="CharCharCharCharChar1">
    <w:name w:val="Char Char Char Char Char Знак Знак1"/>
    <w:basedOn w:val="Normal"/>
    <w:rsid w:val="00060470"/>
    <w:pPr>
      <w:spacing w:before="0" w:after="160" w:line="240" w:lineRule="exact"/>
      <w:jc w:val="left"/>
    </w:pPr>
    <w:rPr>
      <w:rFonts w:ascii="Arial" w:hAnsi="Arial" w:cs="Arial"/>
      <w:sz w:val="20"/>
      <w:szCs w:val="20"/>
      <w:lang w:val="en-US" w:eastAsia="en-US"/>
    </w:rPr>
  </w:style>
  <w:style w:type="paragraph" w:customStyle="1" w:styleId="CharCharCharCharCharCharCharCharCharCharCharCharCharCharChar1">
    <w:name w:val="Char Char Char Char Знак Char Знак Char Char Char Char Char Char Char Char Char Char1"/>
    <w:basedOn w:val="Normal"/>
    <w:rsid w:val="00060470"/>
    <w:pPr>
      <w:tabs>
        <w:tab w:val="left" w:pos="709"/>
      </w:tabs>
      <w:spacing w:before="0" w:line="240" w:lineRule="auto"/>
      <w:jc w:val="left"/>
    </w:pPr>
    <w:rPr>
      <w:rFonts w:ascii="Tahoma" w:hAnsi="Tahoma"/>
      <w:sz w:val="24"/>
      <w:lang w:val="pl-PL" w:eastAsia="pl-PL"/>
    </w:rPr>
  </w:style>
  <w:style w:type="character" w:customStyle="1" w:styleId="CharChar161">
    <w:name w:val="Char Char161"/>
    <w:rsid w:val="00060470"/>
    <w:rPr>
      <w:b/>
      <w:sz w:val="32"/>
      <w:lang w:val="en-GB" w:eastAsia="en-US"/>
    </w:rPr>
  </w:style>
  <w:style w:type="character" w:customStyle="1" w:styleId="CharChar141">
    <w:name w:val="Char Char141"/>
    <w:rsid w:val="00060470"/>
    <w:rPr>
      <w:sz w:val="22"/>
      <w:lang w:val="en-GB" w:eastAsia="en-US"/>
    </w:rPr>
  </w:style>
  <w:style w:type="character" w:customStyle="1" w:styleId="CharChar151">
    <w:name w:val="Char Char151"/>
    <w:rsid w:val="00060470"/>
    <w:rPr>
      <w:sz w:val="36"/>
      <w:lang w:val="en-GB" w:eastAsia="en-US"/>
    </w:rPr>
  </w:style>
  <w:style w:type="character" w:customStyle="1" w:styleId="CharChar131">
    <w:name w:val="Char Char131"/>
    <w:rsid w:val="00060470"/>
    <w:rPr>
      <w:sz w:val="22"/>
      <w:lang w:val="en-GB" w:eastAsia="en-US"/>
    </w:rPr>
  </w:style>
  <w:style w:type="character" w:customStyle="1" w:styleId="CharChar121">
    <w:name w:val="Char Char121"/>
    <w:rsid w:val="00060470"/>
    <w:rPr>
      <w:sz w:val="22"/>
      <w:lang w:val="en-GB" w:eastAsia="en-US"/>
    </w:rPr>
  </w:style>
  <w:style w:type="character" w:customStyle="1" w:styleId="CharChar111">
    <w:name w:val="Char Char111"/>
    <w:rsid w:val="00060470"/>
    <w:rPr>
      <w:rFonts w:ascii="Times Armenian" w:hAnsi="Times Armenian"/>
      <w:b/>
      <w:sz w:val="24"/>
      <w:lang w:val="fr-FR" w:eastAsia="en-US"/>
    </w:rPr>
  </w:style>
  <w:style w:type="character" w:customStyle="1" w:styleId="CharChar101">
    <w:name w:val="Char Char101"/>
    <w:rsid w:val="00060470"/>
    <w:rPr>
      <w:rFonts w:ascii="Times Armenian" w:hAnsi="Times Armenian"/>
      <w:color w:val="993300"/>
      <w:sz w:val="24"/>
      <w:lang w:val="hy-AM" w:eastAsia="en-US"/>
    </w:rPr>
  </w:style>
  <w:style w:type="character" w:customStyle="1" w:styleId="CharChar91">
    <w:name w:val="Char Char91"/>
    <w:rsid w:val="00060470"/>
    <w:rPr>
      <w:rFonts w:ascii="Times Armenian" w:hAnsi="Times Armenian"/>
      <w:b/>
      <w:i/>
      <w:sz w:val="24"/>
      <w:u w:val="single"/>
      <w:lang w:val="hy-AM" w:eastAsia="en-US"/>
    </w:rPr>
  </w:style>
  <w:style w:type="character" w:customStyle="1" w:styleId="BodyText2Char3">
    <w:name w:val="Body Text 2 Char3"/>
    <w:uiPriority w:val="99"/>
    <w:semiHidden/>
    <w:rsid w:val="00060470"/>
  </w:style>
  <w:style w:type="character" w:customStyle="1" w:styleId="CharChar24">
    <w:name w:val="Char Char24"/>
    <w:rsid w:val="00060470"/>
    <w:rPr>
      <w:rFonts w:ascii="Garamond" w:hAnsi="Garamond"/>
      <w:sz w:val="16"/>
      <w:lang w:val="en-GB"/>
    </w:rPr>
  </w:style>
  <w:style w:type="character" w:customStyle="1" w:styleId="CharChar23">
    <w:name w:val="Char Char23"/>
    <w:rsid w:val="00060470"/>
    <w:rPr>
      <w:rFonts w:ascii="Garamond" w:hAnsi="Garamond"/>
      <w:i/>
      <w:spacing w:val="-5"/>
      <w:sz w:val="28"/>
      <w:shd w:val="pct5" w:color="auto" w:fill="auto"/>
      <w:lang w:val="en-GB"/>
    </w:rPr>
  </w:style>
  <w:style w:type="character" w:customStyle="1" w:styleId="CharChar22">
    <w:name w:val="Char Char22"/>
    <w:rsid w:val="00060470"/>
    <w:rPr>
      <w:rFonts w:ascii="Arial Black" w:hAnsi="Arial Black"/>
      <w:caps/>
      <w:spacing w:val="60"/>
      <w:position w:val="4"/>
      <w:sz w:val="14"/>
      <w:lang w:val="en-GB"/>
    </w:rPr>
  </w:style>
  <w:style w:type="character" w:customStyle="1" w:styleId="CharChar21">
    <w:name w:val="Char Char21"/>
    <w:rsid w:val="00060470"/>
    <w:rPr>
      <w:rFonts w:ascii="Garamond" w:hAnsi="Garamond"/>
      <w:b/>
      <w:i/>
      <w:kern w:val="28"/>
      <w:sz w:val="16"/>
      <w:lang w:val="en-GB"/>
    </w:rPr>
  </w:style>
  <w:style w:type="character" w:customStyle="1" w:styleId="CharChar17">
    <w:name w:val="Char Char17"/>
    <w:rsid w:val="00060470"/>
    <w:rPr>
      <w:lang w:val="en-GB" w:eastAsia="en-US" w:bidi="ar-SA"/>
    </w:rPr>
  </w:style>
  <w:style w:type="character" w:customStyle="1" w:styleId="CharChar20">
    <w:name w:val="Char Char20"/>
    <w:rsid w:val="00060470"/>
    <w:rPr>
      <w:rFonts w:ascii="Times Armenian" w:hAnsi="Times Armenian"/>
      <w:i/>
      <w:sz w:val="24"/>
      <w:lang w:val="hy-AM"/>
    </w:rPr>
  </w:style>
  <w:style w:type="character" w:customStyle="1" w:styleId="CharChar19">
    <w:name w:val="Char Char19"/>
    <w:locked/>
    <w:rsid w:val="00060470"/>
    <w:rPr>
      <w:rFonts w:ascii="Times Armenian" w:hAnsi="Times Armenian"/>
      <w:sz w:val="24"/>
      <w:u w:val="single"/>
    </w:rPr>
  </w:style>
  <w:style w:type="character" w:customStyle="1" w:styleId="CharChar18">
    <w:name w:val="Char Char18"/>
    <w:rsid w:val="00060470"/>
    <w:rPr>
      <w:sz w:val="16"/>
      <w:szCs w:val="16"/>
      <w:lang w:val="en-GB"/>
    </w:rPr>
  </w:style>
  <w:style w:type="numbering" w:customStyle="1" w:styleId="NoList3">
    <w:name w:val="No List3"/>
    <w:next w:val="NoList"/>
    <w:semiHidden/>
    <w:unhideWhenUsed/>
    <w:rsid w:val="00060470"/>
  </w:style>
  <w:style w:type="paragraph" w:customStyle="1" w:styleId="CharCharCharCharCharCharCharCharCharCharCharCharCharCharCharCharChar">
    <w:name w:val="Char Char Char Знак Char Char Char Char Char Знак Char Char Char Char Char Char Char Char Char"/>
    <w:basedOn w:val="Normal"/>
    <w:rsid w:val="00060470"/>
    <w:pPr>
      <w:spacing w:before="0" w:after="160" w:line="240" w:lineRule="exact"/>
      <w:jc w:val="left"/>
    </w:pPr>
    <w:rPr>
      <w:rFonts w:ascii="Arial" w:hAnsi="Arial" w:cs="Arial"/>
      <w:sz w:val="20"/>
      <w:szCs w:val="20"/>
      <w:lang w:val="en-US" w:eastAsia="en-US"/>
    </w:rPr>
  </w:style>
  <w:style w:type="character" w:customStyle="1" w:styleId="apple-style-span">
    <w:name w:val="apple-style-span"/>
    <w:rsid w:val="00060470"/>
    <w:rPr>
      <w:rFonts w:cs="Times New Roman"/>
    </w:rPr>
  </w:style>
  <w:style w:type="character" w:customStyle="1" w:styleId="Style1Char">
    <w:name w:val="Style1 Char"/>
    <w:link w:val="Style1"/>
    <w:rsid w:val="00060470"/>
    <w:rPr>
      <w:rFonts w:ascii="Sylfaen" w:hAnsi="Sylfaen"/>
      <w:sz w:val="22"/>
      <w:szCs w:val="24"/>
    </w:rPr>
  </w:style>
  <w:style w:type="character" w:customStyle="1" w:styleId="FontStyle17">
    <w:name w:val="Font Style17"/>
    <w:rsid w:val="00060470"/>
    <w:rPr>
      <w:rFonts w:ascii="Arial Unicode MS" w:eastAsia="Arial Unicode MS" w:cs="Arial Unicode MS"/>
      <w:b/>
      <w:bCs/>
      <w:sz w:val="24"/>
      <w:szCs w:val="24"/>
    </w:rPr>
  </w:style>
  <w:style w:type="character" w:customStyle="1" w:styleId="Heading6Char1">
    <w:name w:val="Heading 6 Char1"/>
    <w:rsid w:val="00060470"/>
    <w:rPr>
      <w:rFonts w:ascii="Arial Armenian" w:eastAsia="Times New Roman" w:hAnsi="Arial Armenian" w:cs="Times New Roman"/>
      <w:i/>
      <w:szCs w:val="20"/>
      <w:u w:val="single"/>
      <w:lang w:val="en-GB"/>
    </w:rPr>
  </w:style>
  <w:style w:type="character" w:customStyle="1" w:styleId="Heading7Char1">
    <w:name w:val="Heading 7 Char1"/>
    <w:rsid w:val="00060470"/>
    <w:rPr>
      <w:rFonts w:ascii="Garamond" w:eastAsia="Times New Roman" w:hAnsi="Garamond" w:cs="Times New Roman"/>
      <w:i/>
      <w:spacing w:val="-5"/>
      <w:sz w:val="28"/>
      <w:szCs w:val="20"/>
      <w:shd w:val="pct5" w:color="auto" w:fill="auto"/>
      <w:lang w:val="en-GB"/>
    </w:rPr>
  </w:style>
  <w:style w:type="character" w:customStyle="1" w:styleId="Heading8Char1">
    <w:name w:val="Heading 8 Char1"/>
    <w:rsid w:val="00060470"/>
    <w:rPr>
      <w:rFonts w:ascii="Arial Black" w:eastAsia="Times New Roman" w:hAnsi="Arial Black" w:cs="Times New Roman"/>
      <w:caps/>
      <w:spacing w:val="60"/>
      <w:position w:val="4"/>
      <w:sz w:val="14"/>
      <w:szCs w:val="20"/>
      <w:lang w:val="en-GB"/>
    </w:rPr>
  </w:style>
  <w:style w:type="character" w:customStyle="1" w:styleId="Heading9Char1">
    <w:name w:val="Heading 9 Char1"/>
    <w:rsid w:val="00060470"/>
    <w:rPr>
      <w:rFonts w:ascii="Garamond" w:eastAsia="Times New Roman" w:hAnsi="Garamond" w:cs="Times New Roman"/>
      <w:b/>
      <w:i/>
      <w:kern w:val="28"/>
      <w:sz w:val="20"/>
      <w:szCs w:val="20"/>
      <w:lang w:val="en-GB"/>
    </w:rPr>
  </w:style>
  <w:style w:type="paragraph" w:customStyle="1" w:styleId="Tablefigure">
    <w:name w:val="Table_figure"/>
    <w:basedOn w:val="Normal"/>
    <w:rsid w:val="00060470"/>
    <w:pPr>
      <w:spacing w:before="60" w:line="240" w:lineRule="auto"/>
      <w:jc w:val="right"/>
    </w:pPr>
    <w:rPr>
      <w:rFonts w:ascii="Arial Armenian" w:hAnsi="Arial Armenian"/>
      <w:sz w:val="16"/>
      <w:szCs w:val="20"/>
      <w:lang w:val="en-GB" w:eastAsia="en-US"/>
    </w:rPr>
  </w:style>
  <w:style w:type="character" w:customStyle="1" w:styleId="BodyTextIndent2Char1">
    <w:name w:val="Body Text Indent 2 Char1"/>
    <w:link w:val="BodyTextIndent21"/>
    <w:rsid w:val="00060470"/>
    <w:rPr>
      <w:rFonts w:ascii="Arial Armenian" w:eastAsia="Times New Roman" w:hAnsi="Arial Armenian" w:cs="Times New Roman"/>
      <w:sz w:val="20"/>
      <w:szCs w:val="20"/>
      <w:lang w:val="en-GB"/>
    </w:rPr>
  </w:style>
  <w:style w:type="paragraph" w:customStyle="1" w:styleId="Specialnormal">
    <w:name w:val="Special normal"/>
    <w:basedOn w:val="Normal"/>
    <w:rsid w:val="00060470"/>
    <w:pPr>
      <w:overflowPunct w:val="0"/>
      <w:autoSpaceDE w:val="0"/>
      <w:autoSpaceDN w:val="0"/>
      <w:adjustRightInd w:val="0"/>
      <w:spacing w:before="0" w:line="240" w:lineRule="auto"/>
      <w:jc w:val="center"/>
      <w:textAlignment w:val="baseline"/>
    </w:pPr>
    <w:rPr>
      <w:rFonts w:ascii="Times New Roman" w:hAnsi="Times New Roman"/>
      <w:sz w:val="20"/>
      <w:szCs w:val="20"/>
      <w:lang w:val="en-GB" w:eastAsia="en-US"/>
    </w:rPr>
  </w:style>
  <w:style w:type="paragraph" w:customStyle="1" w:styleId="a2">
    <w:name w:val="???????? ????? ? ????????"/>
    <w:basedOn w:val="Normal"/>
    <w:rsid w:val="00060470"/>
    <w:pPr>
      <w:spacing w:before="0" w:line="240" w:lineRule="auto"/>
      <w:ind w:left="360" w:hanging="360"/>
    </w:pPr>
    <w:rPr>
      <w:rFonts w:ascii="Times Armenian" w:hAnsi="Times Armenian"/>
      <w:sz w:val="24"/>
      <w:szCs w:val="20"/>
      <w:lang w:val="en-US"/>
    </w:rPr>
  </w:style>
  <w:style w:type="character" w:customStyle="1" w:styleId="Char1">
    <w:name w:val="??????? Char"/>
    <w:link w:val="a1"/>
    <w:rsid w:val="00060470"/>
    <w:rPr>
      <w:lang w:val="ru-RU" w:eastAsia="ru-RU"/>
    </w:rPr>
  </w:style>
  <w:style w:type="paragraph" w:customStyle="1" w:styleId="20">
    <w:name w:val="???????2"/>
    <w:rsid w:val="00060470"/>
    <w:rPr>
      <w:rFonts w:ascii="Times Armenian" w:hAnsi="Times Armenian"/>
      <w:sz w:val="24"/>
      <w:lang w:eastAsia="ru-RU"/>
    </w:rPr>
  </w:style>
  <w:style w:type="paragraph" w:customStyle="1" w:styleId="a3">
    <w:name w:val="???????? ?????"/>
    <w:basedOn w:val="a1"/>
    <w:rsid w:val="00060470"/>
    <w:pPr>
      <w:jc w:val="center"/>
    </w:pPr>
    <w:rPr>
      <w:rFonts w:ascii="Times Armenian" w:hAnsi="Times Armenian"/>
      <w:i/>
      <w:sz w:val="32"/>
      <w:lang w:val="en-US"/>
    </w:rPr>
  </w:style>
  <w:style w:type="paragraph" w:customStyle="1" w:styleId="31">
    <w:name w:val="???????? ????? ? ???????? 31"/>
    <w:basedOn w:val="20"/>
    <w:rsid w:val="00060470"/>
    <w:pPr>
      <w:spacing w:line="360" w:lineRule="auto"/>
      <w:ind w:firstLine="360"/>
    </w:pPr>
  </w:style>
  <w:style w:type="paragraph" w:customStyle="1" w:styleId="a4">
    <w:name w:val="??????"/>
    <w:basedOn w:val="20"/>
    <w:rsid w:val="00060470"/>
    <w:pPr>
      <w:spacing w:line="360" w:lineRule="auto"/>
      <w:ind w:left="-426" w:right="-619" w:firstLine="710"/>
    </w:pPr>
    <w:rPr>
      <w:rFonts w:ascii="Arial LatArm" w:hAnsi="Arial LatArm"/>
      <w:i/>
      <w:lang w:val="en-AU"/>
    </w:rPr>
  </w:style>
  <w:style w:type="paragraph" w:customStyle="1" w:styleId="3">
    <w:name w:val="???????? ????? 3"/>
    <w:basedOn w:val="Normal"/>
    <w:rsid w:val="00060470"/>
    <w:pPr>
      <w:spacing w:before="0" w:line="240" w:lineRule="auto"/>
    </w:pPr>
    <w:rPr>
      <w:rFonts w:ascii="Times Armenian" w:hAnsi="Times Armenian"/>
      <w:sz w:val="24"/>
      <w:szCs w:val="20"/>
    </w:rPr>
  </w:style>
  <w:style w:type="paragraph" w:customStyle="1" w:styleId="21">
    <w:name w:val="???????? ????? ? ????????2"/>
    <w:basedOn w:val="20"/>
    <w:rsid w:val="00060470"/>
    <w:pPr>
      <w:spacing w:line="360" w:lineRule="auto"/>
      <w:ind w:firstLine="720"/>
    </w:pPr>
    <w:rPr>
      <w:sz w:val="28"/>
    </w:rPr>
  </w:style>
  <w:style w:type="paragraph" w:customStyle="1" w:styleId="111">
    <w:name w:val="????????? 11"/>
    <w:basedOn w:val="20"/>
    <w:next w:val="20"/>
    <w:rsid w:val="00060470"/>
    <w:pPr>
      <w:keepNext/>
      <w:spacing w:line="360" w:lineRule="auto"/>
      <w:outlineLvl w:val="0"/>
    </w:pPr>
    <w:rPr>
      <w:rFonts w:ascii="Times LatArm" w:hAnsi="Times LatArm"/>
    </w:rPr>
  </w:style>
  <w:style w:type="paragraph" w:customStyle="1" w:styleId="12">
    <w:name w:val="????????1"/>
    <w:basedOn w:val="a1"/>
    <w:rsid w:val="00060470"/>
    <w:pPr>
      <w:jc w:val="center"/>
    </w:pPr>
    <w:rPr>
      <w:rFonts w:ascii="Times Armenian" w:hAnsi="Times Armenian"/>
      <w:i/>
      <w:sz w:val="28"/>
      <w:lang w:val="en-US"/>
    </w:rPr>
  </w:style>
  <w:style w:type="paragraph" w:customStyle="1" w:styleId="22">
    <w:name w:val="???????? ????? ? ???????? 2"/>
    <w:basedOn w:val="a1"/>
    <w:rsid w:val="00060470"/>
    <w:pPr>
      <w:ind w:right="-141" w:firstLine="567"/>
    </w:pPr>
    <w:rPr>
      <w:rFonts w:ascii="Times Armenian" w:hAnsi="Times Armenian"/>
      <w:sz w:val="24"/>
    </w:rPr>
  </w:style>
  <w:style w:type="paragraph" w:customStyle="1" w:styleId="23">
    <w:name w:val="???????? ????? 2"/>
    <w:basedOn w:val="a1"/>
    <w:rsid w:val="00060470"/>
    <w:pPr>
      <w:spacing w:line="360" w:lineRule="auto"/>
    </w:pPr>
    <w:rPr>
      <w:rFonts w:ascii="Times LatArm" w:hAnsi="Times LatArm"/>
      <w:b/>
      <w:i/>
      <w:sz w:val="28"/>
      <w:lang w:val="en-US"/>
    </w:rPr>
  </w:style>
  <w:style w:type="paragraph" w:customStyle="1" w:styleId="13">
    <w:name w:val="???????1"/>
    <w:rsid w:val="00060470"/>
    <w:rPr>
      <w:lang w:val="ru-RU" w:eastAsia="ru-RU"/>
    </w:rPr>
  </w:style>
  <w:style w:type="paragraph" w:customStyle="1" w:styleId="30">
    <w:name w:val="???????? ????? ? ????????3"/>
    <w:basedOn w:val="a1"/>
    <w:rsid w:val="00060470"/>
    <w:pPr>
      <w:ind w:left="360" w:hanging="360"/>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060470"/>
    <w:pPr>
      <w:spacing w:before="240" w:after="120" w:line="240" w:lineRule="auto"/>
      <w:ind w:firstLine="567"/>
      <w:jc w:val="both"/>
    </w:pPr>
    <w:rPr>
      <w:rFonts w:ascii="GHEA Grapalat" w:hAnsi="GHEA Grapalat"/>
      <w:sz w:val="22"/>
      <w:szCs w:val="22"/>
      <w:lang w:val="pt-BR"/>
    </w:rPr>
  </w:style>
  <w:style w:type="paragraph" w:customStyle="1" w:styleId="Heading2ChapterParanumText">
    <w:name w:val="Heading 2.(Chapter).Paranum.Text"/>
    <w:basedOn w:val="Normal"/>
    <w:next w:val="BodyTextMainTextdateBodyTextMaintext"/>
    <w:link w:val="Heading2ChapterParanumTextChar"/>
    <w:rsid w:val="00060470"/>
    <w:pPr>
      <w:keepNext/>
      <w:widowControl w:val="0"/>
      <w:spacing w:before="0" w:after="240"/>
      <w:jc w:val="left"/>
      <w:outlineLvl w:val="1"/>
    </w:pPr>
    <w:rPr>
      <w:rFonts w:ascii="Times Armenian" w:hAnsi="Times Armenian"/>
      <w:b w:val="0"/>
      <w:spacing w:val="24"/>
      <w:kern w:val="28"/>
      <w:sz w:val="24"/>
      <w:lang w:val="it-IT" w:eastAsia="en-US"/>
    </w:rPr>
  </w:style>
  <w:style w:type="paragraph" w:customStyle="1" w:styleId="BodyTextMainTextdateBodyTextMaintext">
    <w:name w:val="Body Text.(Main Text).date.Body Text (Main text)"/>
    <w:basedOn w:val="Normal"/>
    <w:rsid w:val="00060470"/>
    <w:pPr>
      <w:widowControl w:val="0"/>
      <w:spacing w:before="0" w:after="120"/>
      <w:ind w:firstLine="652"/>
    </w:pPr>
    <w:rPr>
      <w:rFonts w:ascii="Arial Armenian" w:hAnsi="Arial Armenian"/>
      <w:sz w:val="20"/>
      <w:lang w:val="en-GB" w:eastAsia="en-US"/>
    </w:rPr>
  </w:style>
  <w:style w:type="character" w:customStyle="1" w:styleId="Heading2ChapterParanumTextChar">
    <w:name w:val="Heading 2.(Chapter).Paranum.Text Char"/>
    <w:link w:val="Heading2ChapterParanumText"/>
    <w:rsid w:val="00060470"/>
    <w:rPr>
      <w:rFonts w:ascii="Times Armenian" w:hAnsi="Times Armenian"/>
      <w:b/>
      <w:spacing w:val="24"/>
      <w:kern w:val="28"/>
      <w:sz w:val="24"/>
      <w:szCs w:val="24"/>
      <w:lang w:val="it-IT"/>
    </w:rPr>
  </w:style>
  <w:style w:type="character" w:customStyle="1" w:styleId="StyleHeading2ChapterParanumTextSylfaen1Char">
    <w:name w:val="Style Heading 2.(Chapter).Paranum.Text + Sylfaen1 Char"/>
    <w:link w:val="StyleHeading2ChapterParanumTextSylfaen1"/>
    <w:rsid w:val="00060470"/>
    <w:rPr>
      <w:rFonts w:ascii="GHEA Grapalat" w:hAnsi="GHEA Grapalat"/>
      <w:b/>
      <w:spacing w:val="24"/>
      <w:kern w:val="28"/>
      <w:sz w:val="22"/>
      <w:szCs w:val="22"/>
      <w:lang w:val="pt-BR"/>
    </w:rPr>
  </w:style>
  <w:style w:type="paragraph" w:customStyle="1" w:styleId="8">
    <w:name w:val="????????? 8"/>
    <w:basedOn w:val="a1"/>
    <w:next w:val="a1"/>
    <w:rsid w:val="00060470"/>
    <w:pPr>
      <w:keepNext/>
      <w:ind w:firstLine="426"/>
      <w:outlineLvl w:val="7"/>
    </w:pPr>
    <w:rPr>
      <w:rFonts w:ascii="Times Armenian" w:hAnsi="Times Armenian"/>
      <w:b/>
      <w:sz w:val="24"/>
      <w:lang w:val="en-US"/>
    </w:rPr>
  </w:style>
  <w:style w:type="paragraph" w:customStyle="1" w:styleId="210">
    <w:name w:val="???????? ????? ? ???????? 21"/>
    <w:basedOn w:val="20"/>
    <w:rsid w:val="00060470"/>
    <w:pPr>
      <w:spacing w:line="360" w:lineRule="auto"/>
      <w:ind w:firstLine="840"/>
    </w:pPr>
    <w:rPr>
      <w:rFonts w:ascii="Arial LatArm" w:hAnsi="Arial LatArm"/>
    </w:rPr>
  </w:style>
  <w:style w:type="character" w:customStyle="1" w:styleId="BodyText3Char1">
    <w:name w:val="Body Text 3 Char1"/>
    <w:link w:val="BodyText31"/>
    <w:rsid w:val="00060470"/>
    <w:rPr>
      <w:rFonts w:ascii="Times New Roman" w:eastAsia="Times New Roman" w:hAnsi="Times New Roman" w:cs="Times New Roman"/>
      <w:sz w:val="16"/>
      <w:szCs w:val="16"/>
      <w:lang w:val="ru-RU" w:eastAsia="ru-RU"/>
    </w:rPr>
  </w:style>
  <w:style w:type="paragraph" w:customStyle="1" w:styleId="BSAPtext">
    <w:name w:val="BSAP text"/>
    <w:basedOn w:val="Normal"/>
    <w:rsid w:val="00060470"/>
    <w:pPr>
      <w:spacing w:before="0" w:line="312" w:lineRule="auto"/>
    </w:pPr>
    <w:rPr>
      <w:rFonts w:ascii="Bookman Old Style" w:hAnsi="Bookman Old Style"/>
      <w:szCs w:val="22"/>
      <w:lang w:val="en-US" w:eastAsia="en-US"/>
    </w:rPr>
  </w:style>
  <w:style w:type="paragraph" w:styleId="EndnoteText">
    <w:name w:val="endnote text"/>
    <w:basedOn w:val="Normal"/>
    <w:link w:val="EndnoteTextChar"/>
    <w:rsid w:val="00060470"/>
    <w:pPr>
      <w:spacing w:before="0" w:line="240" w:lineRule="auto"/>
      <w:jc w:val="left"/>
    </w:pPr>
    <w:rPr>
      <w:rFonts w:ascii="Times New Roman" w:hAnsi="Times New Roman"/>
      <w:sz w:val="20"/>
      <w:szCs w:val="20"/>
      <w:lang w:val="en-GB" w:eastAsia="en-US"/>
    </w:rPr>
  </w:style>
  <w:style w:type="character" w:customStyle="1" w:styleId="EndnoteTextChar">
    <w:name w:val="Endnote Text Char"/>
    <w:basedOn w:val="DefaultParagraphFont"/>
    <w:link w:val="EndnoteText"/>
    <w:rsid w:val="00060470"/>
    <w:rPr>
      <w:lang w:val="en-GB"/>
    </w:rPr>
  </w:style>
  <w:style w:type="character" w:customStyle="1" w:styleId="FooterChar2">
    <w:name w:val="Footer Char2"/>
    <w:uiPriority w:val="99"/>
    <w:rsid w:val="00060470"/>
    <w:rPr>
      <w:rFonts w:ascii="Times New Roman" w:eastAsia="Times New Roman" w:hAnsi="Times New Roman" w:cs="Times New Roman"/>
      <w:lang w:val="en-GB"/>
    </w:rPr>
  </w:style>
  <w:style w:type="paragraph" w:customStyle="1" w:styleId="CaptionTable">
    <w:name w:val="Caption_Table"/>
    <w:basedOn w:val="Caption"/>
    <w:qFormat/>
    <w:rsid w:val="00060470"/>
    <w:pPr>
      <w:keepNext/>
      <w:widowControl w:val="0"/>
      <w:spacing w:before="0" w:after="0" w:line="240" w:lineRule="auto"/>
      <w:ind w:left="1325" w:hanging="1325"/>
      <w:jc w:val="left"/>
    </w:pPr>
    <w:rPr>
      <w:rFonts w:ascii="Arial Armenian" w:hAnsi="Arial Armenian" w:cs="Sylfaen"/>
      <w:color w:val="auto"/>
      <w:sz w:val="20"/>
      <w:szCs w:val="20"/>
      <w:lang w:val="en-GB" w:eastAsia="en-US"/>
    </w:rPr>
  </w:style>
  <w:style w:type="paragraph" w:customStyle="1" w:styleId="Tablefirstcolumn">
    <w:name w:val="Table_first column"/>
    <w:basedOn w:val="Normal"/>
    <w:rsid w:val="00060470"/>
    <w:pPr>
      <w:spacing w:before="60" w:line="240" w:lineRule="auto"/>
      <w:jc w:val="left"/>
    </w:pPr>
    <w:rPr>
      <w:rFonts w:ascii="Arial Armenian" w:hAnsi="Arial Armenian"/>
      <w:sz w:val="16"/>
      <w:szCs w:val="20"/>
      <w:lang w:val="en-GB" w:eastAsia="en-US"/>
    </w:rPr>
  </w:style>
  <w:style w:type="paragraph" w:customStyle="1" w:styleId="BodyTextIndentTableSourceTableSourceCharBodyTextIndentChar">
    <w:name w:val="Body Text Indent.(Table Source).(Table Source) Char.Body Text Indent Char"/>
    <w:basedOn w:val="BodyTextMainTextdateBodyTextMaintext"/>
    <w:next w:val="Normal"/>
    <w:rsid w:val="00060470"/>
    <w:pPr>
      <w:spacing w:before="60" w:after="60" w:line="240" w:lineRule="auto"/>
    </w:pPr>
    <w:rPr>
      <w:i/>
      <w:sz w:val="16"/>
    </w:rPr>
  </w:style>
  <w:style w:type="paragraph" w:customStyle="1" w:styleId="Tablefirstrow">
    <w:name w:val="Table_first row"/>
    <w:basedOn w:val="Normal"/>
    <w:rsid w:val="00060470"/>
    <w:pPr>
      <w:widowControl w:val="0"/>
      <w:spacing w:before="60" w:line="240" w:lineRule="auto"/>
      <w:jc w:val="right"/>
    </w:pPr>
    <w:rPr>
      <w:rFonts w:ascii="Arial Armenian" w:hAnsi="Arial Armenian"/>
      <w:b w:val="0"/>
      <w:sz w:val="16"/>
      <w:szCs w:val="20"/>
      <w:lang w:val="en-GB" w:eastAsia="en-US"/>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060470"/>
    <w:pPr>
      <w:spacing w:before="0" w:line="240" w:lineRule="auto"/>
    </w:pPr>
    <w:rPr>
      <w:rFonts w:ascii="Arial Armenian" w:hAnsi="Arial Armenian"/>
      <w:i/>
      <w:sz w:val="18"/>
      <w:lang w:val="en-GB" w:eastAsia="en-US"/>
    </w:rPr>
  </w:style>
  <w:style w:type="character" w:customStyle="1" w:styleId="HeaderChar1">
    <w:name w:val="Header Char1"/>
    <w:aliases w:val="Header Char Char Char Char Char Char Char Char Char Char Char,Header Char Char Char Char Char Char Char Char Char Char Char Char Char,h Char"/>
    <w:uiPriority w:val="99"/>
    <w:rsid w:val="00060470"/>
    <w:rPr>
      <w:rFonts w:ascii="Times New Roman" w:eastAsia="Times New Roman" w:hAnsi="Times New Roman" w:cs="Times New Roman"/>
      <w:sz w:val="24"/>
      <w:szCs w:val="24"/>
    </w:rPr>
  </w:style>
  <w:style w:type="paragraph" w:styleId="TOC5">
    <w:name w:val="toc 5"/>
    <w:basedOn w:val="Normal"/>
    <w:next w:val="Normal"/>
    <w:autoRedefine/>
    <w:uiPriority w:val="39"/>
    <w:rsid w:val="00060470"/>
    <w:pPr>
      <w:tabs>
        <w:tab w:val="right" w:leader="dot" w:pos="9072"/>
      </w:tabs>
      <w:spacing w:before="0" w:after="100" w:line="240" w:lineRule="auto"/>
      <w:ind w:left="851"/>
      <w:jc w:val="left"/>
    </w:pPr>
    <w:rPr>
      <w:rFonts w:ascii="Times Armenian" w:hAnsi="Times Armenian"/>
      <w:b w:val="0"/>
      <w:sz w:val="18"/>
      <w:lang w:val="en-US" w:eastAsia="en-US"/>
    </w:rPr>
  </w:style>
  <w:style w:type="paragraph" w:customStyle="1" w:styleId="H1-intro">
    <w:name w:val="H1-intro"/>
    <w:basedOn w:val="Heading1"/>
    <w:autoRedefine/>
    <w:rsid w:val="00060470"/>
    <w:pPr>
      <w:widowControl w:val="0"/>
      <w:tabs>
        <w:tab w:val="left" w:pos="-284"/>
      </w:tabs>
      <w:spacing w:line="240" w:lineRule="auto"/>
      <w:ind w:right="-51"/>
    </w:pPr>
    <w:rPr>
      <w:rFonts w:ascii="Times Armenian" w:hAnsi="Times Armenian"/>
      <w:iCs/>
      <w:spacing w:val="60"/>
      <w:kern w:val="28"/>
      <w:szCs w:val="28"/>
      <w:lang w:val="es-ES"/>
    </w:rPr>
  </w:style>
  <w:style w:type="character" w:customStyle="1" w:styleId="TitleChar1">
    <w:name w:val="Title Char1"/>
    <w:rsid w:val="00060470"/>
    <w:rPr>
      <w:rFonts w:ascii="Arial Armenian" w:eastAsia="Times New Roman" w:hAnsi="Arial Armenian" w:cs="Times New Roman"/>
      <w:b/>
      <w:bCs/>
      <w:sz w:val="24"/>
      <w:szCs w:val="24"/>
      <w:lang w:val="fr-FR"/>
    </w:rPr>
  </w:style>
  <w:style w:type="paragraph" w:customStyle="1" w:styleId="CaptionGraph">
    <w:name w:val="Caption_Graph"/>
    <w:basedOn w:val="Caption"/>
    <w:rsid w:val="00060470"/>
    <w:pPr>
      <w:keepNext/>
      <w:keepLines/>
      <w:widowControl w:val="0"/>
      <w:spacing w:after="0" w:line="240" w:lineRule="auto"/>
      <w:ind w:left="1325" w:hanging="1325"/>
    </w:pPr>
    <w:rPr>
      <w:rFonts w:cs="Sylfaen"/>
      <w:bCs w:val="0"/>
      <w:color w:val="auto"/>
      <w:sz w:val="20"/>
      <w:szCs w:val="20"/>
      <w:lang w:val="it-IT" w:eastAsia="en-US"/>
    </w:rPr>
  </w:style>
  <w:style w:type="paragraph" w:customStyle="1" w:styleId="graphtable">
    <w:name w:val="graph&amp;table"/>
    <w:basedOn w:val="BodyText"/>
    <w:next w:val="BodyTextIndent"/>
    <w:rsid w:val="00060470"/>
    <w:pPr>
      <w:widowControl w:val="0"/>
      <w:spacing w:before="60" w:line="240" w:lineRule="auto"/>
      <w:jc w:val="both"/>
    </w:pPr>
    <w:rPr>
      <w:rFonts w:ascii="Arial Armenian" w:hAnsi="Arial Armenian"/>
      <w:sz w:val="20"/>
      <w:lang w:val="en-GB"/>
    </w:rPr>
  </w:style>
  <w:style w:type="paragraph" w:customStyle="1" w:styleId="BodyTextdate">
    <w:name w:val="Body Text.date"/>
    <w:basedOn w:val="Normal"/>
    <w:rsid w:val="00060470"/>
    <w:pPr>
      <w:widowControl w:val="0"/>
      <w:spacing w:before="0" w:after="120"/>
    </w:pPr>
    <w:rPr>
      <w:rFonts w:ascii="Arial Armenian" w:hAnsi="Arial Armenian"/>
      <w:spacing w:val="-5"/>
      <w:sz w:val="20"/>
      <w:szCs w:val="20"/>
      <w:lang w:val="en-GB" w:eastAsia="en-US"/>
    </w:rPr>
  </w:style>
  <w:style w:type="character" w:customStyle="1" w:styleId="CaptionGraphChar">
    <w:name w:val="Caption_Graph Char"/>
    <w:rsid w:val="00060470"/>
    <w:rPr>
      <w:rFonts w:ascii="Arial Armenian" w:hAnsi="Arial Armenian"/>
      <w:b/>
      <w:sz w:val="20"/>
    </w:rPr>
  </w:style>
  <w:style w:type="paragraph" w:customStyle="1" w:styleId="Heading5Side">
    <w:name w:val="Heading 5.Side"/>
    <w:basedOn w:val="Normal"/>
    <w:next w:val="Normal"/>
    <w:rsid w:val="00060470"/>
    <w:pPr>
      <w:keepNext/>
      <w:spacing w:before="0"/>
      <w:outlineLvl w:val="4"/>
    </w:pPr>
    <w:rPr>
      <w:rFonts w:ascii="Times LatArm" w:hAnsi="Times LatArm"/>
      <w:sz w:val="24"/>
      <w:szCs w:val="20"/>
      <w:lang w:val="en-NZ" w:eastAsia="en-US"/>
    </w:rPr>
  </w:style>
  <w:style w:type="paragraph" w:customStyle="1" w:styleId="24">
    <w:name w:val="çàãîëîâîê 2"/>
    <w:basedOn w:val="Normal"/>
    <w:next w:val="Normal"/>
    <w:rsid w:val="00060470"/>
    <w:pPr>
      <w:keepNext/>
      <w:overflowPunct w:val="0"/>
      <w:autoSpaceDE w:val="0"/>
      <w:autoSpaceDN w:val="0"/>
      <w:adjustRightInd w:val="0"/>
      <w:spacing w:before="0" w:line="240" w:lineRule="auto"/>
    </w:pPr>
    <w:rPr>
      <w:rFonts w:ascii="Arial Armenian" w:hAnsi="Arial Armenian"/>
      <w:sz w:val="24"/>
      <w:szCs w:val="20"/>
      <w:lang w:val="en-US" w:eastAsia="en-US"/>
    </w:rPr>
  </w:style>
  <w:style w:type="paragraph" w:customStyle="1" w:styleId="CaptionAnnexedTable">
    <w:name w:val="Caption_Annexed Table"/>
    <w:basedOn w:val="Caption"/>
    <w:rsid w:val="00060470"/>
    <w:pPr>
      <w:keepNext/>
      <w:keepLines/>
      <w:widowControl w:val="0"/>
      <w:spacing w:after="0" w:line="240" w:lineRule="auto"/>
      <w:ind w:left="1325" w:hanging="1325"/>
    </w:pPr>
    <w:rPr>
      <w:rFonts w:cs="Sylfaen"/>
      <w:bCs w:val="0"/>
      <w:color w:val="auto"/>
      <w:sz w:val="20"/>
      <w:szCs w:val="20"/>
      <w:lang w:val="en-US" w:eastAsia="en-US"/>
    </w:rPr>
  </w:style>
  <w:style w:type="paragraph" w:customStyle="1" w:styleId="Vernagir">
    <w:name w:val="Vernagir"/>
    <w:basedOn w:val="Normal"/>
    <w:next w:val="Normal"/>
    <w:rsid w:val="00060470"/>
    <w:pPr>
      <w:autoSpaceDE w:val="0"/>
      <w:autoSpaceDN w:val="0"/>
      <w:spacing w:before="240" w:after="120" w:line="240" w:lineRule="auto"/>
      <w:jc w:val="center"/>
    </w:pPr>
    <w:rPr>
      <w:rFonts w:ascii="Times Armenian" w:hAnsi="Times Armenian"/>
      <w:b w:val="0"/>
      <w:bCs/>
      <w:sz w:val="20"/>
      <w:lang w:val="en-US" w:eastAsia="en-US"/>
    </w:rPr>
  </w:style>
  <w:style w:type="paragraph" w:customStyle="1" w:styleId="Heading3Sub-ChapterCenteredtext">
    <w:name w:val="Heading 3.(Sub-Chapter).Centered.(text)"/>
    <w:basedOn w:val="Normal"/>
    <w:next w:val="BodyTextMainTextdateBodyTextMaintext"/>
    <w:rsid w:val="00060470"/>
    <w:pPr>
      <w:keepNext/>
      <w:widowControl w:val="0"/>
      <w:tabs>
        <w:tab w:val="left" w:pos="624"/>
      </w:tabs>
      <w:spacing w:before="240" w:after="240" w:line="240" w:lineRule="auto"/>
      <w:jc w:val="left"/>
      <w:outlineLvl w:val="2"/>
    </w:pPr>
    <w:rPr>
      <w:rFonts w:ascii="Times Armenian" w:hAnsi="Times Armenian"/>
      <w:b w:val="0"/>
      <w:lang w:val="af-ZA" w:eastAsia="en-US"/>
    </w:rPr>
  </w:style>
  <w:style w:type="paragraph" w:customStyle="1" w:styleId="BoxTitle">
    <w:name w:val="Box_Title"/>
    <w:basedOn w:val="Caption"/>
    <w:rsid w:val="00060470"/>
    <w:pPr>
      <w:keepNext/>
      <w:keepLines/>
      <w:widowControl w:val="0"/>
      <w:spacing w:before="60" w:after="120" w:line="240" w:lineRule="auto"/>
      <w:ind w:left="1325" w:hanging="1325"/>
    </w:pPr>
    <w:rPr>
      <w:rFonts w:cs="Sylfaen"/>
      <w:bCs w:val="0"/>
      <w:color w:val="auto"/>
      <w:sz w:val="20"/>
      <w:szCs w:val="20"/>
      <w:lang w:val="fr-FR" w:eastAsia="en-US"/>
    </w:rPr>
  </w:style>
  <w:style w:type="paragraph" w:styleId="TOC6">
    <w:name w:val="toc 6"/>
    <w:basedOn w:val="Normal"/>
    <w:next w:val="Normal"/>
    <w:autoRedefine/>
    <w:uiPriority w:val="39"/>
    <w:rsid w:val="00060470"/>
    <w:pPr>
      <w:spacing w:before="0" w:line="240" w:lineRule="auto"/>
      <w:ind w:left="1200"/>
      <w:jc w:val="left"/>
    </w:pPr>
    <w:rPr>
      <w:rFonts w:ascii="Times New Roman" w:hAnsi="Times New Roman"/>
      <w:sz w:val="24"/>
      <w:lang w:val="en-US" w:eastAsia="en-US"/>
    </w:rPr>
  </w:style>
  <w:style w:type="paragraph" w:styleId="TOC7">
    <w:name w:val="toc 7"/>
    <w:basedOn w:val="Normal"/>
    <w:next w:val="Normal"/>
    <w:autoRedefine/>
    <w:uiPriority w:val="39"/>
    <w:rsid w:val="00060470"/>
    <w:pPr>
      <w:spacing w:before="0" w:line="240" w:lineRule="auto"/>
      <w:ind w:left="1440"/>
      <w:jc w:val="left"/>
    </w:pPr>
    <w:rPr>
      <w:rFonts w:ascii="Times New Roman" w:hAnsi="Times New Roman"/>
      <w:sz w:val="24"/>
      <w:lang w:val="en-US" w:eastAsia="en-US"/>
    </w:rPr>
  </w:style>
  <w:style w:type="paragraph" w:styleId="TOC8">
    <w:name w:val="toc 8"/>
    <w:basedOn w:val="Normal"/>
    <w:next w:val="Normal"/>
    <w:autoRedefine/>
    <w:uiPriority w:val="39"/>
    <w:rsid w:val="00060470"/>
    <w:pPr>
      <w:spacing w:before="0" w:line="240" w:lineRule="auto"/>
      <w:ind w:left="1680"/>
      <w:jc w:val="left"/>
    </w:pPr>
    <w:rPr>
      <w:rFonts w:ascii="Times New Roman" w:hAnsi="Times New Roman"/>
      <w:sz w:val="24"/>
      <w:lang w:val="en-US" w:eastAsia="en-US"/>
    </w:rPr>
  </w:style>
  <w:style w:type="paragraph" w:styleId="TOC9">
    <w:name w:val="toc 9"/>
    <w:basedOn w:val="Normal"/>
    <w:next w:val="Normal"/>
    <w:autoRedefine/>
    <w:uiPriority w:val="39"/>
    <w:rsid w:val="00060470"/>
    <w:pPr>
      <w:spacing w:before="0" w:line="240" w:lineRule="auto"/>
      <w:ind w:left="1920"/>
      <w:jc w:val="left"/>
    </w:pPr>
    <w:rPr>
      <w:rFonts w:ascii="Times New Roman" w:hAnsi="Times New Roman"/>
      <w:sz w:val="24"/>
      <w:lang w:val="en-US" w:eastAsia="en-US"/>
    </w:rPr>
  </w:style>
  <w:style w:type="table" w:styleId="TableList7">
    <w:name w:val="Table List 7"/>
    <w:basedOn w:val="TableNormal"/>
    <w:uiPriority w:val="99"/>
    <w:rsid w:val="000604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uiPriority w:val="99"/>
    <w:rsid w:val="000604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uiPriority w:val="99"/>
    <w:rsid w:val="000604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Base">
    <w:name w:val="TOC Base"/>
    <w:basedOn w:val="Normal"/>
    <w:rsid w:val="00060470"/>
    <w:pPr>
      <w:tabs>
        <w:tab w:val="right" w:leader="dot" w:pos="8505"/>
      </w:tabs>
      <w:overflowPunct w:val="0"/>
      <w:autoSpaceDE w:val="0"/>
      <w:autoSpaceDN w:val="0"/>
      <w:adjustRightInd w:val="0"/>
      <w:spacing w:before="0" w:line="240" w:lineRule="auto"/>
      <w:jc w:val="left"/>
      <w:textAlignment w:val="baseline"/>
    </w:pPr>
    <w:rPr>
      <w:rFonts w:ascii="Gill Sans" w:hAnsi="Gill Sans"/>
      <w:sz w:val="24"/>
      <w:szCs w:val="20"/>
      <w:lang w:val="en-US" w:eastAsia="en-US"/>
    </w:rPr>
  </w:style>
  <w:style w:type="paragraph" w:customStyle="1" w:styleId="Bulets">
    <w:name w:val="Bulets"/>
    <w:basedOn w:val="Normal"/>
    <w:next w:val="Normal"/>
    <w:rsid w:val="00060470"/>
    <w:pPr>
      <w:tabs>
        <w:tab w:val="num" w:pos="360"/>
      </w:tabs>
      <w:spacing w:before="0" w:line="240" w:lineRule="auto"/>
      <w:ind w:left="357" w:hanging="357"/>
    </w:pPr>
    <w:rPr>
      <w:rFonts w:ascii="Times Armenian" w:hAnsi="Times Armenian"/>
      <w:sz w:val="20"/>
      <w:szCs w:val="20"/>
      <w:lang w:val="en-US" w:eastAsia="en-US"/>
    </w:rPr>
  </w:style>
  <w:style w:type="paragraph" w:customStyle="1" w:styleId="Numbering1">
    <w:name w:val="Numbering 1"/>
    <w:basedOn w:val="Normal"/>
    <w:next w:val="Normal"/>
    <w:autoRedefine/>
    <w:qFormat/>
    <w:rsid w:val="003C4BB9"/>
    <w:pPr>
      <w:keepNext/>
      <w:spacing w:after="120" w:line="240" w:lineRule="auto"/>
      <w:ind w:left="567"/>
      <w:jc w:val="left"/>
    </w:pPr>
    <w:rPr>
      <w:b w:val="0"/>
      <w:i/>
      <w:szCs w:val="20"/>
      <w:lang w:val="en-US" w:eastAsia="en-US"/>
    </w:rPr>
  </w:style>
  <w:style w:type="paragraph" w:customStyle="1" w:styleId="Bulet-2">
    <w:name w:val="Bulet-2"/>
    <w:basedOn w:val="Normal"/>
    <w:rsid w:val="00060470"/>
    <w:pPr>
      <w:tabs>
        <w:tab w:val="num" w:pos="454"/>
      </w:tabs>
      <w:spacing w:before="0" w:line="240" w:lineRule="auto"/>
      <w:ind w:left="454" w:hanging="454"/>
      <w:jc w:val="left"/>
    </w:pPr>
    <w:rPr>
      <w:rFonts w:ascii="Times Armenian" w:hAnsi="Times Armenian"/>
      <w:sz w:val="24"/>
      <w:lang w:val="en-US" w:eastAsia="en-U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60470"/>
    <w:pPr>
      <w:spacing w:before="0" w:after="120" w:line="240" w:lineRule="auto"/>
      <w:ind w:left="360"/>
      <w:jc w:val="left"/>
    </w:pPr>
    <w:rPr>
      <w:rFonts w:ascii="Times New Roman" w:hAnsi="Times New Roman"/>
      <w:sz w:val="20"/>
      <w:lang w:val="en-US" w:eastAsia="en-US"/>
    </w:rPr>
  </w:style>
  <w:style w:type="paragraph" w:customStyle="1" w:styleId="StyleHeading120pt">
    <w:name w:val="Style Heading 1 + 20 pt"/>
    <w:basedOn w:val="Heading1"/>
    <w:rsid w:val="00060470"/>
    <w:pPr>
      <w:spacing w:line="240" w:lineRule="auto"/>
    </w:pPr>
    <w:rPr>
      <w:rFonts w:ascii="Times Armenian" w:hAnsi="Times Armenian"/>
      <w:b w:val="0"/>
      <w:sz w:val="40"/>
    </w:rPr>
  </w:style>
  <w:style w:type="paragraph" w:customStyle="1" w:styleId="StyleHeading216ptBoldLightBlueLeft025">
    <w:name w:val="Style Heading 2 + 16 pt Bold Light Blue Left:  0.25&quot;"/>
    <w:basedOn w:val="Heading2"/>
    <w:rsid w:val="00060470"/>
    <w:pPr>
      <w:tabs>
        <w:tab w:val="num" w:pos="0"/>
        <w:tab w:val="left" w:pos="993"/>
        <w:tab w:val="num" w:pos="1080"/>
        <w:tab w:val="right" w:pos="10208"/>
      </w:tabs>
      <w:ind w:left="360" w:firstLine="540"/>
      <w:jc w:val="left"/>
    </w:pPr>
    <w:rPr>
      <w:color w:val="3366FF"/>
      <w:spacing w:val="24"/>
      <w:kern w:val="16"/>
      <w:sz w:val="32"/>
      <w:lang w:val="en-US"/>
    </w:rPr>
  </w:style>
  <w:style w:type="paragraph" w:styleId="Index2">
    <w:name w:val="index 2"/>
    <w:basedOn w:val="Normal"/>
    <w:next w:val="Normal"/>
    <w:autoRedefine/>
    <w:rsid w:val="00060470"/>
    <w:pPr>
      <w:spacing w:before="0" w:line="240" w:lineRule="auto"/>
      <w:ind w:left="480" w:hanging="240"/>
      <w:jc w:val="left"/>
    </w:pPr>
    <w:rPr>
      <w:rFonts w:ascii="Times New Roman" w:hAnsi="Times New Roman"/>
      <w:sz w:val="24"/>
      <w:lang w:val="en-US" w:eastAsia="en-US"/>
    </w:rPr>
  </w:style>
  <w:style w:type="paragraph" w:styleId="Index3">
    <w:name w:val="index 3"/>
    <w:basedOn w:val="Normal"/>
    <w:next w:val="Normal"/>
    <w:autoRedefine/>
    <w:rsid w:val="00060470"/>
    <w:pPr>
      <w:spacing w:before="0" w:line="240" w:lineRule="auto"/>
      <w:ind w:left="720" w:hanging="240"/>
      <w:jc w:val="left"/>
    </w:pPr>
    <w:rPr>
      <w:rFonts w:ascii="Times New Roman" w:hAnsi="Times New Roman"/>
      <w:sz w:val="24"/>
      <w:lang w:val="en-US" w:eastAsia="en-US"/>
    </w:rPr>
  </w:style>
  <w:style w:type="paragraph" w:styleId="Index4">
    <w:name w:val="index 4"/>
    <w:basedOn w:val="Normal"/>
    <w:next w:val="Normal"/>
    <w:autoRedefine/>
    <w:rsid w:val="00060470"/>
    <w:pPr>
      <w:spacing w:before="0" w:line="240" w:lineRule="auto"/>
      <w:ind w:left="960" w:hanging="240"/>
      <w:jc w:val="left"/>
    </w:pPr>
    <w:rPr>
      <w:rFonts w:ascii="Times New Roman" w:hAnsi="Times New Roman"/>
      <w:sz w:val="24"/>
      <w:lang w:val="en-US" w:eastAsia="en-US"/>
    </w:rPr>
  </w:style>
  <w:style w:type="paragraph" w:styleId="Index5">
    <w:name w:val="index 5"/>
    <w:basedOn w:val="Normal"/>
    <w:next w:val="Normal"/>
    <w:autoRedefine/>
    <w:rsid w:val="00060470"/>
    <w:pPr>
      <w:spacing w:before="0" w:line="240" w:lineRule="auto"/>
      <w:ind w:left="1200" w:hanging="240"/>
      <w:jc w:val="left"/>
    </w:pPr>
    <w:rPr>
      <w:rFonts w:ascii="Times New Roman" w:hAnsi="Times New Roman"/>
      <w:sz w:val="24"/>
      <w:lang w:val="en-US" w:eastAsia="en-US"/>
    </w:rPr>
  </w:style>
  <w:style w:type="paragraph" w:styleId="Index6">
    <w:name w:val="index 6"/>
    <w:basedOn w:val="Normal"/>
    <w:next w:val="Normal"/>
    <w:autoRedefine/>
    <w:rsid w:val="00060470"/>
    <w:pPr>
      <w:spacing w:before="0" w:line="240" w:lineRule="auto"/>
      <w:ind w:left="1440" w:hanging="240"/>
      <w:jc w:val="left"/>
    </w:pPr>
    <w:rPr>
      <w:rFonts w:ascii="Times New Roman" w:hAnsi="Times New Roman"/>
      <w:sz w:val="24"/>
      <w:lang w:val="en-US" w:eastAsia="en-US"/>
    </w:rPr>
  </w:style>
  <w:style w:type="paragraph" w:styleId="Index7">
    <w:name w:val="index 7"/>
    <w:basedOn w:val="Normal"/>
    <w:next w:val="Normal"/>
    <w:autoRedefine/>
    <w:rsid w:val="00060470"/>
    <w:pPr>
      <w:spacing w:before="0" w:line="240" w:lineRule="auto"/>
      <w:ind w:left="1680" w:hanging="240"/>
      <w:jc w:val="left"/>
    </w:pPr>
    <w:rPr>
      <w:rFonts w:ascii="Times New Roman" w:hAnsi="Times New Roman"/>
      <w:sz w:val="24"/>
      <w:lang w:val="en-US" w:eastAsia="en-US"/>
    </w:rPr>
  </w:style>
  <w:style w:type="paragraph" w:styleId="Index8">
    <w:name w:val="index 8"/>
    <w:basedOn w:val="Normal"/>
    <w:next w:val="Normal"/>
    <w:autoRedefine/>
    <w:rsid w:val="00060470"/>
    <w:pPr>
      <w:spacing w:before="0" w:line="240" w:lineRule="auto"/>
      <w:ind w:left="1920" w:hanging="240"/>
      <w:jc w:val="left"/>
    </w:pPr>
    <w:rPr>
      <w:rFonts w:ascii="Times New Roman" w:hAnsi="Times New Roman"/>
      <w:sz w:val="24"/>
      <w:lang w:val="en-US" w:eastAsia="en-US"/>
    </w:rPr>
  </w:style>
  <w:style w:type="paragraph" w:styleId="Index9">
    <w:name w:val="index 9"/>
    <w:basedOn w:val="Normal"/>
    <w:next w:val="Normal"/>
    <w:autoRedefine/>
    <w:rsid w:val="00060470"/>
    <w:pPr>
      <w:spacing w:before="0" w:line="240" w:lineRule="auto"/>
      <w:ind w:left="2160" w:hanging="240"/>
      <w:jc w:val="left"/>
    </w:pPr>
    <w:rPr>
      <w:rFonts w:ascii="Times New Roman" w:hAnsi="Times New Roman"/>
      <w:sz w:val="24"/>
      <w:lang w:val="en-US" w:eastAsia="en-US"/>
    </w:rPr>
  </w:style>
  <w:style w:type="paragraph" w:customStyle="1" w:styleId="BodyTextIndentTableSource">
    <w:name w:val="Body Text Indent.(Table Source)"/>
    <w:basedOn w:val="Normal"/>
    <w:rsid w:val="00060470"/>
    <w:pPr>
      <w:spacing w:before="0"/>
      <w:ind w:firstLine="540"/>
      <w:jc w:val="left"/>
    </w:pPr>
    <w:rPr>
      <w:rFonts w:ascii="Times LatArm" w:hAnsi="Times LatArm"/>
      <w:szCs w:val="20"/>
      <w:lang w:val="en-US" w:eastAsia="en-US"/>
    </w:rPr>
  </w:style>
  <w:style w:type="character" w:customStyle="1" w:styleId="TableTitleCharCharCharCharCharCharCharCharCharCharChar">
    <w:name w:val="(Table Title) Char Char Char Char Char Char Char Char Char Char Char"/>
    <w:aliases w:val="Caption1,(Table Title)1"/>
    <w:rsid w:val="00060470"/>
    <w:rPr>
      <w:rFonts w:ascii="Arial Armenian" w:hAnsi="Arial Armenian"/>
      <w:b/>
      <w:noProof w:val="0"/>
      <w:lang w:val="en-GB" w:eastAsia="en-US" w:bidi="ar-SA"/>
    </w:rPr>
  </w:style>
  <w:style w:type="paragraph" w:customStyle="1" w:styleId="BoxText">
    <w:name w:val="Box Text"/>
    <w:basedOn w:val="BodyText"/>
    <w:rsid w:val="00060470"/>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before="0" w:after="120"/>
      <w:ind w:firstLine="652"/>
      <w:suppressOverlap/>
      <w:jc w:val="both"/>
    </w:pPr>
    <w:rPr>
      <w:rFonts w:ascii="Arial Armenian" w:hAnsi="Arial Armenian"/>
      <w:noProof/>
      <w:sz w:val="20"/>
      <w:lang w:val="it-IT"/>
    </w:rPr>
  </w:style>
  <w:style w:type="paragraph" w:customStyle="1" w:styleId="BulletAB1">
    <w:name w:val="Bullet AB1"/>
    <w:basedOn w:val="Normal"/>
    <w:rsid w:val="00060470"/>
    <w:pPr>
      <w:tabs>
        <w:tab w:val="num" w:pos="360"/>
        <w:tab w:val="left" w:pos="1008"/>
      </w:tabs>
      <w:spacing w:before="0" w:line="240" w:lineRule="auto"/>
      <w:ind w:left="360" w:hanging="360"/>
    </w:pPr>
    <w:rPr>
      <w:rFonts w:ascii="Times New Roman" w:hAnsi="Times New Roman"/>
      <w:sz w:val="21"/>
      <w:szCs w:val="20"/>
      <w:lang w:val="en-GB" w:eastAsia="en-US"/>
    </w:rPr>
  </w:style>
  <w:style w:type="paragraph" w:customStyle="1" w:styleId="wolort">
    <w:name w:val="wolort"/>
    <w:basedOn w:val="Normal"/>
    <w:rsid w:val="00060470"/>
    <w:pPr>
      <w:spacing w:before="0" w:line="240" w:lineRule="auto"/>
      <w:jc w:val="center"/>
    </w:pPr>
    <w:rPr>
      <w:rFonts w:ascii="Arial Armenian" w:hAnsi="Arial Armenian"/>
      <w:b w:val="0"/>
      <w:sz w:val="24"/>
      <w:lang w:val="en-US" w:eastAsia="en-US"/>
    </w:rPr>
  </w:style>
  <w:style w:type="paragraph" w:customStyle="1" w:styleId="Tabletext0">
    <w:name w:val="Table text"/>
    <w:basedOn w:val="Normal"/>
    <w:rsid w:val="00060470"/>
    <w:pPr>
      <w:overflowPunct w:val="0"/>
      <w:autoSpaceDE w:val="0"/>
      <w:autoSpaceDN w:val="0"/>
      <w:adjustRightInd w:val="0"/>
      <w:spacing w:before="60" w:line="240" w:lineRule="atLeast"/>
      <w:jc w:val="left"/>
      <w:textAlignment w:val="baseline"/>
    </w:pPr>
    <w:rPr>
      <w:rFonts w:ascii="Times New Roman" w:hAnsi="Times New Roman"/>
      <w:sz w:val="18"/>
      <w:szCs w:val="20"/>
      <w:lang w:val="en-GB" w:eastAsia="en-US"/>
    </w:rPr>
  </w:style>
  <w:style w:type="paragraph" w:customStyle="1" w:styleId="MessageText">
    <w:name w:val="Message Text"/>
    <w:basedOn w:val="BodyText"/>
    <w:rsid w:val="00060470"/>
    <w:pPr>
      <w:widowControl w:val="0"/>
      <w:spacing w:before="0" w:after="120"/>
      <w:ind w:firstLine="652"/>
      <w:jc w:val="both"/>
    </w:pPr>
    <w:rPr>
      <w:rFonts w:ascii="Arial Armenian" w:hAnsi="Arial Armenian"/>
      <w:sz w:val="22"/>
      <w:lang w:val="en-GB"/>
    </w:rPr>
  </w:style>
  <w:style w:type="paragraph" w:customStyle="1" w:styleId="Heading41">
    <w:name w:val="Heading 41"/>
    <w:aliases w:val="Centred1"/>
    <w:basedOn w:val="Normal"/>
    <w:rsid w:val="00060470"/>
    <w:pPr>
      <w:widowControl w:val="0"/>
      <w:tabs>
        <w:tab w:val="num" w:pos="1080"/>
      </w:tabs>
      <w:spacing w:before="0" w:line="240" w:lineRule="auto"/>
      <w:ind w:left="737" w:hanging="737"/>
      <w:jc w:val="left"/>
    </w:pPr>
    <w:rPr>
      <w:rFonts w:ascii="Arial Armenian" w:hAnsi="Arial Armenian"/>
      <w:sz w:val="20"/>
      <w:szCs w:val="20"/>
      <w:lang w:val="en-GB" w:eastAsia="en-US"/>
    </w:rPr>
  </w:style>
  <w:style w:type="paragraph" w:customStyle="1" w:styleId="PRAMO">
    <w:name w:val="PRAMO"/>
    <w:basedOn w:val="Normal"/>
    <w:rsid w:val="00060470"/>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spacing w:before="0" w:line="240" w:lineRule="auto"/>
    </w:pPr>
    <w:rPr>
      <w:rFonts w:ascii="Arial" w:hAnsi="Arial"/>
      <w:sz w:val="24"/>
      <w:lang w:val="en-GB" w:eastAsia="en-US"/>
    </w:rPr>
  </w:style>
  <w:style w:type="paragraph" w:customStyle="1" w:styleId="bullet10">
    <w:name w:val="bullet1"/>
    <w:basedOn w:val="NormalIndent"/>
    <w:rsid w:val="00060470"/>
    <w:pPr>
      <w:tabs>
        <w:tab w:val="left" w:pos="1418"/>
        <w:tab w:val="left" w:pos="2835"/>
        <w:tab w:val="left" w:pos="5103"/>
        <w:tab w:val="left" w:pos="7371"/>
        <w:tab w:val="right" w:pos="9639"/>
      </w:tabs>
      <w:spacing w:line="240" w:lineRule="auto"/>
      <w:ind w:left="0"/>
      <w:jc w:val="left"/>
    </w:pPr>
    <w:rPr>
      <w:rFonts w:ascii="Times New Roman" w:hAnsi="Times New Roman"/>
      <w:sz w:val="22"/>
      <w:lang w:val="en-GB"/>
    </w:rPr>
  </w:style>
  <w:style w:type="paragraph" w:customStyle="1" w:styleId="a5">
    <w:name w:val="????????"/>
    <w:basedOn w:val="Normal"/>
    <w:rsid w:val="00060470"/>
    <w:pPr>
      <w:spacing w:before="0" w:line="240" w:lineRule="auto"/>
      <w:jc w:val="center"/>
    </w:pPr>
    <w:rPr>
      <w:rFonts w:ascii="Times Armenian" w:hAnsi="Times Armenian"/>
      <w:i/>
      <w:sz w:val="28"/>
      <w:szCs w:val="20"/>
      <w:lang w:val="en-US"/>
    </w:rPr>
  </w:style>
  <w:style w:type="paragraph" w:customStyle="1" w:styleId="15">
    <w:name w:val="???????? ????? ? ????????1"/>
    <w:basedOn w:val="20"/>
    <w:rsid w:val="00060470"/>
    <w:pPr>
      <w:spacing w:line="360" w:lineRule="auto"/>
      <w:ind w:firstLine="720"/>
    </w:pPr>
    <w:rPr>
      <w:sz w:val="28"/>
    </w:rPr>
  </w:style>
  <w:style w:type="paragraph" w:customStyle="1" w:styleId="BodyTextIndentTableSource1">
    <w:name w:val="Body Text Indent.(Table Source)1"/>
    <w:basedOn w:val="Normal"/>
    <w:rsid w:val="00060470"/>
    <w:pPr>
      <w:spacing w:before="0" w:line="240" w:lineRule="auto"/>
      <w:ind w:firstLine="3"/>
    </w:pPr>
    <w:rPr>
      <w:rFonts w:ascii="Times Armenian" w:hAnsi="Times Armenian"/>
      <w:szCs w:val="20"/>
      <w:lang w:val="fr-FR" w:eastAsia="en-US"/>
    </w:rPr>
  </w:style>
  <w:style w:type="character" w:customStyle="1" w:styleId="Normal1">
    <w:name w:val="Normal1"/>
    <w:rsid w:val="00060470"/>
    <w:rPr>
      <w:rFonts w:ascii="Arial" w:hAnsi="Arial"/>
      <w:sz w:val="24"/>
      <w:szCs w:val="24"/>
    </w:rPr>
  </w:style>
  <w:style w:type="paragraph" w:customStyle="1" w:styleId="BulletblBulletL1bl1">
    <w:name w:val="Bullet.bl.Bullet L1.bl1"/>
    <w:basedOn w:val="Normal"/>
    <w:rsid w:val="00060470"/>
    <w:pPr>
      <w:tabs>
        <w:tab w:val="num" w:pos="360"/>
      </w:tabs>
      <w:autoSpaceDE w:val="0"/>
      <w:autoSpaceDN w:val="0"/>
      <w:spacing w:before="0" w:after="130" w:line="240" w:lineRule="auto"/>
      <w:ind w:left="360" w:hanging="360"/>
    </w:pPr>
    <w:rPr>
      <w:rFonts w:ascii="Times Armenian" w:hAnsi="Times Armenian"/>
      <w:szCs w:val="22"/>
      <w:lang w:val="en-GB"/>
    </w:rPr>
  </w:style>
  <w:style w:type="paragraph" w:customStyle="1" w:styleId="Heading3Centeredtext">
    <w:name w:val="Heading 3.Centered.(text)"/>
    <w:basedOn w:val="Normal"/>
    <w:next w:val="Heading2"/>
    <w:rsid w:val="00060470"/>
    <w:pPr>
      <w:keepNext/>
      <w:autoSpaceDE w:val="0"/>
      <w:autoSpaceDN w:val="0"/>
      <w:spacing w:before="0" w:after="220" w:line="240" w:lineRule="auto"/>
      <w:jc w:val="left"/>
      <w:outlineLvl w:val="2"/>
    </w:pPr>
    <w:rPr>
      <w:rFonts w:ascii="Times Armenian" w:hAnsi="Times Armenian"/>
      <w:b w:val="0"/>
      <w:bCs/>
      <w:sz w:val="24"/>
      <w:lang w:val="en-GB"/>
    </w:rPr>
  </w:style>
  <w:style w:type="paragraph" w:customStyle="1" w:styleId="16">
    <w:name w:val="çàãîëîâîê 1"/>
    <w:basedOn w:val="Normal"/>
    <w:next w:val="Normal"/>
    <w:rsid w:val="00060470"/>
    <w:pPr>
      <w:keepNext/>
      <w:overflowPunct w:val="0"/>
      <w:autoSpaceDE w:val="0"/>
      <w:autoSpaceDN w:val="0"/>
      <w:adjustRightInd w:val="0"/>
      <w:spacing w:before="0" w:line="240" w:lineRule="auto"/>
      <w:jc w:val="center"/>
    </w:pPr>
    <w:rPr>
      <w:rFonts w:ascii="Arial Armenian" w:hAnsi="Arial Armenian"/>
      <w:sz w:val="24"/>
      <w:szCs w:val="20"/>
      <w:lang w:val="en-US" w:eastAsia="en-US"/>
    </w:rPr>
  </w:style>
  <w:style w:type="paragraph" w:customStyle="1" w:styleId="BalloonText2">
    <w:name w:val="Balloon Text2"/>
    <w:basedOn w:val="Normal"/>
    <w:semiHidden/>
    <w:rsid w:val="00060470"/>
    <w:pPr>
      <w:spacing w:before="0" w:line="240" w:lineRule="auto"/>
      <w:ind w:left="2157" w:hanging="180"/>
      <w:jc w:val="left"/>
    </w:pPr>
    <w:rPr>
      <w:rFonts w:ascii="Tahoma" w:hAnsi="Tahoma" w:cs="Tahoma"/>
      <w:sz w:val="16"/>
      <w:szCs w:val="16"/>
      <w:lang w:val="en-US" w:eastAsia="en-US"/>
    </w:rPr>
  </w:style>
  <w:style w:type="paragraph" w:customStyle="1" w:styleId="WW-BodyText3">
    <w:name w:val="WW-Body Text 3"/>
    <w:basedOn w:val="Normal"/>
    <w:rsid w:val="00060470"/>
    <w:pPr>
      <w:suppressAutoHyphens/>
      <w:spacing w:before="0" w:line="240" w:lineRule="auto"/>
    </w:pPr>
    <w:rPr>
      <w:rFonts w:ascii="Times Armenian" w:hAnsi="Times Armenian"/>
      <w:sz w:val="24"/>
      <w:lang w:val="en-US" w:eastAsia="ar-SA"/>
    </w:rPr>
  </w:style>
  <w:style w:type="paragraph" w:customStyle="1" w:styleId="WW-BodyTextIndent2">
    <w:name w:val="WW-Body Text Indent 2"/>
    <w:basedOn w:val="Normal"/>
    <w:rsid w:val="00060470"/>
    <w:pPr>
      <w:suppressAutoHyphens/>
      <w:spacing w:before="0" w:line="240" w:lineRule="auto"/>
      <w:ind w:firstLine="720"/>
      <w:jc w:val="left"/>
    </w:pPr>
    <w:rPr>
      <w:rFonts w:ascii="Times LatArm" w:hAnsi="Times LatArm"/>
      <w:i/>
      <w:iCs/>
      <w:sz w:val="24"/>
      <w:lang w:val="en-US" w:eastAsia="ar-SA"/>
    </w:rPr>
  </w:style>
  <w:style w:type="paragraph" w:customStyle="1" w:styleId="BalloonText1">
    <w:name w:val="Balloon Text1"/>
    <w:basedOn w:val="Normal"/>
    <w:semiHidden/>
    <w:rsid w:val="00060470"/>
    <w:pPr>
      <w:spacing w:before="0" w:line="240" w:lineRule="auto"/>
      <w:jc w:val="left"/>
    </w:pPr>
    <w:rPr>
      <w:rFonts w:ascii="Tahoma" w:hAnsi="Tahoma" w:cs="Tahoma"/>
      <w:sz w:val="16"/>
      <w:szCs w:val="16"/>
      <w:lang w:val="en-US" w:eastAsia="en-US"/>
    </w:rPr>
  </w:style>
  <w:style w:type="paragraph" w:customStyle="1" w:styleId="BalloonText3">
    <w:name w:val="Balloon Text3"/>
    <w:basedOn w:val="Normal"/>
    <w:semiHidden/>
    <w:rsid w:val="00060470"/>
    <w:pPr>
      <w:spacing w:before="0" w:line="240" w:lineRule="auto"/>
      <w:jc w:val="left"/>
    </w:pPr>
    <w:rPr>
      <w:rFonts w:ascii="Tahoma" w:hAnsi="Tahoma" w:cs="Tahoma"/>
      <w:sz w:val="16"/>
      <w:szCs w:val="16"/>
      <w:lang w:val="en-US" w:eastAsia="en-US"/>
    </w:rPr>
  </w:style>
  <w:style w:type="paragraph" w:customStyle="1" w:styleId="StyleHeading5SideItalic">
    <w:name w:val="Style Heading 5Side + Italic"/>
    <w:basedOn w:val="Heading5"/>
    <w:rsid w:val="00060470"/>
    <w:pPr>
      <w:keepNext/>
      <w:widowControl w:val="0"/>
      <w:tabs>
        <w:tab w:val="clear" w:pos="720"/>
        <w:tab w:val="left" w:pos="1021"/>
      </w:tabs>
      <w:spacing w:after="120"/>
      <w:jc w:val="left"/>
    </w:pPr>
    <w:rPr>
      <w:bCs w:val="0"/>
      <w:i w:val="0"/>
      <w:iCs/>
      <w:spacing w:val="0"/>
      <w:sz w:val="20"/>
      <w:u w:val="single"/>
      <w:lang w:val="en-GB"/>
    </w:rPr>
  </w:style>
  <w:style w:type="paragraph" w:customStyle="1" w:styleId="CaptionTableTitle">
    <w:name w:val="Caption.(Table Title)"/>
    <w:basedOn w:val="Normal"/>
    <w:next w:val="Normal"/>
    <w:rsid w:val="00060470"/>
    <w:pPr>
      <w:keepNext/>
      <w:keepLines/>
      <w:spacing w:before="130" w:after="130" w:line="240" w:lineRule="auto"/>
      <w:jc w:val="left"/>
    </w:pPr>
    <w:rPr>
      <w:rFonts w:ascii="Times New Roman" w:hAnsi="Times New Roman"/>
      <w:b w:val="0"/>
      <w:szCs w:val="20"/>
      <w:lang w:val="en-GB" w:eastAsia="en-US"/>
    </w:rPr>
  </w:style>
  <w:style w:type="paragraph" w:customStyle="1" w:styleId="StyleHeading2ChapterParanumText10pt">
    <w:name w:val="Style Heading 2(Chapter)ParanumText + 10 pt"/>
    <w:basedOn w:val="Heading2"/>
    <w:rsid w:val="00060470"/>
    <w:pPr>
      <w:widowControl w:val="0"/>
      <w:tabs>
        <w:tab w:val="num" w:pos="0"/>
        <w:tab w:val="left" w:pos="993"/>
        <w:tab w:val="num" w:pos="1080"/>
        <w:tab w:val="right" w:pos="10208"/>
      </w:tabs>
      <w:ind w:firstLine="540"/>
    </w:pPr>
    <w:rPr>
      <w:kern w:val="16"/>
      <w:lang w:val="af-ZA"/>
    </w:rPr>
  </w:style>
  <w:style w:type="paragraph" w:customStyle="1" w:styleId="BodyText1">
    <w:name w:val="Body Text1"/>
    <w:basedOn w:val="Normal"/>
    <w:rsid w:val="00060470"/>
    <w:pPr>
      <w:numPr>
        <w:numId w:val="7"/>
      </w:numPr>
      <w:tabs>
        <w:tab w:val="clear" w:pos="360"/>
        <w:tab w:val="num" w:pos="0"/>
      </w:tabs>
      <w:spacing w:before="0" w:after="240" w:line="240" w:lineRule="auto"/>
    </w:pPr>
    <w:rPr>
      <w:rFonts w:ascii="Times Armenian" w:hAnsi="Times Armenian"/>
      <w:sz w:val="24"/>
      <w:lang w:val="en-US"/>
    </w:rPr>
  </w:style>
  <w:style w:type="table" w:styleId="TableWeb2">
    <w:name w:val="Table Web 2"/>
    <w:basedOn w:val="TableNormal"/>
    <w:uiPriority w:val="99"/>
    <w:rsid w:val="000604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uiPriority w:val="99"/>
    <w:rsid w:val="000604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060470"/>
    <w:pPr>
      <w:keepNext/>
      <w:spacing w:before="0" w:after="60" w:line="240" w:lineRule="auto"/>
      <w:jc w:val="left"/>
    </w:pPr>
    <w:rPr>
      <w:rFonts w:cs="Sylfaen"/>
      <w:color w:val="auto"/>
      <w:sz w:val="22"/>
      <w:szCs w:val="20"/>
      <w:lang w:val="en-US"/>
    </w:rPr>
  </w:style>
  <w:style w:type="paragraph" w:customStyle="1" w:styleId="ConsNonformat">
    <w:name w:val="ConsNonformat"/>
    <w:rsid w:val="00060470"/>
    <w:pPr>
      <w:widowControl w:val="0"/>
      <w:autoSpaceDE w:val="0"/>
      <w:autoSpaceDN w:val="0"/>
      <w:adjustRightInd w:val="0"/>
    </w:pPr>
    <w:rPr>
      <w:rFonts w:ascii="Courier New" w:hAnsi="Courier New"/>
      <w:lang w:val="ru-RU"/>
    </w:rPr>
  </w:style>
  <w:style w:type="paragraph" w:customStyle="1" w:styleId="Znak">
    <w:name w:val="Znak"/>
    <w:basedOn w:val="Normal"/>
    <w:rsid w:val="00060470"/>
    <w:pPr>
      <w:tabs>
        <w:tab w:val="left" w:pos="709"/>
      </w:tabs>
      <w:spacing w:before="0" w:line="240" w:lineRule="auto"/>
      <w:jc w:val="left"/>
    </w:pPr>
    <w:rPr>
      <w:rFonts w:ascii="Tahoma" w:hAnsi="Tahoma"/>
      <w:sz w:val="24"/>
      <w:lang w:val="pl-PL" w:eastAsia="pl-PL"/>
    </w:rPr>
  </w:style>
  <w:style w:type="character" w:customStyle="1" w:styleId="Char0">
    <w:name w:val="Знак Знак Char"/>
    <w:link w:val="a0"/>
    <w:locked/>
    <w:rsid w:val="00060470"/>
    <w:rPr>
      <w:rFonts w:ascii="Arial" w:hAnsi="Arial" w:cs="Arial"/>
    </w:rPr>
  </w:style>
  <w:style w:type="character" w:customStyle="1" w:styleId="ParanumCharChar">
    <w:name w:val="Paranum Char Char"/>
    <w:rsid w:val="00060470"/>
    <w:rPr>
      <w:rFonts w:ascii="Arial" w:hAnsi="Arial" w:cs="Arial"/>
      <w:b/>
      <w:bCs/>
      <w:i/>
      <w:iCs/>
      <w:sz w:val="28"/>
      <w:szCs w:val="28"/>
      <w:lang w:val="en-US" w:eastAsia="en-US" w:bidi="ar-SA"/>
    </w:rPr>
  </w:style>
  <w:style w:type="character" w:customStyle="1" w:styleId="textinfo1">
    <w:name w:val="textinfo1"/>
    <w:rsid w:val="00060470"/>
    <w:rPr>
      <w:rFonts w:ascii="Arial AM" w:hAnsi="Arial AM" w:hint="default"/>
      <w:color w:val="000000"/>
      <w:sz w:val="18"/>
      <w:szCs w:val="18"/>
    </w:rPr>
  </w:style>
  <w:style w:type="paragraph" w:customStyle="1" w:styleId="CharCharCharCharCharCharCharChar">
    <w:name w:val="Char Char Char Char Char Char Char Char"/>
    <w:basedOn w:val="Normal"/>
    <w:rsid w:val="00060470"/>
    <w:pPr>
      <w:spacing w:before="0" w:after="160" w:line="240" w:lineRule="exact"/>
      <w:jc w:val="left"/>
    </w:pPr>
    <w:rPr>
      <w:rFonts w:ascii="Arial" w:hAnsi="Arial" w:cs="Arial"/>
      <w:sz w:val="20"/>
      <w:szCs w:val="20"/>
      <w:lang w:val="en-US" w:eastAsia="en-US"/>
    </w:rPr>
  </w:style>
  <w:style w:type="paragraph" w:customStyle="1" w:styleId="Report-Title">
    <w:name w:val="Report-Title"/>
    <w:rsid w:val="00060470"/>
    <w:pPr>
      <w:spacing w:after="240"/>
    </w:pPr>
    <w:rPr>
      <w:rFonts w:ascii="Arial" w:eastAsia="MS Mincho" w:hAnsi="Arial" w:cs="Arial"/>
      <w:b/>
      <w:bCs/>
      <w:sz w:val="36"/>
      <w:szCs w:val="36"/>
    </w:rPr>
  </w:style>
  <w:style w:type="paragraph" w:customStyle="1" w:styleId="msonormalcxspmiddle">
    <w:name w:val="msonormalcxspmiddle"/>
    <w:basedOn w:val="Normal"/>
    <w:rsid w:val="00060470"/>
    <w:pPr>
      <w:spacing w:before="100" w:beforeAutospacing="1" w:after="100" w:afterAutospacing="1" w:line="240" w:lineRule="auto"/>
      <w:jc w:val="left"/>
    </w:pPr>
    <w:rPr>
      <w:rFonts w:ascii="Times New Roman" w:hAnsi="Times New Roman"/>
      <w:sz w:val="24"/>
      <w:lang w:val="en-US" w:eastAsia="en-US"/>
    </w:rPr>
  </w:style>
  <w:style w:type="paragraph" w:customStyle="1" w:styleId="a6">
    <w:name w:val="Стиль"/>
    <w:rsid w:val="00060470"/>
    <w:rPr>
      <w:rFonts w:ascii="Baltica" w:hAnsi="Baltica"/>
      <w:lang w:eastAsia="ru-RU"/>
    </w:rPr>
  </w:style>
  <w:style w:type="paragraph" w:customStyle="1" w:styleId="ConsNormal">
    <w:name w:val="ConsNormal"/>
    <w:rsid w:val="00060470"/>
    <w:pPr>
      <w:widowControl w:val="0"/>
      <w:autoSpaceDE w:val="0"/>
      <w:autoSpaceDN w:val="0"/>
      <w:adjustRightInd w:val="0"/>
      <w:ind w:firstLine="720"/>
    </w:pPr>
    <w:rPr>
      <w:rFonts w:ascii="Arial" w:hAnsi="Arial"/>
      <w:lang w:val="ru-RU"/>
    </w:rPr>
  </w:style>
  <w:style w:type="paragraph" w:customStyle="1" w:styleId="ListDash">
    <w:name w:val="List Dash"/>
    <w:basedOn w:val="Normal"/>
    <w:rsid w:val="00060470"/>
    <w:pPr>
      <w:numPr>
        <w:numId w:val="6"/>
      </w:numPr>
      <w:spacing w:after="120" w:line="240" w:lineRule="auto"/>
    </w:pPr>
    <w:rPr>
      <w:rFonts w:ascii="Times New Roman" w:hAnsi="Times New Roman"/>
      <w:sz w:val="24"/>
      <w:szCs w:val="20"/>
      <w:lang w:val="en-GB" w:eastAsia="en-US"/>
    </w:rPr>
  </w:style>
  <w:style w:type="paragraph" w:customStyle="1" w:styleId="CharCharCharCharCharCharChar">
    <w:name w:val="Char Char Char Char Char Char Char"/>
    <w:basedOn w:val="Normal"/>
    <w:rsid w:val="00060470"/>
    <w:pPr>
      <w:spacing w:before="0" w:after="160" w:line="240" w:lineRule="exact"/>
      <w:jc w:val="left"/>
    </w:pPr>
    <w:rPr>
      <w:rFonts w:ascii="Arial" w:hAnsi="Arial" w:cs="Arial"/>
      <w:sz w:val="20"/>
      <w:szCs w:val="20"/>
      <w:lang w:val="en-US" w:eastAsia="en-US"/>
    </w:rPr>
  </w:style>
  <w:style w:type="paragraph" w:customStyle="1" w:styleId="2ndheading">
    <w:name w:val="2nd heading"/>
    <w:basedOn w:val="Normal"/>
    <w:next w:val="Normal"/>
    <w:rsid w:val="00060470"/>
    <w:pPr>
      <w:spacing w:before="0" w:line="240" w:lineRule="auto"/>
      <w:jc w:val="left"/>
    </w:pPr>
    <w:rPr>
      <w:rFonts w:ascii="Univers" w:hAnsi="Univers"/>
      <w:bCs/>
      <w:sz w:val="28"/>
      <w:szCs w:val="20"/>
      <w:lang w:val="en-GB" w:eastAsia="en-US"/>
    </w:rPr>
  </w:style>
  <w:style w:type="paragraph" w:styleId="BodyTextFirstIndent">
    <w:name w:val="Body Text First Indent"/>
    <w:basedOn w:val="BodyText"/>
    <w:link w:val="BodyTextFirstIndentChar2"/>
    <w:rsid w:val="00060470"/>
    <w:pPr>
      <w:spacing w:before="0" w:after="120" w:line="240" w:lineRule="auto"/>
      <w:ind w:firstLine="210"/>
      <w:jc w:val="left"/>
    </w:pPr>
    <w:rPr>
      <w:rFonts w:ascii="Times New Roman" w:hAnsi="Times New Roman"/>
      <w:sz w:val="24"/>
      <w:szCs w:val="24"/>
    </w:rPr>
  </w:style>
  <w:style w:type="character" w:customStyle="1" w:styleId="BodyTextFirstIndentChar">
    <w:name w:val="Body Text First Indent Char"/>
    <w:basedOn w:val="BodyTextChar"/>
    <w:rsid w:val="00060470"/>
    <w:rPr>
      <w:rFonts w:ascii="GHEA Grapalat" w:hAnsi="GHEA Grapalat"/>
      <w:sz w:val="22"/>
      <w:szCs w:val="24"/>
      <w:lang w:val="ru-RU" w:eastAsia="ru-RU"/>
    </w:rPr>
  </w:style>
  <w:style w:type="character" w:customStyle="1" w:styleId="BodyTextFirstIndentChar2">
    <w:name w:val="Body Text First Indent Char2"/>
    <w:link w:val="BodyTextFirstIndent"/>
    <w:rsid w:val="00060470"/>
    <w:rPr>
      <w:sz w:val="24"/>
      <w:szCs w:val="24"/>
      <w:lang w:val="ru-RU" w:eastAsia="ru-RU"/>
    </w:rPr>
  </w:style>
  <w:style w:type="character" w:customStyle="1" w:styleId="CommentSubjectChar2">
    <w:name w:val="Comment Subject Char2"/>
    <w:uiPriority w:val="99"/>
    <w:rsid w:val="00060470"/>
    <w:rPr>
      <w:rFonts w:ascii="Courier New" w:hAnsi="Courier New"/>
      <w:b/>
      <w:bCs/>
    </w:rPr>
  </w:style>
  <w:style w:type="table" w:styleId="TableGrid8">
    <w:name w:val="Table Grid 8"/>
    <w:basedOn w:val="TableNormal"/>
    <w:uiPriority w:val="99"/>
    <w:rsid w:val="000604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rsid w:val="000604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rsid w:val="00060470"/>
  </w:style>
  <w:style w:type="paragraph" w:customStyle="1" w:styleId="a7">
    <w:name w:val="Заголовок таблицы"/>
    <w:basedOn w:val="a8"/>
    <w:rsid w:val="00060470"/>
  </w:style>
  <w:style w:type="paragraph" w:customStyle="1" w:styleId="a8">
    <w:name w:val="Содержимое таблицы"/>
    <w:basedOn w:val="Normal"/>
    <w:rsid w:val="00060470"/>
    <w:pPr>
      <w:suppressLineNumbers/>
      <w:suppressAutoHyphens/>
      <w:spacing w:before="0" w:line="240" w:lineRule="auto"/>
      <w:jc w:val="left"/>
    </w:pPr>
    <w:rPr>
      <w:rFonts w:ascii="Times New Roman" w:hAnsi="Times New Roman"/>
      <w:sz w:val="24"/>
      <w:szCs w:val="20"/>
      <w:lang w:val="en-US" w:eastAsia="en-US"/>
    </w:rPr>
  </w:style>
  <w:style w:type="paragraph" w:customStyle="1" w:styleId="a9">
    <w:name w:val="??????? ??????????"/>
    <w:basedOn w:val="a1"/>
    <w:rsid w:val="00060470"/>
    <w:pPr>
      <w:tabs>
        <w:tab w:val="center" w:pos="4320"/>
        <w:tab w:val="right" w:pos="8640"/>
      </w:tabs>
    </w:pPr>
    <w:rPr>
      <w:rFonts w:ascii="Times Armenian" w:hAnsi="Times Armenian"/>
      <w:sz w:val="24"/>
      <w:lang w:val="en-US"/>
    </w:rPr>
  </w:style>
  <w:style w:type="paragraph" w:customStyle="1" w:styleId="BodyText22">
    <w:name w:val="Body Text 22"/>
    <w:basedOn w:val="Normal"/>
    <w:rsid w:val="00060470"/>
    <w:pPr>
      <w:overflowPunct w:val="0"/>
      <w:autoSpaceDE w:val="0"/>
      <w:autoSpaceDN w:val="0"/>
      <w:adjustRightInd w:val="0"/>
      <w:spacing w:before="0" w:line="240" w:lineRule="auto"/>
      <w:textAlignment w:val="baseline"/>
    </w:pPr>
    <w:rPr>
      <w:rFonts w:ascii="Times LatArm" w:hAnsi="Times LatArm"/>
      <w:szCs w:val="20"/>
      <w:lang w:val="en-GB"/>
    </w:rPr>
  </w:style>
  <w:style w:type="paragraph" w:customStyle="1" w:styleId="CM31">
    <w:name w:val="CM31"/>
    <w:basedOn w:val="Default"/>
    <w:next w:val="Default"/>
    <w:rsid w:val="00060470"/>
    <w:pPr>
      <w:widowControl/>
      <w:numPr>
        <w:numId w:val="5"/>
      </w:numPr>
      <w:tabs>
        <w:tab w:val="clear" w:pos="1429"/>
      </w:tabs>
      <w:ind w:left="0" w:firstLine="0"/>
    </w:pPr>
    <w:rPr>
      <w:rFonts w:ascii="GHEA Grapalat" w:hAnsi="GHEA Grapalat" w:cs="GHEA Grapalat"/>
      <w:lang w:val="ru-RU" w:eastAsia="ru-RU"/>
    </w:rPr>
  </w:style>
  <w:style w:type="paragraph" w:customStyle="1" w:styleId="StyleCaptionTimesArmenian11pt">
    <w:name w:val="Style Caption + Times Armenian 11 pt"/>
    <w:basedOn w:val="Caption"/>
    <w:link w:val="StyleCaptionTimesArmenian11ptChar"/>
    <w:rsid w:val="00060470"/>
    <w:pPr>
      <w:overflowPunct w:val="0"/>
      <w:autoSpaceDE w:val="0"/>
      <w:autoSpaceDN w:val="0"/>
      <w:adjustRightInd w:val="0"/>
      <w:spacing w:before="0" w:after="120" w:line="240" w:lineRule="auto"/>
      <w:jc w:val="left"/>
      <w:textAlignment w:val="baseline"/>
    </w:pPr>
    <w:rPr>
      <w:rFonts w:ascii="Arial Armenian" w:hAnsi="Arial Armenian"/>
      <w:color w:val="auto"/>
      <w:sz w:val="26"/>
      <w:szCs w:val="26"/>
      <w:lang w:val="en-US" w:eastAsia="en-US"/>
    </w:rPr>
  </w:style>
  <w:style w:type="character" w:customStyle="1" w:styleId="StyleCaptionTimesArmenian11ptChar">
    <w:name w:val="Style Caption + Times Armenian 11 pt Char"/>
    <w:link w:val="StyleCaptionTimesArmenian11pt"/>
    <w:rsid w:val="00060470"/>
    <w:rPr>
      <w:rFonts w:ascii="Arial Armenian" w:hAnsi="Arial Armenian"/>
      <w:b/>
      <w:bCs/>
      <w:sz w:val="26"/>
      <w:szCs w:val="26"/>
    </w:rPr>
  </w:style>
  <w:style w:type="paragraph" w:customStyle="1" w:styleId="StyleHeading120ptBlue">
    <w:name w:val="Style Heading 1 + 20 pt Blue"/>
    <w:basedOn w:val="Heading1"/>
    <w:rsid w:val="00060470"/>
    <w:pPr>
      <w:spacing w:before="240" w:after="60"/>
      <w:ind w:firstLine="720"/>
    </w:pPr>
    <w:rPr>
      <w:rFonts w:ascii="Arial" w:hAnsi="Arial" w:cs="Arial"/>
      <w:bCs w:val="0"/>
      <w:kern w:val="32"/>
      <w:sz w:val="40"/>
      <w:szCs w:val="40"/>
      <w:lang w:val="en-GB"/>
    </w:rPr>
  </w:style>
  <w:style w:type="paragraph" w:customStyle="1" w:styleId="StyleHeading1TimesArmenian10ptNotBoldUnderline1">
    <w:name w:val="Style Heading 1 + Times Armenian 10 pt Not Bold Underline1"/>
    <w:basedOn w:val="Heading1"/>
    <w:autoRedefine/>
    <w:rsid w:val="00060470"/>
    <w:pPr>
      <w:tabs>
        <w:tab w:val="center" w:pos="-180"/>
        <w:tab w:val="left" w:pos="450"/>
      </w:tabs>
      <w:spacing w:before="240" w:after="60"/>
    </w:pPr>
    <w:rPr>
      <w:rFonts w:cs="Sylfaen"/>
      <w:b w:val="0"/>
    </w:rPr>
  </w:style>
  <w:style w:type="paragraph" w:customStyle="1" w:styleId="CharCharCharCharCharCharCharCharCharChar">
    <w:name w:val="Char Char Char Char Char Char Char Char Char Char"/>
    <w:basedOn w:val="Normal"/>
    <w:rsid w:val="00060470"/>
    <w:pPr>
      <w:spacing w:before="0" w:after="160" w:line="240" w:lineRule="exact"/>
      <w:jc w:val="left"/>
    </w:pPr>
    <w:rPr>
      <w:rFonts w:ascii="Arial" w:hAnsi="Arial" w:cs="Arial"/>
      <w:sz w:val="20"/>
      <w:szCs w:val="20"/>
      <w:lang w:val="en-US" w:eastAsia="en-US"/>
    </w:rPr>
  </w:style>
  <w:style w:type="paragraph" w:customStyle="1" w:styleId="Titlechart">
    <w:name w:val="Title_chart"/>
    <w:basedOn w:val="Caption"/>
    <w:rsid w:val="00060470"/>
    <w:pPr>
      <w:keepNext/>
      <w:spacing w:before="0" w:after="60" w:line="240" w:lineRule="auto"/>
      <w:jc w:val="left"/>
    </w:pPr>
    <w:rPr>
      <w:rFonts w:cs="Sylfaen"/>
      <w:color w:val="auto"/>
      <w:sz w:val="22"/>
      <w:szCs w:val="20"/>
      <w:lang w:val="en-US"/>
    </w:rPr>
  </w:style>
  <w:style w:type="paragraph" w:customStyle="1" w:styleId="CharCharCharCharCharCharCharCharCharCharCharCharChar">
    <w:name w:val="Char Char Char Char Char Char Char Char Char Char Char Char Char"/>
    <w:basedOn w:val="Normal"/>
    <w:rsid w:val="00060470"/>
    <w:pPr>
      <w:spacing w:before="0" w:after="160" w:line="240" w:lineRule="exact"/>
      <w:jc w:val="left"/>
    </w:pPr>
    <w:rPr>
      <w:rFonts w:ascii="Arial" w:hAnsi="Arial" w:cs="Arial"/>
      <w:sz w:val="20"/>
      <w:szCs w:val="20"/>
      <w:lang w:val="en-US" w:eastAsia="en-US"/>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060470"/>
    <w:rPr>
      <w:bCs w:val="0"/>
      <w:kern w:val="32"/>
      <w:szCs w:val="28"/>
      <w:lang w:val="es-ES"/>
    </w:rPr>
  </w:style>
  <w:style w:type="character" w:customStyle="1" w:styleId="StyleHeading1SectionSectionHeadingText11Chapterhead3Char">
    <w:name w:val="Style Heading 1(Section)Section Heading(Text)1 1Chapterhead3... Char"/>
    <w:link w:val="StyleHeading1SectionSectionHeadingText11Chapterhead3"/>
    <w:rsid w:val="00060470"/>
    <w:rPr>
      <w:rFonts w:ascii="GHEA Grapalat" w:hAnsi="GHEA Grapalat"/>
      <w:b/>
      <w:bCs/>
      <w:kern w:val="32"/>
      <w:sz w:val="28"/>
      <w:szCs w:val="28"/>
      <w:lang w:val="es-ES"/>
    </w:rPr>
  </w:style>
  <w:style w:type="paragraph" w:customStyle="1" w:styleId="StyleHeading2ChapterParanumTextSylfaen">
    <w:name w:val="Style Heading 2.(Chapter).Paranum.Text + Sylfaen"/>
    <w:basedOn w:val="Heading2ChapterParanumText"/>
    <w:link w:val="StyleHeading2ChapterParanumTextSylfaenChar"/>
    <w:autoRedefine/>
    <w:rsid w:val="00060470"/>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60470"/>
    <w:rPr>
      <w:rFonts w:ascii="Sylfaen" w:hAnsi="Sylfaen"/>
      <w:b/>
      <w:bCs/>
      <w:spacing w:val="24"/>
      <w:kern w:val="28"/>
      <w:sz w:val="24"/>
      <w:szCs w:val="24"/>
      <w:lang w:val="it-IT"/>
    </w:rPr>
  </w:style>
  <w:style w:type="paragraph" w:customStyle="1" w:styleId="StyleHeading3Sub-ChapterCenteredtextHeading3CharCharC">
    <w:name w:val="Style Heading 3(Sub-Chapter)Centered(text)Heading 3 Char Char C..."/>
    <w:basedOn w:val="Heading3"/>
    <w:autoRedefine/>
    <w:rsid w:val="00060470"/>
    <w:pPr>
      <w:widowControl w:val="0"/>
      <w:tabs>
        <w:tab w:val="left" w:pos="624"/>
      </w:tabs>
      <w:spacing w:before="120"/>
      <w:ind w:right="302"/>
    </w:pPr>
    <w:rPr>
      <w:rFonts w:cs="Times New Roman"/>
      <w:color w:val="000000"/>
      <w:szCs w:val="24"/>
      <w:lang w:val="es-ES"/>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060470"/>
  </w:style>
  <w:style w:type="character" w:customStyle="1" w:styleId="StyleStyleHeading1SectionSectionHeadingText11Chapterhead3Char">
    <w:name w:val="Style Style Heading 1(Section)Section Heading(Text)1 1Chapterhead3.... Char"/>
    <w:link w:val="StyleStyleHeading1SectionSectionHeadingText11Chapterhead3"/>
    <w:rsid w:val="00060470"/>
    <w:rPr>
      <w:rFonts w:ascii="GHEA Grapalat" w:hAnsi="GHEA Grapalat"/>
      <w:b/>
      <w:bCs/>
      <w:kern w:val="32"/>
      <w:sz w:val="28"/>
      <w:szCs w:val="28"/>
      <w:lang w:val="es-ES"/>
    </w:rPr>
  </w:style>
  <w:style w:type="paragraph" w:customStyle="1" w:styleId="211">
    <w:name w:val="???????? ????? 21"/>
    <w:basedOn w:val="20"/>
    <w:rsid w:val="00060470"/>
    <w:pPr>
      <w:jc w:val="center"/>
    </w:pPr>
    <w:rPr>
      <w:b/>
      <w:sz w:val="28"/>
    </w:rPr>
  </w:style>
  <w:style w:type="paragraph" w:customStyle="1" w:styleId="Style15">
    <w:name w:val="Style1.5"/>
    <w:basedOn w:val="Normal"/>
    <w:rsid w:val="00060470"/>
    <w:pPr>
      <w:spacing w:before="0"/>
      <w:ind w:firstLine="709"/>
    </w:pPr>
    <w:rPr>
      <w:rFonts w:ascii="Arial Armenian" w:hAnsi="Arial Armenian"/>
      <w:lang w:val="en-US" w:eastAsia="en-US"/>
    </w:rPr>
  </w:style>
  <w:style w:type="paragraph" w:customStyle="1" w:styleId="russtyle">
    <w:name w:val="russtyle"/>
    <w:basedOn w:val="Normal"/>
    <w:rsid w:val="00060470"/>
    <w:pPr>
      <w:spacing w:before="0" w:line="240" w:lineRule="auto"/>
      <w:jc w:val="left"/>
    </w:pPr>
    <w:rPr>
      <w:rFonts w:ascii="Russian Baltica" w:hAnsi="Russian Baltica"/>
      <w:lang w:val="en-US" w:eastAsia="en-US"/>
    </w:rPr>
  </w:style>
  <w:style w:type="paragraph" w:customStyle="1" w:styleId="Style6">
    <w:name w:val="Style6"/>
    <w:basedOn w:val="mechtex"/>
    <w:rsid w:val="00060470"/>
    <w:pPr>
      <w:spacing w:before="0" w:line="240" w:lineRule="auto"/>
    </w:pPr>
    <w:rPr>
      <w:rFonts w:ascii="Times New Roman" w:hAnsi="Times New Roman"/>
      <w:szCs w:val="24"/>
      <w:lang w:eastAsia="en-US"/>
    </w:rPr>
  </w:style>
  <w:style w:type="paragraph" w:customStyle="1" w:styleId="1CharChar">
    <w:name w:val="Знак Знак1 Char Char Знак Знак"/>
    <w:basedOn w:val="Normal"/>
    <w:rsid w:val="00060470"/>
    <w:pPr>
      <w:tabs>
        <w:tab w:val="num" w:pos="840"/>
      </w:tabs>
      <w:spacing w:before="0" w:after="160" w:line="240" w:lineRule="exact"/>
      <w:ind w:left="840" w:hanging="360"/>
    </w:pPr>
    <w:rPr>
      <w:rFonts w:ascii="Verdana" w:hAnsi="Verdana"/>
      <w:sz w:val="20"/>
      <w:szCs w:val="20"/>
      <w:lang w:eastAsia="en-US"/>
    </w:rPr>
  </w:style>
  <w:style w:type="paragraph" w:customStyle="1" w:styleId="CharCharCharChar0">
    <w:name w:val="Знак Знак Char Char Знак Знак Char Char Знак Знак"/>
    <w:basedOn w:val="Normal"/>
    <w:autoRedefine/>
    <w:rsid w:val="00060470"/>
    <w:pPr>
      <w:spacing w:before="0" w:after="160" w:line="240" w:lineRule="exact"/>
      <w:jc w:val="left"/>
    </w:pPr>
    <w:rPr>
      <w:rFonts w:ascii="Times New Roman" w:hAnsi="Times New Roman"/>
      <w:sz w:val="28"/>
      <w:szCs w:val="20"/>
      <w:lang w:val="en-US" w:eastAsia="en-US"/>
    </w:rPr>
  </w:style>
  <w:style w:type="paragraph" w:customStyle="1" w:styleId="17">
    <w:name w:val="Обычный1"/>
    <w:rsid w:val="00060470"/>
    <w:pPr>
      <w:autoSpaceDE w:val="0"/>
      <w:autoSpaceDN w:val="0"/>
    </w:pPr>
    <w:rPr>
      <w:lang w:val="ru-RU" w:eastAsia="ru-RU"/>
    </w:rPr>
  </w:style>
  <w:style w:type="paragraph" w:customStyle="1" w:styleId="Char3">
    <w:name w:val="Знак Знак Знак Знак Знак Знак Знак Знак Знак Знак Знак Знак Знак Знак Знак Знак Знак Знак Char Знак Знак"/>
    <w:basedOn w:val="Normal"/>
    <w:autoRedefine/>
    <w:rsid w:val="00060470"/>
    <w:pPr>
      <w:spacing w:before="0" w:after="160" w:line="240" w:lineRule="exact"/>
      <w:jc w:val="left"/>
    </w:pPr>
    <w:rPr>
      <w:rFonts w:ascii="Times New Roman" w:hAnsi="Times New Roman"/>
      <w:sz w:val="28"/>
      <w:szCs w:val="20"/>
      <w:lang w:val="en-US" w:eastAsia="en-US"/>
    </w:rPr>
  </w:style>
  <w:style w:type="paragraph" w:customStyle="1" w:styleId="TitlePageHeader">
    <w:name w:val="TitlePage_Header"/>
    <w:basedOn w:val="Normal"/>
    <w:rsid w:val="00060470"/>
    <w:pPr>
      <w:spacing w:before="240" w:after="240" w:line="288" w:lineRule="auto"/>
      <w:ind w:left="3240"/>
      <w:jc w:val="left"/>
    </w:pPr>
    <w:rPr>
      <w:rFonts w:ascii="Verdana" w:hAnsi="Verdana"/>
      <w:b w:val="0"/>
      <w:sz w:val="32"/>
      <w:szCs w:val="20"/>
      <w:lang w:val="en-US" w:eastAsia="fr-FR"/>
    </w:rPr>
  </w:style>
  <w:style w:type="character" w:customStyle="1" w:styleId="t101">
    <w:name w:val="t101"/>
    <w:rsid w:val="00060470"/>
    <w:rPr>
      <w:b/>
      <w:bCs/>
      <w:color w:val="0000FF"/>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060470"/>
    <w:pPr>
      <w:spacing w:before="0" w:after="160" w:line="240" w:lineRule="exact"/>
      <w:jc w:val="left"/>
    </w:pPr>
    <w:rPr>
      <w:rFonts w:ascii="Arial" w:hAnsi="Arial" w:cs="Arial"/>
      <w:sz w:val="20"/>
      <w:szCs w:val="20"/>
      <w:lang w:val="en-US" w:eastAsia="en-US"/>
    </w:rPr>
  </w:style>
  <w:style w:type="paragraph" w:customStyle="1" w:styleId="Style40">
    <w:name w:val="Style 4"/>
    <w:basedOn w:val="Normal"/>
    <w:rsid w:val="00060470"/>
    <w:pPr>
      <w:tabs>
        <w:tab w:val="num" w:pos="1531"/>
      </w:tabs>
      <w:spacing w:before="0" w:after="240" w:line="240" w:lineRule="atLeast"/>
      <w:ind w:left="1531" w:hanging="1531"/>
      <w:jc w:val="left"/>
    </w:pPr>
    <w:rPr>
      <w:rFonts w:ascii="Garamond" w:hAnsi="Garamond"/>
      <w:szCs w:val="20"/>
      <w:lang w:val="en-US" w:eastAsia="en-US"/>
    </w:rPr>
  </w:style>
  <w:style w:type="paragraph" w:customStyle="1" w:styleId="NormalWeb1">
    <w:name w:val="Normal (Web)1"/>
    <w:basedOn w:val="Normal"/>
    <w:rsid w:val="00060470"/>
    <w:pPr>
      <w:spacing w:before="100" w:beforeAutospacing="1" w:after="100" w:afterAutospacing="1" w:line="240" w:lineRule="auto"/>
      <w:jc w:val="left"/>
    </w:pPr>
    <w:rPr>
      <w:rFonts w:ascii="Times New Roman" w:hAnsi="Times New Roman"/>
      <w:sz w:val="24"/>
    </w:rPr>
  </w:style>
  <w:style w:type="paragraph" w:customStyle="1" w:styleId="CharCharChar1Char">
    <w:name w:val="Char Char Char1 Char"/>
    <w:basedOn w:val="Normal"/>
    <w:rsid w:val="00060470"/>
    <w:pPr>
      <w:spacing w:before="0" w:after="160" w:line="240" w:lineRule="exact"/>
      <w:jc w:val="left"/>
    </w:pPr>
    <w:rPr>
      <w:rFonts w:ascii="Arial" w:hAnsi="Arial" w:cs="Arial"/>
      <w:sz w:val="20"/>
      <w:szCs w:val="20"/>
      <w:lang w:val="en-US" w:eastAsia="en-US"/>
    </w:rPr>
  </w:style>
  <w:style w:type="paragraph" w:customStyle="1" w:styleId="CharChar1CharCharChar1Char">
    <w:name w:val="Char Char1 Char Char Char1 Char"/>
    <w:basedOn w:val="Normal"/>
    <w:autoRedefine/>
    <w:rsid w:val="00060470"/>
    <w:pPr>
      <w:spacing w:before="0" w:line="240" w:lineRule="auto"/>
      <w:jc w:val="left"/>
    </w:pPr>
    <w:rPr>
      <w:rFonts w:ascii="Times New Roman" w:eastAsia="SimSun" w:hAnsi="Times New Roman"/>
      <w:sz w:val="20"/>
      <w:szCs w:val="20"/>
      <w:lang w:val="en-US"/>
    </w:rPr>
  </w:style>
  <w:style w:type="paragraph" w:customStyle="1" w:styleId="4">
    <w:name w:val="Знак Знак4"/>
    <w:basedOn w:val="Normal"/>
    <w:rsid w:val="00060470"/>
    <w:pPr>
      <w:tabs>
        <w:tab w:val="left" w:pos="709"/>
      </w:tabs>
      <w:spacing w:before="0" w:line="240" w:lineRule="auto"/>
      <w:jc w:val="left"/>
    </w:pPr>
    <w:rPr>
      <w:rFonts w:ascii="Tahoma" w:hAnsi="Tahoma"/>
      <w:sz w:val="24"/>
      <w:lang w:val="pl-PL" w:eastAsia="pl-PL"/>
    </w:rPr>
  </w:style>
  <w:style w:type="paragraph" w:customStyle="1" w:styleId="Char4">
    <w:name w:val="Знак Char Знак"/>
    <w:basedOn w:val="Normal"/>
    <w:rsid w:val="00060470"/>
    <w:pPr>
      <w:spacing w:before="0" w:after="160" w:line="240" w:lineRule="exact"/>
      <w:jc w:val="left"/>
    </w:pPr>
    <w:rPr>
      <w:rFonts w:ascii="Arial" w:eastAsia="Batang" w:hAnsi="Arial" w:cs="Arial"/>
      <w:sz w:val="20"/>
      <w:szCs w:val="20"/>
      <w:lang w:val="en-US" w:eastAsia="en-US"/>
    </w:rPr>
  </w:style>
  <w:style w:type="paragraph" w:customStyle="1" w:styleId="CharCharCharCharCharChar">
    <w:name w:val="Знак Знак Char Char Знак Знак Char Char Знак Знак Char Char"/>
    <w:basedOn w:val="Normal"/>
    <w:autoRedefine/>
    <w:rsid w:val="00060470"/>
    <w:pPr>
      <w:spacing w:before="0" w:after="160" w:line="240" w:lineRule="exact"/>
      <w:jc w:val="left"/>
    </w:pPr>
    <w:rPr>
      <w:rFonts w:ascii="Times New Roman" w:hAnsi="Times New Roman"/>
      <w:sz w:val="28"/>
      <w:szCs w:val="20"/>
      <w:lang w:val="en-US" w:eastAsia="en-US"/>
    </w:rPr>
  </w:style>
  <w:style w:type="paragraph" w:customStyle="1" w:styleId="hodvats">
    <w:name w:val="hodvats"/>
    <w:basedOn w:val="Normal"/>
    <w:rsid w:val="00060470"/>
    <w:pPr>
      <w:tabs>
        <w:tab w:val="left" w:pos="993"/>
        <w:tab w:val="left" w:pos="1985"/>
      </w:tabs>
      <w:spacing w:before="113" w:after="57" w:line="220" w:lineRule="exact"/>
    </w:pPr>
    <w:rPr>
      <w:rFonts w:ascii="Dallak Helv" w:hAnsi="Dallak Helv"/>
      <w:b w:val="0"/>
      <w:noProof/>
      <w:sz w:val="18"/>
      <w:szCs w:val="20"/>
      <w:lang w:val="en-US" w:eastAsia="en-US"/>
    </w:rPr>
  </w:style>
  <w:style w:type="paragraph" w:customStyle="1" w:styleId="CharCharCharCharChar0">
    <w:name w:val="Char Char Char Char Char"/>
    <w:basedOn w:val="Normal"/>
    <w:rsid w:val="00060470"/>
    <w:pPr>
      <w:spacing w:before="0" w:after="160" w:line="240" w:lineRule="exact"/>
      <w:jc w:val="left"/>
    </w:pPr>
    <w:rPr>
      <w:rFonts w:ascii="Arial" w:hAnsi="Arial" w:cs="Arial"/>
      <w:sz w:val="20"/>
      <w:szCs w:val="20"/>
      <w:lang w:val="en-US" w:eastAsia="en-US"/>
    </w:rPr>
  </w:style>
  <w:style w:type="paragraph" w:customStyle="1" w:styleId="StyleHeading4CentredArialUnicode105pt">
    <w:name w:val="Style Heading 4Centred + Arial Unicode 10.5 pt"/>
    <w:basedOn w:val="Heading4"/>
    <w:link w:val="StyleHeading4CentredArialUnicode105ptChar"/>
    <w:autoRedefine/>
    <w:rsid w:val="00060470"/>
    <w:pPr>
      <w:spacing w:before="120"/>
      <w:ind w:left="0"/>
    </w:pPr>
    <w:rPr>
      <w:rFonts w:ascii="Arial Unicode" w:hAnsi="Arial Unicode"/>
      <w:bCs/>
      <w:szCs w:val="22"/>
      <w:lang w:val="af-ZA"/>
    </w:rPr>
  </w:style>
  <w:style w:type="character" w:customStyle="1" w:styleId="StyleHeading4CentredArialUnicode105ptChar">
    <w:name w:val="Style Heading 4Centred + Arial Unicode 10.5 pt Char"/>
    <w:link w:val="StyleHeading4CentredArialUnicode105pt"/>
    <w:rsid w:val="00060470"/>
    <w:rPr>
      <w:rFonts w:ascii="Arial Unicode" w:hAnsi="Arial Unicode"/>
      <w:b/>
      <w:bCs/>
      <w:sz w:val="22"/>
      <w:szCs w:val="22"/>
      <w:lang w:val="af-Z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060470"/>
    <w:pPr>
      <w:tabs>
        <w:tab w:val="clear" w:pos="624"/>
        <w:tab w:val="left" w:pos="360"/>
      </w:tabs>
      <w:spacing w:before="240" w:after="240"/>
      <w:ind w:right="0"/>
    </w:pPr>
    <w:rPr>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060470"/>
    <w:pPr>
      <w:spacing w:before="120"/>
    </w:pPr>
    <w:rPr>
      <w:bCs/>
      <w:sz w:val="24"/>
      <w:szCs w:val="24"/>
      <w:lang w:val="af-ZA"/>
    </w:rPr>
  </w:style>
  <w:style w:type="character" w:customStyle="1" w:styleId="StyleStyleHeading2ChapterParanumTextSylfaen1ArialUniChar">
    <w:name w:val="Style Style Heading 2.(Chapter).Paranum.Text + Sylfaen1 + Arial Uni... Char"/>
    <w:link w:val="StyleStyleHeading2ChapterParanumTextSylfaen1ArialUni"/>
    <w:rsid w:val="00060470"/>
    <w:rPr>
      <w:rFonts w:ascii="GHEA Grapalat" w:hAnsi="GHEA Grapalat"/>
      <w:b/>
      <w:bCs/>
      <w:spacing w:val="24"/>
      <w:kern w:val="28"/>
      <w:sz w:val="24"/>
      <w:szCs w:val="24"/>
      <w:lang w:val="af-ZA"/>
    </w:rPr>
  </w:style>
  <w:style w:type="paragraph" w:customStyle="1" w:styleId="StyleBodyTextMainTextdateBodyTextMaintextGHEAGrapa">
    <w:name w:val="Style Body Text(Main Text)dateBody Text (Main text) + GHEA Grapa..."/>
    <w:basedOn w:val="BodyText"/>
    <w:autoRedefine/>
    <w:rsid w:val="00060470"/>
    <w:pPr>
      <w:spacing w:before="0" w:after="120"/>
      <w:jc w:val="both"/>
    </w:pPr>
    <w:rPr>
      <w:rFonts w:ascii="GHEA Grapalat" w:hAnsi="GHEA Grapalat"/>
      <w:sz w:val="22"/>
      <w:szCs w:val="22"/>
    </w:rPr>
  </w:style>
  <w:style w:type="paragraph" w:customStyle="1" w:styleId="StyleStyleHeading2ChapterParanumTextSylfaen1ArialUni1">
    <w:name w:val="Style Style Heading 2.(Chapter).Paranum.Text + Sylfaen1 + Arial Uni...1"/>
    <w:basedOn w:val="StyleHeading2ChapterParanumTextSylfaen1"/>
    <w:autoRedefine/>
    <w:rsid w:val="00060470"/>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060470"/>
    <w:rPr>
      <w:b w:val="0"/>
      <w:bCs/>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060470"/>
    <w:rPr>
      <w:bCs/>
    </w:rPr>
  </w:style>
  <w:style w:type="character" w:customStyle="1" w:styleId="StyleStyleHeading2ChapterParanumTextSylfaen1GHEAGrapChar">
    <w:name w:val="Style Style Heading 2.(Chapter).Paranum.Text + Sylfaen1 + GHEA Grap... Char"/>
    <w:link w:val="StyleStyleHeading2ChapterParanumTextSylfaen1GHEAGrap"/>
    <w:rsid w:val="00060470"/>
    <w:rPr>
      <w:rFonts w:ascii="GHEA Grapalat" w:hAnsi="GHEA Grapalat"/>
      <w:b/>
      <w:bCs/>
      <w:spacing w:val="24"/>
      <w:kern w:val="28"/>
      <w:sz w:val="22"/>
      <w:szCs w:val="22"/>
      <w:lang w:val="pt-BR"/>
    </w:rPr>
  </w:style>
  <w:style w:type="character" w:customStyle="1" w:styleId="CharChar181">
    <w:name w:val="Char Char181"/>
    <w:rsid w:val="00060470"/>
    <w:rPr>
      <w:rFonts w:ascii="Arial Armenian" w:eastAsia="Times New Roman" w:hAnsi="Arial Armenian"/>
      <w:i/>
      <w:sz w:val="22"/>
      <w:u w:val="single"/>
      <w:lang w:val="en-GB"/>
    </w:rPr>
  </w:style>
  <w:style w:type="character" w:customStyle="1" w:styleId="FontStyle29">
    <w:name w:val="Font Style29"/>
    <w:rsid w:val="00060470"/>
    <w:rPr>
      <w:rFonts w:ascii="Tahoma" w:hAnsi="Tahoma" w:cs="Tahoma"/>
      <w:color w:val="000000"/>
      <w:sz w:val="16"/>
      <w:szCs w:val="16"/>
    </w:rPr>
  </w:style>
  <w:style w:type="character" w:customStyle="1" w:styleId="CharChar191">
    <w:name w:val="Char Char191"/>
    <w:rsid w:val="00060470"/>
    <w:rPr>
      <w:b/>
      <w:sz w:val="32"/>
      <w:lang w:val="en-GB" w:eastAsia="en-US" w:bidi="ar-SA"/>
    </w:rPr>
  </w:style>
  <w:style w:type="paragraph" w:customStyle="1" w:styleId="rmcptlkhmsonormal">
    <w:name w:val="rmcptlkh msonormal"/>
    <w:basedOn w:val="Normal"/>
    <w:rsid w:val="00060470"/>
    <w:pPr>
      <w:spacing w:before="100" w:beforeAutospacing="1" w:after="100" w:afterAutospacing="1" w:line="240" w:lineRule="auto"/>
      <w:jc w:val="left"/>
    </w:pPr>
    <w:rPr>
      <w:rFonts w:ascii="Times New Roman" w:eastAsia="Batang" w:hAnsi="Times New Roman"/>
      <w:sz w:val="24"/>
      <w:lang w:eastAsia="ko-KR"/>
    </w:rPr>
  </w:style>
  <w:style w:type="character" w:customStyle="1" w:styleId="CharChar211">
    <w:name w:val="Char Char211"/>
    <w:rsid w:val="00060470"/>
    <w:rPr>
      <w:rFonts w:ascii="Arial Armenian" w:hAnsi="Arial Armenian"/>
      <w:i/>
      <w:sz w:val="22"/>
      <w:u w:val="single"/>
      <w:lang w:val="en-GB" w:eastAsia="en-US" w:bidi="ar-SA"/>
    </w:rPr>
  </w:style>
  <w:style w:type="character" w:customStyle="1" w:styleId="CharChar201">
    <w:name w:val="Char Char201"/>
    <w:rsid w:val="00060470"/>
    <w:rPr>
      <w:rFonts w:ascii="Garamond" w:hAnsi="Garamond"/>
      <w:i/>
      <w:spacing w:val="-5"/>
      <w:sz w:val="28"/>
      <w:lang w:val="en-GB" w:eastAsia="en-US" w:bidi="ar-SA"/>
    </w:rPr>
  </w:style>
  <w:style w:type="paragraph" w:customStyle="1" w:styleId="CM33">
    <w:name w:val="CM33"/>
    <w:basedOn w:val="Normal"/>
    <w:next w:val="Normal"/>
    <w:rsid w:val="00060470"/>
    <w:pPr>
      <w:widowControl w:val="0"/>
      <w:autoSpaceDE w:val="0"/>
      <w:autoSpaceDN w:val="0"/>
      <w:adjustRightInd w:val="0"/>
      <w:spacing w:before="0" w:after="343" w:line="240" w:lineRule="auto"/>
      <w:jc w:val="left"/>
    </w:pPr>
    <w:rPr>
      <w:rFonts w:ascii="Arial Armenian" w:hAnsi="Arial Armenian" w:cs="Arial Armenian"/>
      <w:sz w:val="24"/>
      <w:lang w:val="en-US" w:eastAsia="en-US"/>
    </w:rPr>
  </w:style>
  <w:style w:type="paragraph" w:customStyle="1" w:styleId="listparagraphcxspmiddle">
    <w:name w:val="listparagraphcxspmiddle"/>
    <w:basedOn w:val="Normal"/>
    <w:rsid w:val="00060470"/>
    <w:pPr>
      <w:spacing w:before="100" w:beforeAutospacing="1" w:after="100" w:afterAutospacing="1" w:line="240" w:lineRule="auto"/>
      <w:jc w:val="left"/>
    </w:pPr>
    <w:rPr>
      <w:rFonts w:ascii="Times New Roman" w:hAnsi="Times New Roman"/>
      <w:sz w:val="24"/>
      <w:lang w:val="en-US" w:eastAsia="en-US"/>
    </w:rPr>
  </w:style>
  <w:style w:type="paragraph" w:customStyle="1" w:styleId="listparagraphcxsplast">
    <w:name w:val="listparagraphcxsplast"/>
    <w:basedOn w:val="Normal"/>
    <w:rsid w:val="00060470"/>
    <w:pPr>
      <w:spacing w:before="100" w:beforeAutospacing="1" w:after="100" w:afterAutospacing="1" w:line="240" w:lineRule="auto"/>
      <w:jc w:val="left"/>
    </w:pPr>
    <w:rPr>
      <w:rFonts w:ascii="Times New Roman" w:hAnsi="Times New Roman"/>
      <w:sz w:val="24"/>
      <w:lang w:val="en-US" w:eastAsia="en-US"/>
    </w:rPr>
  </w:style>
  <w:style w:type="paragraph" w:customStyle="1" w:styleId="CharCharCharCharChar3">
    <w:name w:val="Знак Char Char Знак Char Char Char"/>
    <w:aliases w:val=" Знак Char Char Знак Char Char1 Знак,Знак Char Char Знак Char Char1 Знак, Знак Char Char Знак Char Char Char,Знак Char Char Знак Char Char Char1"/>
    <w:basedOn w:val="Normal"/>
    <w:next w:val="Normal"/>
    <w:semiHidden/>
    <w:rsid w:val="00060470"/>
    <w:pPr>
      <w:spacing w:before="0" w:after="160" w:line="240" w:lineRule="exact"/>
    </w:pPr>
    <w:rPr>
      <w:rFonts w:ascii="Arial" w:hAnsi="Arial" w:cs="Arial"/>
      <w:b w:val="0"/>
      <w:sz w:val="20"/>
      <w:szCs w:val="20"/>
      <w:lang w:val="en-GB" w:eastAsia="en-US"/>
    </w:rPr>
  </w:style>
  <w:style w:type="character" w:customStyle="1" w:styleId="BodyTextFirstIndentChar1">
    <w:name w:val="Body Text First Indent Char1"/>
    <w:rsid w:val="00060470"/>
    <w:rPr>
      <w:rFonts w:ascii="Times Armenian" w:hAnsi="Times Armenian"/>
      <w:sz w:val="24"/>
      <w:szCs w:val="24"/>
      <w:lang w:val="ru-RU" w:eastAsia="ru-RU" w:bidi="ar-SA"/>
    </w:rPr>
  </w:style>
  <w:style w:type="character" w:customStyle="1" w:styleId="CommentSubjectChar1">
    <w:name w:val="Comment Subject Char1"/>
    <w:rsid w:val="00060470"/>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060470"/>
    <w:pPr>
      <w:spacing w:before="0" w:after="160" w:line="240" w:lineRule="exact"/>
      <w:jc w:val="left"/>
    </w:pPr>
    <w:rPr>
      <w:rFonts w:ascii="Verdana" w:eastAsia="MS Mincho" w:hAnsi="Verdana"/>
      <w:sz w:val="20"/>
      <w:szCs w:val="20"/>
      <w:lang w:val="en-GB" w:eastAsia="en-US"/>
    </w:rPr>
  </w:style>
  <w:style w:type="character" w:customStyle="1" w:styleId="textexposedshow">
    <w:name w:val="text_exposed_show"/>
    <w:rsid w:val="00060470"/>
    <w:rPr>
      <w:rFonts w:cs="Times New Roman"/>
    </w:rPr>
  </w:style>
  <w:style w:type="paragraph" w:customStyle="1" w:styleId="formtext">
    <w:name w:val="formtext"/>
    <w:basedOn w:val="Normal"/>
    <w:rsid w:val="00060470"/>
    <w:pPr>
      <w:spacing w:after="120" w:line="240" w:lineRule="exact"/>
      <w:jc w:val="left"/>
    </w:pPr>
    <w:rPr>
      <w:rFonts w:ascii="Arial" w:eastAsia="SimSun" w:hAnsi="Arial"/>
      <w:szCs w:val="22"/>
      <w:lang w:val="en-US" w:eastAsia="fr-FR"/>
    </w:rPr>
  </w:style>
  <w:style w:type="paragraph" w:customStyle="1" w:styleId="italic">
    <w:name w:val="italic"/>
    <w:basedOn w:val="Normal"/>
    <w:rsid w:val="00060470"/>
    <w:pPr>
      <w:spacing w:before="100" w:beforeAutospacing="1" w:after="100" w:afterAutospacing="1" w:line="240" w:lineRule="auto"/>
      <w:jc w:val="left"/>
    </w:pPr>
    <w:rPr>
      <w:rFonts w:ascii="Calibri" w:hAnsi="Calibri" w:cs="Calibri"/>
      <w:sz w:val="24"/>
      <w:lang w:val="en-US" w:eastAsia="en-US"/>
    </w:rPr>
  </w:style>
  <w:style w:type="paragraph" w:customStyle="1" w:styleId="ecxmsonormal">
    <w:name w:val="ecxmsonormal"/>
    <w:basedOn w:val="Normal"/>
    <w:rsid w:val="00060470"/>
    <w:pPr>
      <w:spacing w:before="100" w:beforeAutospacing="1" w:after="100" w:afterAutospacing="1" w:line="240" w:lineRule="auto"/>
      <w:jc w:val="left"/>
    </w:pPr>
    <w:rPr>
      <w:rFonts w:ascii="Calibri" w:hAnsi="Calibri" w:cs="Calibri"/>
      <w:sz w:val="24"/>
      <w:lang w:val="en-US" w:eastAsia="en-US"/>
    </w:rPr>
  </w:style>
  <w:style w:type="paragraph" w:customStyle="1" w:styleId="CharCharChar3">
    <w:name w:val="Char Char Char Знак Знак Знак Знак Знак"/>
    <w:basedOn w:val="Normal"/>
    <w:rsid w:val="00060470"/>
    <w:pPr>
      <w:spacing w:before="0" w:after="160" w:line="240" w:lineRule="exact"/>
      <w:jc w:val="left"/>
    </w:pPr>
    <w:rPr>
      <w:rFonts w:ascii="Arial" w:hAnsi="Arial" w:cs="Arial"/>
      <w:color w:val="000000"/>
      <w:sz w:val="20"/>
      <w:szCs w:val="20"/>
      <w:lang w:val="en-GB" w:eastAsia="en-US"/>
    </w:rPr>
  </w:style>
  <w:style w:type="character" w:customStyle="1" w:styleId="title1">
    <w:name w:val="title1"/>
    <w:rsid w:val="00060470"/>
    <w:rPr>
      <w:rFonts w:ascii="Verdana" w:hAnsi="Verdana"/>
      <w:b/>
      <w:color w:val="000000"/>
      <w:sz w:val="12"/>
      <w:u w:val="none"/>
      <w:effect w:val="none"/>
    </w:rPr>
  </w:style>
  <w:style w:type="character" w:customStyle="1" w:styleId="st">
    <w:name w:val="st"/>
    <w:rsid w:val="00060470"/>
    <w:rPr>
      <w:rFonts w:cs="Times New Roman"/>
    </w:rPr>
  </w:style>
  <w:style w:type="paragraph" w:customStyle="1" w:styleId="bodytext0">
    <w:name w:val="bodytext"/>
    <w:basedOn w:val="Normal"/>
    <w:rsid w:val="00060470"/>
    <w:pPr>
      <w:spacing w:before="100" w:beforeAutospacing="1" w:after="100" w:afterAutospacing="1" w:line="240" w:lineRule="auto"/>
      <w:jc w:val="left"/>
    </w:pPr>
    <w:rPr>
      <w:rFonts w:ascii="Calibri" w:hAnsi="Calibri" w:cs="Calibri"/>
      <w:sz w:val="24"/>
      <w:lang w:val="en-US" w:eastAsia="en-US"/>
    </w:rPr>
  </w:style>
  <w:style w:type="character" w:customStyle="1" w:styleId="CharChar2">
    <w:name w:val="Char Char2"/>
    <w:rsid w:val="00060470"/>
    <w:rPr>
      <w:rFonts w:ascii="Calibri" w:hAnsi="Calibri" w:cs="Calibri"/>
      <w:sz w:val="22"/>
      <w:szCs w:val="22"/>
      <w:lang w:val="en-US" w:eastAsia="en-US"/>
    </w:rPr>
  </w:style>
  <w:style w:type="paragraph" w:customStyle="1" w:styleId="num02">
    <w:name w:val="Énum02"/>
    <w:basedOn w:val="Normal"/>
    <w:rsid w:val="00060470"/>
    <w:pPr>
      <w:numPr>
        <w:numId w:val="8"/>
      </w:numPr>
      <w:spacing w:before="0" w:after="120" w:line="260" w:lineRule="exact"/>
    </w:pPr>
    <w:rPr>
      <w:rFonts w:ascii="Arial" w:hAnsi="Arial" w:cs="Arial"/>
      <w:szCs w:val="22"/>
      <w:lang w:val="en-US" w:eastAsia="fr-FR"/>
    </w:rPr>
  </w:style>
  <w:style w:type="character" w:customStyle="1" w:styleId="arg">
    <w:name w:val="arg"/>
    <w:rsid w:val="00060470"/>
    <w:rPr>
      <w:rFonts w:cs="Times New Roman"/>
    </w:rPr>
  </w:style>
  <w:style w:type="character" w:customStyle="1" w:styleId="fulltext">
    <w:name w:val="fulltext"/>
    <w:rsid w:val="00060470"/>
    <w:rPr>
      <w:rFonts w:cs="Times New Roman"/>
    </w:rPr>
  </w:style>
  <w:style w:type="paragraph" w:customStyle="1" w:styleId="innewsdate">
    <w:name w:val="in_news_date"/>
    <w:basedOn w:val="Normal"/>
    <w:rsid w:val="00060470"/>
    <w:pPr>
      <w:spacing w:before="100" w:beforeAutospacing="1" w:after="100" w:afterAutospacing="1" w:line="240" w:lineRule="auto"/>
      <w:jc w:val="left"/>
    </w:pPr>
    <w:rPr>
      <w:rFonts w:ascii="Times New Roman" w:hAnsi="Times New Roman"/>
      <w:sz w:val="24"/>
      <w:lang w:val="en-US" w:eastAsia="en-US"/>
    </w:rPr>
  </w:style>
  <w:style w:type="character" w:customStyle="1" w:styleId="gr">
    <w:name w:val="gr"/>
    <w:rsid w:val="00060470"/>
    <w:rPr>
      <w:rFonts w:cs="Times New Roman"/>
    </w:rPr>
  </w:style>
  <w:style w:type="character" w:customStyle="1" w:styleId="opennewstext">
    <w:name w:val="opennewstext"/>
    <w:rsid w:val="00060470"/>
    <w:rPr>
      <w:rFonts w:cs="Times New Roman"/>
    </w:rPr>
  </w:style>
  <w:style w:type="character" w:customStyle="1" w:styleId="fulltext0">
    <w:name w:val="full_text"/>
    <w:rsid w:val="00060470"/>
    <w:rPr>
      <w:rFonts w:cs="Times New Roman"/>
    </w:rPr>
  </w:style>
  <w:style w:type="character" w:customStyle="1" w:styleId="wrc116">
    <w:name w:val="wrc116"/>
    <w:rsid w:val="00060470"/>
    <w:rPr>
      <w:rFonts w:cs="Times New Roman"/>
      <w:vanish/>
    </w:rPr>
  </w:style>
  <w:style w:type="character" w:customStyle="1" w:styleId="editsection">
    <w:name w:val="editsection"/>
    <w:rsid w:val="00060470"/>
    <w:rPr>
      <w:rFonts w:cs="Times New Roman"/>
    </w:rPr>
  </w:style>
  <w:style w:type="character" w:customStyle="1" w:styleId="mw-headline">
    <w:name w:val="mw-headline"/>
    <w:rsid w:val="00060470"/>
    <w:rPr>
      <w:rFonts w:cs="Times New Roman"/>
    </w:rPr>
  </w:style>
  <w:style w:type="paragraph" w:styleId="ListNumber">
    <w:name w:val="List Number"/>
    <w:basedOn w:val="Normal"/>
    <w:rsid w:val="00060470"/>
    <w:pPr>
      <w:numPr>
        <w:numId w:val="9"/>
      </w:numPr>
      <w:spacing w:before="0" w:line="240" w:lineRule="auto"/>
      <w:jc w:val="left"/>
    </w:pPr>
    <w:rPr>
      <w:rFonts w:ascii="Times New Roman" w:hAnsi="Times New Roman"/>
      <w:sz w:val="24"/>
      <w:lang w:val="en-US" w:eastAsia="en-US"/>
    </w:rPr>
  </w:style>
  <w:style w:type="character" w:customStyle="1" w:styleId="il">
    <w:name w:val="il"/>
    <w:rsid w:val="00060470"/>
  </w:style>
  <w:style w:type="paragraph" w:customStyle="1" w:styleId="Listenabsatz">
    <w:name w:val="Listenabsatz"/>
    <w:basedOn w:val="Normal"/>
    <w:rsid w:val="00060470"/>
    <w:pPr>
      <w:spacing w:before="0" w:line="240" w:lineRule="auto"/>
      <w:ind w:left="720"/>
      <w:jc w:val="left"/>
    </w:pPr>
    <w:rPr>
      <w:rFonts w:ascii="Cambria" w:hAnsi="Cambria"/>
      <w:sz w:val="24"/>
      <w:lang w:val="de-DE" w:eastAsia="en-US"/>
    </w:rPr>
  </w:style>
  <w:style w:type="paragraph" w:customStyle="1" w:styleId="Style5">
    <w:name w:val="Style5"/>
    <w:basedOn w:val="TOC3"/>
    <w:autoRedefine/>
    <w:rsid w:val="00060470"/>
    <w:pPr>
      <w:tabs>
        <w:tab w:val="right" w:leader="dot" w:pos="10200"/>
      </w:tabs>
      <w:spacing w:before="0" w:line="240" w:lineRule="auto"/>
      <w:ind w:left="142"/>
    </w:pPr>
    <w:rPr>
      <w:rFonts w:cs="Sylfaen"/>
      <w:b w:val="0"/>
      <w:noProof/>
      <w:sz w:val="20"/>
      <w:lang w:val="en-US" w:eastAsia="en-US"/>
    </w:rPr>
  </w:style>
  <w:style w:type="paragraph" w:customStyle="1" w:styleId="Style7">
    <w:name w:val="Style7"/>
    <w:basedOn w:val="TOC3"/>
    <w:autoRedefine/>
    <w:rsid w:val="00060470"/>
    <w:pPr>
      <w:tabs>
        <w:tab w:val="right" w:leader="dot" w:pos="10200"/>
      </w:tabs>
      <w:spacing w:before="0" w:line="240" w:lineRule="auto"/>
      <w:ind w:left="142"/>
    </w:pPr>
    <w:rPr>
      <w:rFonts w:cs="Sylfaen"/>
      <w:b w:val="0"/>
      <w:noProof/>
      <w:sz w:val="20"/>
      <w:lang w:val="en-US" w:eastAsia="en-US"/>
    </w:rPr>
  </w:style>
  <w:style w:type="paragraph" w:customStyle="1" w:styleId="Style8">
    <w:name w:val="Style8"/>
    <w:basedOn w:val="TOC1"/>
    <w:autoRedefine/>
    <w:rsid w:val="00060470"/>
    <w:pPr>
      <w:tabs>
        <w:tab w:val="right" w:leader="dot" w:pos="10200"/>
      </w:tabs>
      <w:spacing w:before="240" w:after="120" w:line="240" w:lineRule="auto"/>
      <w:jc w:val="left"/>
    </w:pPr>
    <w:rPr>
      <w:b w:val="0"/>
      <w:i/>
      <w:noProof/>
      <w:sz w:val="24"/>
      <w:lang w:val="en-US" w:eastAsia="en-US"/>
    </w:rPr>
  </w:style>
  <w:style w:type="paragraph" w:customStyle="1" w:styleId="Style9">
    <w:name w:val="Style9"/>
    <w:basedOn w:val="TOC1"/>
    <w:autoRedefine/>
    <w:rsid w:val="00060470"/>
    <w:pPr>
      <w:tabs>
        <w:tab w:val="right" w:leader="dot" w:pos="10200"/>
      </w:tabs>
      <w:spacing w:before="240" w:after="120" w:line="240" w:lineRule="auto"/>
      <w:jc w:val="left"/>
    </w:pPr>
    <w:rPr>
      <w:b w:val="0"/>
      <w:noProof/>
      <w:sz w:val="24"/>
      <w:lang w:val="en-US" w:eastAsia="en-US"/>
    </w:rPr>
  </w:style>
  <w:style w:type="character" w:customStyle="1" w:styleId="CharChar5">
    <w:name w:val="Char Char5"/>
    <w:rsid w:val="00060470"/>
    <w:rPr>
      <w:rFonts w:ascii="Arial Armenian" w:hAnsi="Arial Armenian" w:cs="Sylfaen"/>
      <w:sz w:val="24"/>
      <w:szCs w:val="24"/>
      <w:lang w:val="ru-RU" w:eastAsia="ru-RU"/>
    </w:rPr>
  </w:style>
  <w:style w:type="character" w:customStyle="1" w:styleId="CharChar171">
    <w:name w:val="Char Char171"/>
    <w:rsid w:val="00060470"/>
    <w:rPr>
      <w:rFonts w:ascii="Arial Armenian" w:hAnsi="Arial Armenian"/>
      <w:i/>
      <w:sz w:val="22"/>
      <w:u w:val="single"/>
      <w:lang w:val="en-GB" w:eastAsia="en-US" w:bidi="ar-SA"/>
    </w:rPr>
  </w:style>
  <w:style w:type="paragraph" w:customStyle="1" w:styleId="text0">
    <w:name w:val="text"/>
    <w:basedOn w:val="Normal"/>
    <w:link w:val="textChar0"/>
    <w:rsid w:val="00060470"/>
    <w:pPr>
      <w:spacing w:before="0" w:line="240" w:lineRule="auto"/>
      <w:ind w:firstLine="454"/>
    </w:pPr>
    <w:rPr>
      <w:rFonts w:ascii="GHEA Mariam" w:hAnsi="GHEA Mariam"/>
      <w:sz w:val="20"/>
      <w:szCs w:val="20"/>
      <w:lang w:val="en-GB"/>
    </w:rPr>
  </w:style>
  <w:style w:type="character" w:customStyle="1" w:styleId="textChar0">
    <w:name w:val="text Char"/>
    <w:link w:val="text0"/>
    <w:rsid w:val="00060470"/>
    <w:rPr>
      <w:rFonts w:ascii="GHEA Mariam" w:hAnsi="GHEA Mariam"/>
      <w:lang w:val="en-GB" w:eastAsia="ru-RU"/>
    </w:rPr>
  </w:style>
  <w:style w:type="paragraph" w:customStyle="1" w:styleId="Char40">
    <w:name w:val="Char4"/>
    <w:basedOn w:val="Normal"/>
    <w:rsid w:val="00060470"/>
    <w:pPr>
      <w:spacing w:before="0" w:after="160" w:line="240" w:lineRule="exact"/>
      <w:jc w:val="left"/>
    </w:pPr>
    <w:rPr>
      <w:rFonts w:ascii="Arial" w:eastAsia="Calibri" w:hAnsi="Arial" w:cs="Arial"/>
      <w:sz w:val="20"/>
      <w:szCs w:val="20"/>
      <w:lang w:val="en-US" w:eastAsia="en-US"/>
    </w:rPr>
  </w:style>
  <w:style w:type="paragraph" w:customStyle="1" w:styleId="p2">
    <w:name w:val="p2"/>
    <w:basedOn w:val="Normal"/>
    <w:rsid w:val="00060470"/>
    <w:pPr>
      <w:spacing w:before="100" w:beforeAutospacing="1" w:after="100" w:afterAutospacing="1" w:line="240" w:lineRule="auto"/>
      <w:jc w:val="left"/>
    </w:pPr>
    <w:rPr>
      <w:rFonts w:ascii="Times New Roman" w:eastAsia="Calibri" w:hAnsi="Times New Roman"/>
      <w:sz w:val="24"/>
      <w:lang w:val="en-US" w:eastAsia="en-US"/>
    </w:rPr>
  </w:style>
  <w:style w:type="paragraph" w:customStyle="1" w:styleId="Char30">
    <w:name w:val="Char3"/>
    <w:basedOn w:val="Normal"/>
    <w:rsid w:val="00060470"/>
    <w:pPr>
      <w:spacing w:before="0" w:after="160" w:line="240" w:lineRule="exact"/>
      <w:jc w:val="left"/>
    </w:pPr>
    <w:rPr>
      <w:rFonts w:ascii="Arial" w:eastAsia="Calibri" w:hAnsi="Arial" w:cs="Arial"/>
      <w:sz w:val="20"/>
      <w:szCs w:val="20"/>
      <w:lang w:val="en-US" w:eastAsia="en-US"/>
    </w:rPr>
  </w:style>
  <w:style w:type="character" w:customStyle="1" w:styleId="32ptExact">
    <w:name w:val="Основной текст (3) + Интервал 2 pt Exact"/>
    <w:rsid w:val="00060470"/>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060470"/>
    <w:pPr>
      <w:spacing w:before="0" w:after="160" w:line="240" w:lineRule="exact"/>
      <w:jc w:val="left"/>
    </w:pPr>
    <w:rPr>
      <w:rFonts w:ascii="Arial" w:hAnsi="Arial" w:cs="Arial"/>
      <w:sz w:val="20"/>
      <w:szCs w:val="20"/>
      <w:lang w:val="en-US" w:eastAsia="en-US"/>
    </w:rPr>
  </w:style>
  <w:style w:type="paragraph" w:customStyle="1" w:styleId="CharCharCharCharCharChar0">
    <w:name w:val="Char Char Char Char Char Char"/>
    <w:basedOn w:val="Normal"/>
    <w:rsid w:val="00060470"/>
    <w:pPr>
      <w:spacing w:before="0" w:after="160" w:line="240" w:lineRule="exact"/>
      <w:jc w:val="left"/>
    </w:pPr>
    <w:rPr>
      <w:rFonts w:ascii="Arial" w:hAnsi="Arial" w:cs="Arial"/>
      <w:sz w:val="20"/>
      <w:szCs w:val="20"/>
      <w:lang w:val="en-US" w:eastAsia="en-US"/>
    </w:rPr>
  </w:style>
  <w:style w:type="character" w:customStyle="1" w:styleId="BodyTextIndent3Char1">
    <w:name w:val="Body Text Indent 3 Char1"/>
    <w:uiPriority w:val="99"/>
    <w:locked/>
    <w:rsid w:val="00060470"/>
    <w:rPr>
      <w:rFonts w:ascii="Times New Roman" w:hAnsi="Times New Roman"/>
      <w:sz w:val="16"/>
    </w:rPr>
  </w:style>
  <w:style w:type="character" w:customStyle="1" w:styleId="PlainTextChar1">
    <w:name w:val="Plain Text Char1"/>
    <w:uiPriority w:val="99"/>
    <w:locked/>
    <w:rsid w:val="00060470"/>
    <w:rPr>
      <w:rFonts w:ascii="Courier New" w:hAnsi="Courier New"/>
      <w:sz w:val="20"/>
    </w:rPr>
  </w:style>
  <w:style w:type="character" w:customStyle="1" w:styleId="CommentTextChar1">
    <w:name w:val="Comment Text Char1"/>
    <w:uiPriority w:val="99"/>
    <w:locked/>
    <w:rsid w:val="00060470"/>
    <w:rPr>
      <w:rFonts w:ascii="Times New Roman" w:hAnsi="Times New Roman"/>
      <w:sz w:val="20"/>
      <w:lang w:val="en-GB"/>
    </w:rPr>
  </w:style>
  <w:style w:type="character" w:customStyle="1" w:styleId="SubtitleChar1">
    <w:name w:val="Subtitle Char1"/>
    <w:uiPriority w:val="99"/>
    <w:locked/>
    <w:rsid w:val="00060470"/>
    <w:rPr>
      <w:rFonts w:ascii="Times LatArm" w:hAnsi="Times LatArm"/>
      <w:b/>
      <w:sz w:val="24"/>
    </w:rPr>
  </w:style>
  <w:style w:type="character" w:customStyle="1" w:styleId="BalloonTextChar1">
    <w:name w:val="Balloon Text Char1"/>
    <w:uiPriority w:val="99"/>
    <w:locked/>
    <w:rsid w:val="00060470"/>
    <w:rPr>
      <w:rFonts w:ascii="Tahoma" w:hAnsi="Tahoma"/>
      <w:sz w:val="16"/>
    </w:rPr>
  </w:style>
  <w:style w:type="character" w:customStyle="1" w:styleId="EndnoteTextChar1">
    <w:name w:val="Endnote Text Char1"/>
    <w:uiPriority w:val="99"/>
    <w:semiHidden/>
    <w:locked/>
    <w:rsid w:val="00060470"/>
    <w:rPr>
      <w:rFonts w:ascii="Times New Roman" w:hAnsi="Times New Roman"/>
      <w:sz w:val="20"/>
      <w:lang w:val="en-GB"/>
    </w:rPr>
  </w:style>
  <w:style w:type="character" w:customStyle="1" w:styleId="estilo2">
    <w:name w:val="estilo2"/>
    <w:uiPriority w:val="99"/>
    <w:rsid w:val="00060470"/>
  </w:style>
  <w:style w:type="character" w:customStyle="1" w:styleId="CharChar3">
    <w:name w:val="Char Char3"/>
    <w:uiPriority w:val="99"/>
    <w:locked/>
    <w:rsid w:val="00060470"/>
    <w:rPr>
      <w:rFonts w:cs="Times New Roman"/>
      <w:sz w:val="22"/>
      <w:lang w:val="en-GB" w:eastAsia="en-US" w:bidi="ar-SA"/>
    </w:rPr>
  </w:style>
  <w:style w:type="character" w:customStyle="1" w:styleId="CharChar51">
    <w:name w:val="Char Char51"/>
    <w:uiPriority w:val="99"/>
    <w:locked/>
    <w:rsid w:val="00060470"/>
    <w:rPr>
      <w:sz w:val="22"/>
      <w:lang w:val="en-GB" w:eastAsia="en-US"/>
    </w:rPr>
  </w:style>
  <w:style w:type="paragraph" w:customStyle="1" w:styleId="Numberedtext">
    <w:name w:val="Numbered text"/>
    <w:basedOn w:val="BodyText"/>
    <w:uiPriority w:val="99"/>
    <w:rsid w:val="00060470"/>
    <w:pPr>
      <w:numPr>
        <w:numId w:val="10"/>
      </w:numPr>
      <w:tabs>
        <w:tab w:val="clear" w:pos="1004"/>
        <w:tab w:val="num" w:pos="360"/>
      </w:tabs>
      <w:spacing w:before="0" w:after="120" w:line="240" w:lineRule="auto"/>
      <w:ind w:left="0" w:firstLine="0"/>
      <w:jc w:val="both"/>
    </w:pPr>
    <w:rPr>
      <w:rFonts w:ascii="Calibri" w:hAnsi="Calibri" w:cs="Calibri"/>
      <w:sz w:val="24"/>
      <w:szCs w:val="24"/>
      <w:lang w:eastAsia="en-NZ"/>
    </w:rPr>
  </w:style>
  <w:style w:type="character" w:customStyle="1" w:styleId="DocumentMapChar1">
    <w:name w:val="Document Map Char1"/>
    <w:link w:val="DocumentMap1"/>
    <w:uiPriority w:val="99"/>
    <w:locked/>
    <w:rsid w:val="00060470"/>
    <w:rPr>
      <w:rFonts w:ascii="Tahoma" w:eastAsia="Times New Roman" w:hAnsi="Tahoma" w:cs="Times New Roman"/>
      <w:sz w:val="24"/>
      <w:szCs w:val="20"/>
      <w:shd w:val="clear" w:color="auto" w:fill="000080"/>
      <w:lang w:val="en-GB" w:eastAsia="ru-RU"/>
    </w:rPr>
  </w:style>
  <w:style w:type="paragraph" w:styleId="TOCHeading">
    <w:name w:val="TOC Heading"/>
    <w:basedOn w:val="Heading1"/>
    <w:next w:val="Normal"/>
    <w:uiPriority w:val="39"/>
    <w:qFormat/>
    <w:rsid w:val="00060470"/>
    <w:pPr>
      <w:keepLines/>
      <w:spacing w:before="480"/>
      <w:outlineLvl w:val="9"/>
    </w:pPr>
    <w:rPr>
      <w:rFonts w:ascii="Cambria" w:hAnsi="Cambria"/>
      <w:bCs w:val="0"/>
      <w:color w:val="365F91"/>
      <w:szCs w:val="28"/>
    </w:rPr>
  </w:style>
  <w:style w:type="character" w:customStyle="1" w:styleId="FontStyle32">
    <w:name w:val="Font Style32"/>
    <w:uiPriority w:val="99"/>
    <w:rsid w:val="00060470"/>
    <w:rPr>
      <w:rFonts w:ascii="Tahoma" w:hAnsi="Tahoma" w:cs="Tahoma"/>
      <w:sz w:val="20"/>
      <w:szCs w:val="20"/>
    </w:rPr>
  </w:style>
  <w:style w:type="paragraph" w:customStyle="1" w:styleId="Text2">
    <w:name w:val="Text 2"/>
    <w:basedOn w:val="Normal"/>
    <w:rsid w:val="00060470"/>
    <w:pPr>
      <w:spacing w:after="120" w:line="240" w:lineRule="auto"/>
      <w:ind w:left="850"/>
    </w:pPr>
    <w:rPr>
      <w:rFonts w:ascii="Times New Roman" w:hAnsi="Times New Roman"/>
      <w:sz w:val="24"/>
      <w:lang w:val="en-GB" w:eastAsia="zh-CN"/>
    </w:rPr>
  </w:style>
  <w:style w:type="paragraph" w:customStyle="1" w:styleId="article-type">
    <w:name w:val="article-type"/>
    <w:basedOn w:val="Normal"/>
    <w:rsid w:val="00060470"/>
    <w:pPr>
      <w:spacing w:before="100" w:beforeAutospacing="1" w:after="100" w:afterAutospacing="1" w:line="240" w:lineRule="auto"/>
      <w:jc w:val="left"/>
    </w:pPr>
    <w:rPr>
      <w:rFonts w:ascii="Times New Roman" w:hAnsi="Times New Roman"/>
      <w:sz w:val="24"/>
    </w:rPr>
  </w:style>
  <w:style w:type="paragraph" w:customStyle="1" w:styleId="wpn-byline">
    <w:name w:val="wpn-byline"/>
    <w:basedOn w:val="Normal"/>
    <w:rsid w:val="00060470"/>
    <w:pPr>
      <w:spacing w:before="100" w:beforeAutospacing="1" w:after="100" w:afterAutospacing="1" w:line="240" w:lineRule="auto"/>
      <w:jc w:val="left"/>
    </w:pPr>
    <w:rPr>
      <w:rFonts w:ascii="Times New Roman" w:hAnsi="Times New Roman"/>
      <w:sz w:val="24"/>
    </w:rPr>
  </w:style>
  <w:style w:type="paragraph" w:customStyle="1" w:styleId="headline10margin-bottom-20">
    <w:name w:val="headline10 margin-bottom-20"/>
    <w:basedOn w:val="Normal"/>
    <w:rsid w:val="00060470"/>
    <w:pPr>
      <w:spacing w:before="100" w:beforeAutospacing="1" w:after="100" w:afterAutospacing="1" w:line="240" w:lineRule="auto"/>
      <w:jc w:val="left"/>
    </w:pPr>
    <w:rPr>
      <w:rFonts w:ascii="Times New Roman" w:hAnsi="Times New Roman"/>
      <w:sz w:val="24"/>
    </w:rPr>
  </w:style>
  <w:style w:type="character" w:customStyle="1" w:styleId="published">
    <w:name w:val="published"/>
    <w:rsid w:val="00060470"/>
  </w:style>
  <w:style w:type="character" w:customStyle="1" w:styleId="divider">
    <w:name w:val="divider"/>
    <w:rsid w:val="00060470"/>
  </w:style>
  <w:style w:type="character" w:customStyle="1" w:styleId="authorvcard">
    <w:name w:val="author vcard"/>
    <w:rsid w:val="00060470"/>
  </w:style>
  <w:style w:type="character" w:customStyle="1" w:styleId="category">
    <w:name w:val="category"/>
    <w:rsid w:val="00060470"/>
  </w:style>
  <w:style w:type="character" w:customStyle="1" w:styleId="before">
    <w:name w:val="before"/>
    <w:rsid w:val="00060470"/>
  </w:style>
  <w:style w:type="character" w:customStyle="1" w:styleId="aqj">
    <w:name w:val="aqj"/>
    <w:rsid w:val="00060470"/>
  </w:style>
  <w:style w:type="character" w:customStyle="1" w:styleId="gd">
    <w:name w:val="gd"/>
    <w:rsid w:val="00060470"/>
  </w:style>
  <w:style w:type="character" w:customStyle="1" w:styleId="g3">
    <w:name w:val="g3"/>
    <w:rsid w:val="00060470"/>
  </w:style>
  <w:style w:type="character" w:customStyle="1" w:styleId="goa1h">
    <w:name w:val="go a1h"/>
    <w:rsid w:val="00060470"/>
  </w:style>
  <w:style w:type="character" w:customStyle="1" w:styleId="hb">
    <w:name w:val="hb"/>
    <w:rsid w:val="00060470"/>
  </w:style>
  <w:style w:type="character" w:customStyle="1" w:styleId="g2">
    <w:name w:val="g2"/>
    <w:rsid w:val="00060470"/>
  </w:style>
  <w:style w:type="character" w:customStyle="1" w:styleId="sizzle">
    <w:name w:val="sizzle"/>
    <w:rsid w:val="00060470"/>
  </w:style>
  <w:style w:type="paragraph" w:customStyle="1" w:styleId="112">
    <w:name w:val="Абзац списка11"/>
    <w:basedOn w:val="Normal"/>
    <w:uiPriority w:val="99"/>
    <w:qFormat/>
    <w:rsid w:val="00060470"/>
    <w:pPr>
      <w:spacing w:before="0" w:line="240" w:lineRule="auto"/>
      <w:ind w:left="720"/>
      <w:jc w:val="left"/>
    </w:pPr>
    <w:rPr>
      <w:rFonts w:ascii="Times New Roman" w:hAnsi="Times New Roman"/>
      <w:sz w:val="24"/>
      <w:lang w:val="en-US" w:eastAsia="en-US"/>
    </w:rPr>
  </w:style>
  <w:style w:type="paragraph" w:customStyle="1" w:styleId="StyleGHEAGrapalatJustifiedAfter6ptLinespacingMultip">
    <w:name w:val="Style GHEA Grapalat Justified After:  6 pt Line spacing:  Multip..."/>
    <w:basedOn w:val="Normal"/>
    <w:rsid w:val="00060470"/>
    <w:pPr>
      <w:numPr>
        <w:numId w:val="11"/>
      </w:numPr>
      <w:spacing w:before="240" w:after="240" w:line="240" w:lineRule="auto"/>
    </w:pPr>
    <w:rPr>
      <w:sz w:val="24"/>
      <w:szCs w:val="20"/>
      <w:lang w:val="hy-AM"/>
    </w:rPr>
  </w:style>
  <w:style w:type="paragraph" w:customStyle="1" w:styleId="StyleStyleHeading2ChapterParanumTextSylfaenGHEAGrapa">
    <w:name w:val="Style Style Heading 2.(Chapter).Paranum.Text + Sylfaen + GHEA Grapa..."/>
    <w:basedOn w:val="StyleHeading2ChapterParanumTextSylfaen"/>
    <w:qFormat/>
    <w:rsid w:val="00060470"/>
    <w:rPr>
      <w:rFonts w:ascii="GHEA Grapalat" w:hAnsi="GHEA Grapalat"/>
      <w:sz w:val="22"/>
    </w:rPr>
  </w:style>
  <w:style w:type="paragraph" w:customStyle="1" w:styleId="18">
    <w:name w:val="Без интервала1"/>
    <w:link w:val="aa"/>
    <w:uiPriority w:val="1"/>
    <w:qFormat/>
    <w:rsid w:val="00060470"/>
    <w:rPr>
      <w:rFonts w:ascii="Calibri" w:hAnsi="Calibri"/>
      <w:sz w:val="22"/>
      <w:szCs w:val="22"/>
    </w:rPr>
  </w:style>
  <w:style w:type="character" w:customStyle="1" w:styleId="aa">
    <w:name w:val="Без интервала Знак"/>
    <w:link w:val="18"/>
    <w:rsid w:val="00060470"/>
    <w:rPr>
      <w:rFonts w:ascii="Calibri" w:hAnsi="Calibri"/>
      <w:sz w:val="22"/>
      <w:szCs w:val="22"/>
    </w:rPr>
  </w:style>
  <w:style w:type="paragraph" w:customStyle="1" w:styleId="113">
    <w:name w:val="Обычный11"/>
    <w:rsid w:val="00060470"/>
    <w:pPr>
      <w:autoSpaceDE w:val="0"/>
      <w:autoSpaceDN w:val="0"/>
    </w:pPr>
    <w:rPr>
      <w:lang w:val="ru-RU" w:eastAsia="ru-RU"/>
    </w:rPr>
  </w:style>
  <w:style w:type="paragraph" w:customStyle="1" w:styleId="32">
    <w:name w:val="???????? ????? ? ???????? 3"/>
    <w:basedOn w:val="a1"/>
    <w:uiPriority w:val="99"/>
    <w:rsid w:val="00060470"/>
    <w:pPr>
      <w:ind w:firstLine="360"/>
    </w:pPr>
    <w:rPr>
      <w:rFonts w:ascii="Times Armenian" w:hAnsi="Times Armenian"/>
      <w:sz w:val="24"/>
      <w:lang w:val="af-ZA"/>
    </w:rPr>
  </w:style>
  <w:style w:type="paragraph" w:customStyle="1" w:styleId="6">
    <w:name w:val="????????? 6"/>
    <w:basedOn w:val="a1"/>
    <w:next w:val="a1"/>
    <w:uiPriority w:val="99"/>
    <w:rsid w:val="00060470"/>
    <w:pPr>
      <w:keepNext/>
      <w:jc w:val="center"/>
      <w:outlineLvl w:val="5"/>
    </w:pPr>
    <w:rPr>
      <w:rFonts w:ascii="Times Armenian" w:hAnsi="Times Armenian"/>
      <w:i/>
      <w:lang w:val="en-US"/>
    </w:rPr>
  </w:style>
  <w:style w:type="paragraph" w:customStyle="1" w:styleId="310">
    <w:name w:val="???????? ????? 31"/>
    <w:basedOn w:val="a1"/>
    <w:uiPriority w:val="99"/>
    <w:rsid w:val="00060470"/>
    <w:pPr>
      <w:jc w:val="center"/>
    </w:pPr>
    <w:rPr>
      <w:rFonts w:ascii="Arial Armenian" w:hAnsi="Arial Armenian"/>
      <w:sz w:val="24"/>
      <w:lang w:val="en-AU"/>
    </w:rPr>
  </w:style>
  <w:style w:type="paragraph" w:customStyle="1" w:styleId="25">
    <w:name w:val="????????? 2"/>
    <w:basedOn w:val="a1"/>
    <w:next w:val="a1"/>
    <w:uiPriority w:val="99"/>
    <w:rsid w:val="00060470"/>
    <w:pPr>
      <w:keepNext/>
      <w:ind w:firstLine="720"/>
      <w:outlineLvl w:val="1"/>
    </w:pPr>
    <w:rPr>
      <w:rFonts w:ascii="Times LatArm" w:hAnsi="Times LatArm"/>
      <w:b/>
      <w:i/>
      <w:sz w:val="28"/>
      <w:lang w:val="en-US"/>
    </w:rPr>
  </w:style>
  <w:style w:type="paragraph" w:customStyle="1" w:styleId="40">
    <w:name w:val="????????? 4"/>
    <w:basedOn w:val="a1"/>
    <w:next w:val="a1"/>
    <w:uiPriority w:val="99"/>
    <w:rsid w:val="00060470"/>
    <w:pPr>
      <w:keepNext/>
      <w:spacing w:line="360" w:lineRule="auto"/>
      <w:ind w:firstLine="360"/>
      <w:outlineLvl w:val="3"/>
    </w:pPr>
    <w:rPr>
      <w:rFonts w:ascii="Times LatArm" w:hAnsi="Times LatArm"/>
      <w:i/>
      <w:noProof/>
      <w:sz w:val="24"/>
    </w:rPr>
  </w:style>
  <w:style w:type="paragraph" w:customStyle="1" w:styleId="19">
    <w:name w:val="????????? 1"/>
    <w:basedOn w:val="Normal"/>
    <w:next w:val="Normal"/>
    <w:rsid w:val="00060470"/>
    <w:pPr>
      <w:keepNext/>
      <w:spacing w:before="0" w:line="240" w:lineRule="auto"/>
      <w:outlineLvl w:val="0"/>
    </w:pPr>
    <w:rPr>
      <w:rFonts w:ascii="Times Armenian" w:hAnsi="Times Armenian"/>
      <w:i/>
      <w:sz w:val="24"/>
      <w:szCs w:val="20"/>
      <w:lang w:val="en-US"/>
    </w:rPr>
  </w:style>
  <w:style w:type="paragraph" w:customStyle="1" w:styleId="CharChar0">
    <w:name w:val="Знак Знак Char Char"/>
    <w:basedOn w:val="Normal"/>
    <w:rsid w:val="00060470"/>
    <w:pPr>
      <w:spacing w:before="0" w:after="160" w:line="240" w:lineRule="exact"/>
      <w:jc w:val="left"/>
    </w:pPr>
    <w:rPr>
      <w:rFonts w:ascii="Arial" w:hAnsi="Arial" w:cs="Arial"/>
      <w:sz w:val="20"/>
      <w:szCs w:val="20"/>
      <w:lang w:val="en-US" w:eastAsia="en-US"/>
    </w:rPr>
  </w:style>
  <w:style w:type="paragraph" w:customStyle="1" w:styleId="CharChar8">
    <w:name w:val="Знак Знак Char Char Знак Знак"/>
    <w:basedOn w:val="Normal"/>
    <w:rsid w:val="00060470"/>
    <w:pPr>
      <w:spacing w:before="0" w:after="160" w:line="240" w:lineRule="exact"/>
      <w:jc w:val="left"/>
    </w:pPr>
    <w:rPr>
      <w:rFonts w:ascii="Arial" w:hAnsi="Arial" w:cs="Arial"/>
      <w:sz w:val="20"/>
      <w:szCs w:val="20"/>
      <w:lang w:val="en-US" w:eastAsia="en-US"/>
    </w:rPr>
  </w:style>
  <w:style w:type="paragraph" w:customStyle="1" w:styleId="Para">
    <w:name w:val="Para"/>
    <w:basedOn w:val="Normal"/>
    <w:autoRedefine/>
    <w:rsid w:val="00060470"/>
    <w:pPr>
      <w:suppressAutoHyphens/>
      <w:spacing w:before="0" w:line="240" w:lineRule="auto"/>
    </w:pPr>
    <w:rPr>
      <w:rFonts w:eastAsia="Calibri" w:cs="Sylfaen"/>
      <w:bCs/>
      <w:kern w:val="1"/>
      <w:sz w:val="24"/>
      <w:lang w:val="hy-AM" w:eastAsia="en-US"/>
    </w:rPr>
  </w:style>
  <w:style w:type="paragraph" w:customStyle="1" w:styleId="Char5">
    <w:name w:val="Char5"/>
    <w:basedOn w:val="Normal"/>
    <w:rsid w:val="00060470"/>
    <w:pPr>
      <w:spacing w:before="0" w:after="160" w:line="240" w:lineRule="exact"/>
      <w:jc w:val="left"/>
    </w:pPr>
    <w:rPr>
      <w:rFonts w:ascii="Arial" w:eastAsia="Calibri" w:hAnsi="Arial" w:cs="Arial"/>
      <w:sz w:val="20"/>
      <w:szCs w:val="20"/>
      <w:lang w:val="en-US" w:eastAsia="en-US"/>
    </w:rPr>
  </w:style>
  <w:style w:type="paragraph" w:customStyle="1" w:styleId="33">
    <w:name w:val="Знак Знак3"/>
    <w:basedOn w:val="Normal"/>
    <w:link w:val="Char11"/>
    <w:rsid w:val="00060470"/>
    <w:pPr>
      <w:spacing w:before="0" w:after="160" w:line="240" w:lineRule="exact"/>
      <w:jc w:val="left"/>
    </w:pPr>
    <w:rPr>
      <w:rFonts w:ascii="Arial" w:eastAsia="Calibri" w:hAnsi="Arial"/>
      <w:sz w:val="20"/>
      <w:szCs w:val="20"/>
      <w:lang w:val="en-GB"/>
    </w:rPr>
  </w:style>
  <w:style w:type="character" w:customStyle="1" w:styleId="Char11">
    <w:name w:val="Знак Знак Char1"/>
    <w:link w:val="33"/>
    <w:locked/>
    <w:rsid w:val="00060470"/>
    <w:rPr>
      <w:rFonts w:ascii="Arial" w:eastAsia="Calibri" w:hAnsi="Arial"/>
      <w:lang w:val="en-GB"/>
    </w:rPr>
  </w:style>
  <w:style w:type="paragraph" w:customStyle="1" w:styleId="Znak1">
    <w:name w:val="Znak1"/>
    <w:basedOn w:val="Normal"/>
    <w:rsid w:val="00060470"/>
    <w:pPr>
      <w:tabs>
        <w:tab w:val="left" w:pos="709"/>
      </w:tabs>
      <w:spacing w:before="0" w:line="240" w:lineRule="auto"/>
      <w:jc w:val="left"/>
    </w:pPr>
    <w:rPr>
      <w:rFonts w:ascii="Tahoma" w:eastAsia="Calibri" w:hAnsi="Tahoma"/>
      <w:sz w:val="24"/>
      <w:lang w:val="pl-PL" w:eastAsia="pl-PL"/>
    </w:rPr>
  </w:style>
  <w:style w:type="paragraph" w:customStyle="1" w:styleId="CharCharCharCharCharCharCharCharCharCharCharCharChar1">
    <w:name w:val="Char Char Char Char Char Char Char Char Char Char Char Char Char1"/>
    <w:basedOn w:val="Normal"/>
    <w:rsid w:val="00060470"/>
    <w:pPr>
      <w:spacing w:before="0" w:after="160" w:line="240" w:lineRule="exact"/>
      <w:jc w:val="left"/>
    </w:pPr>
    <w:rPr>
      <w:rFonts w:ascii="Arial" w:eastAsia="Calibri" w:hAnsi="Arial" w:cs="Arial"/>
      <w:sz w:val="20"/>
      <w:szCs w:val="20"/>
      <w:lang w:val="en-US" w:eastAsia="en-US"/>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060470"/>
    <w:pPr>
      <w:spacing w:before="0" w:after="160" w:line="240" w:lineRule="exact"/>
      <w:jc w:val="left"/>
    </w:pPr>
    <w:rPr>
      <w:rFonts w:ascii="Times New Roman" w:eastAsia="Calibri" w:hAnsi="Times New Roman"/>
      <w:sz w:val="28"/>
      <w:szCs w:val="20"/>
      <w:lang w:val="en-US" w:eastAsia="en-US"/>
    </w:rPr>
  </w:style>
  <w:style w:type="paragraph" w:customStyle="1" w:styleId="CharCharChar12">
    <w:name w:val="Char Char Char Знак1"/>
    <w:basedOn w:val="Normal"/>
    <w:next w:val="Normal"/>
    <w:rsid w:val="00060470"/>
    <w:pPr>
      <w:spacing w:before="0" w:after="160" w:line="240" w:lineRule="exact"/>
      <w:jc w:val="left"/>
    </w:pPr>
    <w:rPr>
      <w:rFonts w:ascii="Tahoma" w:eastAsia="Calibri" w:hAnsi="Tahoma"/>
      <w:sz w:val="24"/>
      <w:szCs w:val="20"/>
      <w:lang w:val="en-US" w:eastAsia="en-US"/>
    </w:rPr>
  </w:style>
  <w:style w:type="paragraph" w:customStyle="1" w:styleId="CharCharCharCharCharCharCharChar1">
    <w:name w:val="Char Char Char Char Char Char Char Char1"/>
    <w:basedOn w:val="Normal"/>
    <w:rsid w:val="00060470"/>
    <w:pPr>
      <w:spacing w:before="0" w:after="160" w:line="240" w:lineRule="exact"/>
      <w:jc w:val="left"/>
    </w:pPr>
    <w:rPr>
      <w:rFonts w:ascii="Arial" w:eastAsia="Calibri" w:hAnsi="Arial" w:cs="Arial"/>
      <w:sz w:val="20"/>
      <w:szCs w:val="20"/>
      <w:lang w:val="en-US" w:eastAsia="en-US"/>
    </w:rPr>
  </w:style>
  <w:style w:type="paragraph" w:customStyle="1" w:styleId="CharCharCharCharCharCharCharCharCharCharCharCharCharCharChar2">
    <w:name w:val="Char Char Char Char Знак Char Знак Char Char Char Char Char Char Char Char Char Char2"/>
    <w:basedOn w:val="Normal"/>
    <w:rsid w:val="00060470"/>
    <w:pPr>
      <w:tabs>
        <w:tab w:val="left" w:pos="709"/>
      </w:tabs>
      <w:spacing w:before="0" w:line="240" w:lineRule="auto"/>
      <w:jc w:val="left"/>
    </w:pPr>
    <w:rPr>
      <w:rFonts w:ascii="Tahoma" w:eastAsia="Calibri" w:hAnsi="Tahoma"/>
      <w:sz w:val="24"/>
      <w:lang w:val="pl-PL" w:eastAsia="pl-PL"/>
    </w:rPr>
  </w:style>
  <w:style w:type="paragraph" w:customStyle="1" w:styleId="CharCharCharCharCharCharChar1">
    <w:name w:val="Char Char Char Char Char Char Char1"/>
    <w:basedOn w:val="Normal"/>
    <w:rsid w:val="00060470"/>
    <w:pPr>
      <w:spacing w:before="0" w:after="160" w:line="240" w:lineRule="exact"/>
      <w:jc w:val="left"/>
    </w:pPr>
    <w:rPr>
      <w:rFonts w:ascii="Arial" w:eastAsia="Calibri" w:hAnsi="Arial" w:cs="Arial"/>
      <w:sz w:val="20"/>
      <w:szCs w:val="20"/>
      <w:lang w:val="en-US" w:eastAsia="en-US"/>
    </w:rPr>
  </w:style>
  <w:style w:type="paragraph" w:customStyle="1" w:styleId="CharCharCharCharCharCharCharCharCharChar1">
    <w:name w:val="Char Char Char Char Char Char Char Char Char Char1"/>
    <w:basedOn w:val="Normal"/>
    <w:rsid w:val="00060470"/>
    <w:pPr>
      <w:spacing w:before="0" w:after="160" w:line="240" w:lineRule="exact"/>
      <w:jc w:val="left"/>
    </w:pPr>
    <w:rPr>
      <w:rFonts w:ascii="Arial" w:eastAsia="Calibri" w:hAnsi="Arial" w:cs="Arial"/>
      <w:sz w:val="20"/>
      <w:szCs w:val="20"/>
      <w:lang w:val="en-US" w:eastAsia="en-US"/>
    </w:rPr>
  </w:style>
  <w:style w:type="paragraph" w:customStyle="1" w:styleId="1CharChar1">
    <w:name w:val="Знак Знак1 Char Char Знак Знак1"/>
    <w:basedOn w:val="Normal"/>
    <w:rsid w:val="00060470"/>
    <w:pPr>
      <w:tabs>
        <w:tab w:val="num" w:pos="840"/>
      </w:tabs>
      <w:spacing w:before="0" w:after="160" w:line="240" w:lineRule="exact"/>
      <w:ind w:left="840" w:hanging="360"/>
    </w:pPr>
    <w:rPr>
      <w:rFonts w:ascii="Verdana" w:eastAsia="Calibri" w:hAnsi="Verdana"/>
      <w:sz w:val="20"/>
      <w:szCs w:val="20"/>
      <w:lang w:eastAsia="en-US"/>
    </w:rPr>
  </w:style>
  <w:style w:type="paragraph" w:customStyle="1" w:styleId="CharCharCharChar1">
    <w:name w:val="Знак Знак Char Char Знак Знак Char Char Знак Знак1"/>
    <w:basedOn w:val="Normal"/>
    <w:autoRedefine/>
    <w:rsid w:val="00060470"/>
    <w:pPr>
      <w:spacing w:before="0" w:after="160" w:line="240" w:lineRule="exact"/>
      <w:jc w:val="left"/>
    </w:pPr>
    <w:rPr>
      <w:rFonts w:ascii="Times New Roman" w:eastAsia="Calibri" w:hAnsi="Times New Roman"/>
      <w:sz w:val="28"/>
      <w:szCs w:val="20"/>
      <w:lang w:val="en-US" w:eastAsia="en-US"/>
    </w:rPr>
  </w:style>
  <w:style w:type="paragraph" w:customStyle="1" w:styleId="CharCharChar1Char1">
    <w:name w:val="Char Char Char1 Char1"/>
    <w:basedOn w:val="Normal"/>
    <w:rsid w:val="00060470"/>
    <w:pPr>
      <w:spacing w:before="0" w:after="160" w:line="240" w:lineRule="exact"/>
      <w:jc w:val="left"/>
    </w:pPr>
    <w:rPr>
      <w:rFonts w:ascii="Arial" w:eastAsia="Calibri" w:hAnsi="Arial" w:cs="Arial"/>
      <w:sz w:val="20"/>
      <w:szCs w:val="20"/>
      <w:lang w:val="en-US" w:eastAsia="en-US"/>
    </w:rPr>
  </w:style>
  <w:style w:type="paragraph" w:customStyle="1" w:styleId="114">
    <w:name w:val="Знак Знак11"/>
    <w:basedOn w:val="Normal"/>
    <w:rsid w:val="00060470"/>
    <w:pPr>
      <w:spacing w:before="0" w:after="160" w:line="240" w:lineRule="exact"/>
      <w:jc w:val="left"/>
    </w:pPr>
    <w:rPr>
      <w:rFonts w:ascii="Arial" w:eastAsia="MS Mincho" w:hAnsi="Arial" w:cs="Arial"/>
      <w:sz w:val="20"/>
      <w:szCs w:val="20"/>
      <w:lang w:val="en-US" w:eastAsia="en-US"/>
    </w:rPr>
  </w:style>
  <w:style w:type="paragraph" w:customStyle="1" w:styleId="CharChar1CharCharChar1Char1">
    <w:name w:val="Char Char1 Char Char Char1 Char1"/>
    <w:basedOn w:val="Normal"/>
    <w:autoRedefine/>
    <w:rsid w:val="00060470"/>
    <w:pPr>
      <w:spacing w:before="0" w:line="240" w:lineRule="auto"/>
      <w:jc w:val="left"/>
    </w:pPr>
    <w:rPr>
      <w:rFonts w:ascii="Times New Roman" w:eastAsia="SimSun" w:hAnsi="Times New Roman"/>
      <w:sz w:val="20"/>
      <w:szCs w:val="20"/>
      <w:lang w:val="en-US"/>
    </w:rPr>
  </w:style>
  <w:style w:type="paragraph" w:customStyle="1" w:styleId="41">
    <w:name w:val="Знак Знак41"/>
    <w:basedOn w:val="Normal"/>
    <w:rsid w:val="00060470"/>
    <w:pPr>
      <w:tabs>
        <w:tab w:val="left" w:pos="709"/>
      </w:tabs>
      <w:spacing w:before="0" w:line="240" w:lineRule="auto"/>
      <w:jc w:val="left"/>
    </w:pPr>
    <w:rPr>
      <w:rFonts w:ascii="Tahoma" w:eastAsia="Calibri" w:hAnsi="Tahoma"/>
      <w:sz w:val="24"/>
      <w:lang w:val="pl-PL" w:eastAsia="pl-PL"/>
    </w:rPr>
  </w:style>
  <w:style w:type="paragraph" w:customStyle="1" w:styleId="Char13">
    <w:name w:val="Знак Char Знак1"/>
    <w:basedOn w:val="Normal"/>
    <w:rsid w:val="00060470"/>
    <w:pPr>
      <w:spacing w:before="0" w:after="160" w:line="240" w:lineRule="exact"/>
      <w:jc w:val="left"/>
    </w:pPr>
    <w:rPr>
      <w:rFonts w:ascii="Arial" w:eastAsia="Batang" w:hAnsi="Arial" w:cs="Arial"/>
      <w:sz w:val="20"/>
      <w:szCs w:val="20"/>
      <w:lang w:val="en-US" w:eastAsia="en-US"/>
    </w:rPr>
  </w:style>
  <w:style w:type="paragraph" w:customStyle="1" w:styleId="CharCharCharCharCharChar1">
    <w:name w:val="Знак Знак Char Char Знак Знак Char Char Знак Знак Char Char1"/>
    <w:basedOn w:val="Normal"/>
    <w:autoRedefine/>
    <w:rsid w:val="00060470"/>
    <w:pPr>
      <w:spacing w:before="0" w:after="160" w:line="240" w:lineRule="exact"/>
      <w:jc w:val="left"/>
    </w:pPr>
    <w:rPr>
      <w:rFonts w:ascii="Times New Roman" w:eastAsia="Calibri" w:hAnsi="Times New Roman"/>
      <w:sz w:val="28"/>
      <w:szCs w:val="20"/>
      <w:lang w:val="en-US" w:eastAsia="en-US"/>
    </w:rPr>
  </w:style>
  <w:style w:type="paragraph" w:customStyle="1" w:styleId="212">
    <w:name w:val="Знак Знак21"/>
    <w:basedOn w:val="Normal"/>
    <w:rsid w:val="00060470"/>
    <w:pPr>
      <w:spacing w:before="0" w:after="160" w:line="240" w:lineRule="exact"/>
      <w:jc w:val="left"/>
    </w:pPr>
    <w:rPr>
      <w:rFonts w:ascii="Arial" w:eastAsia="Calibri" w:hAnsi="Arial" w:cs="Arial"/>
      <w:sz w:val="20"/>
      <w:szCs w:val="20"/>
      <w:lang w:val="en-US" w:eastAsia="en-US"/>
    </w:rPr>
  </w:style>
  <w:style w:type="paragraph" w:customStyle="1" w:styleId="CharCharCharCharChar10">
    <w:name w:val="Char Char Char Char Char1"/>
    <w:basedOn w:val="Normal"/>
    <w:rsid w:val="00060470"/>
    <w:pPr>
      <w:spacing w:before="0" w:after="160" w:line="240" w:lineRule="exact"/>
      <w:jc w:val="left"/>
    </w:pPr>
    <w:rPr>
      <w:rFonts w:ascii="Arial" w:eastAsia="Calibri" w:hAnsi="Arial" w:cs="Arial"/>
      <w:sz w:val="20"/>
      <w:szCs w:val="20"/>
      <w:lang w:val="en-US" w:eastAsia="en-US"/>
    </w:rPr>
  </w:style>
  <w:style w:type="paragraph" w:styleId="Quote">
    <w:name w:val="Quote"/>
    <w:basedOn w:val="Normal"/>
    <w:next w:val="Normal"/>
    <w:link w:val="QuoteChar"/>
    <w:uiPriority w:val="29"/>
    <w:qFormat/>
    <w:rsid w:val="00060470"/>
    <w:pPr>
      <w:spacing w:before="0" w:line="240" w:lineRule="auto"/>
      <w:jc w:val="left"/>
    </w:pPr>
    <w:rPr>
      <w:rFonts w:ascii="Times New Roman" w:hAnsi="Times New Roman"/>
      <w:i/>
      <w:iCs/>
      <w:color w:val="000000"/>
      <w:sz w:val="24"/>
    </w:rPr>
  </w:style>
  <w:style w:type="character" w:customStyle="1" w:styleId="QuoteChar">
    <w:name w:val="Quote Char"/>
    <w:basedOn w:val="DefaultParagraphFont"/>
    <w:link w:val="Quote"/>
    <w:uiPriority w:val="29"/>
    <w:rsid w:val="00060470"/>
    <w:rPr>
      <w:i/>
      <w:iCs/>
      <w:color w:val="000000"/>
      <w:sz w:val="24"/>
      <w:szCs w:val="24"/>
    </w:rPr>
  </w:style>
  <w:style w:type="character" w:styleId="IntenseEmphasis">
    <w:name w:val="Intense Emphasis"/>
    <w:uiPriority w:val="21"/>
    <w:qFormat/>
    <w:rsid w:val="00060470"/>
    <w:rPr>
      <w:b/>
      <w:bCs/>
      <w:i/>
      <w:iCs/>
      <w:color w:val="4F81BD"/>
    </w:rPr>
  </w:style>
  <w:style w:type="table" w:styleId="LightList-Accent1">
    <w:name w:val="Light List Accent 1"/>
    <w:basedOn w:val="TableNormal"/>
    <w:uiPriority w:val="61"/>
    <w:rsid w:val="000604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uiPriority w:val="99"/>
    <w:rsid w:val="000604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06047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06047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uiPriority w:val="99"/>
    <w:rsid w:val="000604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uiPriority w:val="99"/>
    <w:rsid w:val="000604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uiPriority w:val="99"/>
    <w:rsid w:val="000604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uiPriority w:val="99"/>
    <w:rsid w:val="000604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uiPriority w:val="99"/>
    <w:rsid w:val="000604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qFormat/>
    <w:rsid w:val="00060470"/>
    <w:pPr>
      <w:spacing w:before="0" w:line="240" w:lineRule="auto"/>
      <w:ind w:left="720"/>
      <w:jc w:val="left"/>
    </w:pPr>
    <w:rPr>
      <w:rFonts w:ascii="Times New Roman" w:hAnsi="Times New Roman"/>
      <w:sz w:val="24"/>
    </w:rPr>
  </w:style>
  <w:style w:type="character" w:customStyle="1" w:styleId="A00">
    <w:name w:val="A0"/>
    <w:rsid w:val="00060470"/>
    <w:rPr>
      <w:color w:val="000000"/>
      <w:sz w:val="56"/>
      <w:szCs w:val="56"/>
    </w:rPr>
  </w:style>
  <w:style w:type="character" w:customStyle="1" w:styleId="1a">
    <w:name w:val="Текст сноски Знак1"/>
    <w:semiHidden/>
    <w:rsid w:val="00060470"/>
    <w:rPr>
      <w:sz w:val="20"/>
      <w:szCs w:val="20"/>
    </w:rPr>
  </w:style>
  <w:style w:type="character" w:customStyle="1" w:styleId="CharChar28">
    <w:name w:val="Char Char28"/>
    <w:rsid w:val="00060470"/>
    <w:rPr>
      <w:rFonts w:ascii="Arial Armenian" w:hAnsi="Arial Armenian"/>
      <w:i/>
      <w:sz w:val="22"/>
      <w:u w:val="single"/>
      <w:lang w:val="en-GB"/>
    </w:rPr>
  </w:style>
  <w:style w:type="character" w:customStyle="1" w:styleId="CharChar27">
    <w:name w:val="Char Char27"/>
    <w:rsid w:val="00060470"/>
    <w:rPr>
      <w:rFonts w:ascii="Garamond" w:hAnsi="Garamond"/>
      <w:i/>
      <w:spacing w:val="-5"/>
      <w:sz w:val="28"/>
      <w:shd w:val="pct5" w:color="auto" w:fill="auto"/>
      <w:lang w:val="en-GB"/>
    </w:rPr>
  </w:style>
  <w:style w:type="character" w:customStyle="1" w:styleId="CharChar26">
    <w:name w:val="Char Char26"/>
    <w:rsid w:val="00060470"/>
    <w:rPr>
      <w:rFonts w:ascii="Arial Black" w:hAnsi="Arial Black"/>
      <w:caps/>
      <w:spacing w:val="60"/>
      <w:position w:val="4"/>
      <w:sz w:val="14"/>
      <w:lang w:val="en-GB"/>
    </w:rPr>
  </w:style>
  <w:style w:type="character" w:customStyle="1" w:styleId="CharChar25">
    <w:name w:val="Char Char25"/>
    <w:rsid w:val="00060470"/>
    <w:rPr>
      <w:rFonts w:ascii="Garamond" w:hAnsi="Garamond"/>
      <w:b/>
      <w:i/>
      <w:kern w:val="28"/>
      <w:lang w:val="en-GB"/>
    </w:rPr>
  </w:style>
  <w:style w:type="character" w:customStyle="1" w:styleId="CharChar241">
    <w:name w:val="Char Char241"/>
    <w:rsid w:val="00060470"/>
    <w:rPr>
      <w:rFonts w:ascii="Arial Armenian" w:hAnsi="Arial Armenian"/>
      <w:noProof/>
      <w:lang w:val="en-US" w:eastAsia="en-US" w:bidi="ar-SA"/>
    </w:rPr>
  </w:style>
  <w:style w:type="character" w:customStyle="1" w:styleId="CharChar231">
    <w:name w:val="Char Char231"/>
    <w:rsid w:val="00060470"/>
    <w:rPr>
      <w:rFonts w:ascii="Arial Armenian" w:hAnsi="Arial Armenian"/>
      <w:lang w:val="en-GB" w:eastAsia="en-US" w:bidi="ar-SA"/>
    </w:rPr>
  </w:style>
  <w:style w:type="character" w:customStyle="1" w:styleId="CharChar221">
    <w:name w:val="Char Char221"/>
    <w:rsid w:val="00060470"/>
    <w:rPr>
      <w:rFonts w:ascii="Arial Armenian" w:hAnsi="Arial Armenian"/>
      <w:lang w:val="ru-RU" w:eastAsia="ru-RU" w:bidi="ar-SA"/>
    </w:rPr>
  </w:style>
  <w:style w:type="paragraph" w:customStyle="1" w:styleId="Outline">
    <w:name w:val="Outline"/>
    <w:basedOn w:val="Normal"/>
    <w:rsid w:val="00060470"/>
    <w:pPr>
      <w:spacing w:before="240" w:line="240" w:lineRule="auto"/>
      <w:jc w:val="left"/>
    </w:pPr>
    <w:rPr>
      <w:rFonts w:ascii="Times New Roman" w:hAnsi="Times New Roman"/>
      <w:kern w:val="28"/>
      <w:sz w:val="24"/>
      <w:szCs w:val="20"/>
      <w:lang w:val="en-US" w:eastAsia="en-US"/>
    </w:rPr>
  </w:style>
  <w:style w:type="paragraph" w:customStyle="1" w:styleId="ab">
    <w:name w:val="Îáû÷íûé"/>
    <w:rsid w:val="00060470"/>
    <w:rPr>
      <w:rFonts w:ascii="Times Armenian" w:hAnsi="Times Armenian"/>
      <w:sz w:val="24"/>
    </w:rPr>
  </w:style>
  <w:style w:type="paragraph" w:customStyle="1" w:styleId="Style13">
    <w:name w:val="Style13"/>
    <w:basedOn w:val="Normal"/>
    <w:rsid w:val="00060470"/>
    <w:pPr>
      <w:widowControl w:val="0"/>
      <w:autoSpaceDE w:val="0"/>
      <w:autoSpaceDN w:val="0"/>
      <w:adjustRightInd w:val="0"/>
      <w:spacing w:before="0" w:line="240" w:lineRule="auto"/>
      <w:jc w:val="left"/>
    </w:pPr>
    <w:rPr>
      <w:rFonts w:ascii="Tahoma" w:eastAsia="SimSun" w:hAnsi="Tahoma" w:cs="Tahoma"/>
      <w:sz w:val="24"/>
      <w:lang w:val="en-US" w:eastAsia="en-US"/>
    </w:rPr>
  </w:style>
  <w:style w:type="character" w:customStyle="1" w:styleId="FontStyle27">
    <w:name w:val="Font Style27"/>
    <w:rsid w:val="00060470"/>
    <w:rPr>
      <w:rFonts w:ascii="Tahoma" w:hAnsi="Tahoma" w:cs="Tahoma" w:hint="default"/>
      <w:sz w:val="14"/>
      <w:szCs w:val="14"/>
    </w:rPr>
  </w:style>
  <w:style w:type="paragraph" w:customStyle="1" w:styleId="Style14">
    <w:name w:val="Style14"/>
    <w:basedOn w:val="Normal"/>
    <w:rsid w:val="00060470"/>
    <w:pPr>
      <w:widowControl w:val="0"/>
      <w:autoSpaceDE w:val="0"/>
      <w:autoSpaceDN w:val="0"/>
      <w:adjustRightInd w:val="0"/>
      <w:spacing w:before="0" w:line="211" w:lineRule="exact"/>
      <w:jc w:val="left"/>
    </w:pPr>
    <w:rPr>
      <w:rFonts w:ascii="Tahoma" w:eastAsia="SimSun" w:hAnsi="Tahoma" w:cs="Tahoma"/>
      <w:sz w:val="24"/>
      <w:lang w:val="en-US" w:eastAsia="en-US"/>
    </w:rPr>
  </w:style>
  <w:style w:type="character" w:customStyle="1" w:styleId="FontStyle26">
    <w:name w:val="Font Style26"/>
    <w:rsid w:val="00060470"/>
    <w:rPr>
      <w:rFonts w:ascii="Tahoma" w:hAnsi="Tahoma" w:cs="Tahoma" w:hint="default"/>
      <w:i/>
      <w:iCs/>
      <w:spacing w:val="10"/>
      <w:sz w:val="16"/>
      <w:szCs w:val="16"/>
    </w:rPr>
  </w:style>
  <w:style w:type="character" w:customStyle="1" w:styleId="FontStyle53">
    <w:name w:val="Font Style53"/>
    <w:rsid w:val="00060470"/>
    <w:rPr>
      <w:rFonts w:ascii="Sylfaen" w:hAnsi="Sylfaen"/>
      <w:sz w:val="18"/>
    </w:rPr>
  </w:style>
  <w:style w:type="character" w:customStyle="1" w:styleId="shorttext">
    <w:name w:val="short_text"/>
    <w:rsid w:val="00060470"/>
    <w:rPr>
      <w:rFonts w:cs="Times New Roman"/>
    </w:rPr>
  </w:style>
  <w:style w:type="table" w:customStyle="1" w:styleId="LightList-Accent11">
    <w:name w:val="Light List - Accent 11"/>
    <w:basedOn w:val="TableNormal"/>
    <w:uiPriority w:val="61"/>
    <w:rsid w:val="000604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b">
    <w:name w:val="Нет списка1"/>
    <w:next w:val="NoList"/>
    <w:semiHidden/>
    <w:unhideWhenUsed/>
    <w:rsid w:val="00060470"/>
  </w:style>
  <w:style w:type="paragraph" w:customStyle="1" w:styleId="NoSpacing1">
    <w:name w:val="No Spacing1"/>
    <w:qFormat/>
    <w:rsid w:val="00060470"/>
    <w:rPr>
      <w:rFonts w:ascii="Calibri" w:hAnsi="Calibri"/>
      <w:sz w:val="22"/>
      <w:szCs w:val="22"/>
    </w:rPr>
  </w:style>
  <w:style w:type="paragraph" w:customStyle="1" w:styleId="26">
    <w:name w:val="Обычный2"/>
    <w:rsid w:val="00060470"/>
    <w:pPr>
      <w:autoSpaceDE w:val="0"/>
      <w:autoSpaceDN w:val="0"/>
    </w:pPr>
    <w:rPr>
      <w:lang w:val="ru-RU" w:eastAsia="ru-RU"/>
    </w:rPr>
  </w:style>
  <w:style w:type="paragraph" w:customStyle="1" w:styleId="Revision1">
    <w:name w:val="Revision1"/>
    <w:hidden/>
    <w:semiHidden/>
    <w:rsid w:val="00060470"/>
    <w:rPr>
      <w:rFonts w:ascii="Arial Armenian" w:hAnsi="Arial Armenian" w:cs="Sylfaen"/>
      <w:sz w:val="24"/>
      <w:szCs w:val="24"/>
      <w:lang w:val="ru-RU" w:eastAsia="ru-RU"/>
    </w:rPr>
  </w:style>
  <w:style w:type="paragraph" w:customStyle="1" w:styleId="TOCHeading1">
    <w:name w:val="TOC Heading1"/>
    <w:basedOn w:val="Heading1"/>
    <w:next w:val="Normal"/>
    <w:qFormat/>
    <w:rsid w:val="00060470"/>
    <w:pPr>
      <w:keepLines/>
      <w:spacing w:before="480"/>
      <w:outlineLvl w:val="9"/>
    </w:pPr>
    <w:rPr>
      <w:rFonts w:ascii="Cambria" w:hAnsi="Cambria"/>
      <w:bCs w:val="0"/>
      <w:color w:val="365F91"/>
      <w:szCs w:val="28"/>
    </w:rPr>
  </w:style>
  <w:style w:type="character" w:customStyle="1" w:styleId="NoSpacingChar1">
    <w:name w:val="No Spacing Char1"/>
    <w:rsid w:val="00060470"/>
    <w:rPr>
      <w:rFonts w:ascii="Calibri" w:eastAsia="Times New Roman" w:hAnsi="Calibri" w:cs="Times New Roman"/>
      <w:lang w:val="en-US"/>
    </w:rPr>
  </w:style>
  <w:style w:type="paragraph" w:customStyle="1" w:styleId="Quote1">
    <w:name w:val="Quote1"/>
    <w:basedOn w:val="Normal"/>
    <w:next w:val="Normal"/>
    <w:qFormat/>
    <w:rsid w:val="00060470"/>
    <w:pPr>
      <w:spacing w:before="0" w:line="240" w:lineRule="auto"/>
      <w:jc w:val="left"/>
    </w:pPr>
    <w:rPr>
      <w:rFonts w:ascii="Times New Roman" w:hAnsi="Times New Roman"/>
      <w:i/>
      <w:iCs/>
      <w:color w:val="000000"/>
      <w:sz w:val="24"/>
    </w:rPr>
  </w:style>
  <w:style w:type="character" w:customStyle="1" w:styleId="IntenseEmphasis1">
    <w:name w:val="Intense Emphasis1"/>
    <w:qFormat/>
    <w:rsid w:val="00060470"/>
    <w:rPr>
      <w:b/>
      <w:bCs/>
      <w:i/>
      <w:iCs/>
      <w:color w:val="4F81BD"/>
    </w:rPr>
  </w:style>
  <w:style w:type="table" w:customStyle="1" w:styleId="ColorfulGrid-Accent11">
    <w:name w:val="Colorful Grid - Accent 11"/>
    <w:basedOn w:val="TableNormal"/>
    <w:rsid w:val="00060470"/>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060470"/>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060470"/>
    <w:pPr>
      <w:widowControl w:val="0"/>
      <w:suppressAutoHyphens/>
      <w:autoSpaceDN w:val="0"/>
      <w:textAlignment w:val="baseline"/>
    </w:pPr>
    <w:rPr>
      <w:rFonts w:ascii="Calibri" w:hAnsi="Calibri"/>
      <w:kern w:val="3"/>
      <w:sz w:val="24"/>
      <w:szCs w:val="24"/>
    </w:rPr>
  </w:style>
  <w:style w:type="character" w:customStyle="1" w:styleId="PageNumber1">
    <w:name w:val="Page Number1"/>
    <w:rsid w:val="00060470"/>
    <w:rPr>
      <w:rFonts w:cs="Times New Roman"/>
    </w:rPr>
  </w:style>
  <w:style w:type="character" w:customStyle="1" w:styleId="ac">
    <w:name w:val="Основной текст_"/>
    <w:link w:val="50"/>
    <w:rsid w:val="00060470"/>
    <w:rPr>
      <w:rFonts w:ascii="Sylfaen" w:hAnsi="Sylfaen" w:cs="Sylfaen"/>
      <w:spacing w:val="20"/>
      <w:w w:val="80"/>
      <w:shd w:val="clear" w:color="auto" w:fill="FFFFFF"/>
    </w:rPr>
  </w:style>
  <w:style w:type="character" w:customStyle="1" w:styleId="27">
    <w:name w:val="Основной текст (2)_"/>
    <w:rsid w:val="00060470"/>
    <w:rPr>
      <w:rFonts w:ascii="Sylfaen" w:hAnsi="Sylfaen" w:cs="Sylfaen"/>
      <w:i/>
      <w:iCs/>
      <w:shd w:val="clear" w:color="auto" w:fill="FFFFFF"/>
    </w:rPr>
  </w:style>
  <w:style w:type="character" w:customStyle="1" w:styleId="34">
    <w:name w:val="Основной текст (3)_"/>
    <w:rsid w:val="00060470"/>
    <w:rPr>
      <w:rFonts w:ascii="Sylfaen" w:hAnsi="Sylfaen" w:cs="Sylfaen"/>
      <w:spacing w:val="20"/>
      <w:w w:val="80"/>
      <w:sz w:val="21"/>
      <w:szCs w:val="21"/>
      <w:shd w:val="clear" w:color="auto" w:fill="FFFFFF"/>
    </w:rPr>
  </w:style>
  <w:style w:type="character" w:customStyle="1" w:styleId="311pt">
    <w:name w:val="Основной текст (3) + 11 pt"/>
    <w:rsid w:val="00060470"/>
    <w:rPr>
      <w:rFonts w:ascii="Sylfaen" w:hAnsi="Sylfaen" w:cs="Sylfaen"/>
      <w:i/>
      <w:iCs/>
      <w:spacing w:val="0"/>
      <w:w w:val="100"/>
      <w:sz w:val="22"/>
      <w:szCs w:val="22"/>
      <w:shd w:val="clear" w:color="auto" w:fill="FFFFFF"/>
    </w:rPr>
  </w:style>
  <w:style w:type="character" w:customStyle="1" w:styleId="311pt1">
    <w:name w:val="Основной текст (3) + 11 pt1"/>
    <w:rsid w:val="00060470"/>
    <w:rPr>
      <w:rFonts w:ascii="Sylfaen" w:hAnsi="Sylfaen" w:cs="Sylfaen"/>
      <w:spacing w:val="0"/>
      <w:w w:val="100"/>
      <w:sz w:val="22"/>
      <w:szCs w:val="22"/>
      <w:shd w:val="clear" w:color="auto" w:fill="FFFFFF"/>
    </w:rPr>
  </w:style>
  <w:style w:type="character" w:customStyle="1" w:styleId="28">
    <w:name w:val="Основной текст2"/>
    <w:rsid w:val="00060470"/>
  </w:style>
  <w:style w:type="character" w:customStyle="1" w:styleId="42">
    <w:name w:val="Основной текст (4)_"/>
    <w:rsid w:val="00060470"/>
    <w:rPr>
      <w:rFonts w:ascii="Sylfaen" w:hAnsi="Sylfaen" w:cs="Sylfaen"/>
      <w:spacing w:val="20"/>
      <w:w w:val="80"/>
      <w:shd w:val="clear" w:color="auto" w:fill="FFFFFF"/>
    </w:rPr>
  </w:style>
  <w:style w:type="character" w:customStyle="1" w:styleId="4pt">
    <w:name w:val="Основной текст + 4 pt"/>
    <w:rsid w:val="00060470"/>
    <w:rPr>
      <w:rFonts w:ascii="Sylfaen" w:hAnsi="Sylfaen" w:cs="Sylfaen"/>
      <w:i/>
      <w:iCs/>
      <w:spacing w:val="0"/>
      <w:w w:val="100"/>
      <w:sz w:val="8"/>
      <w:szCs w:val="8"/>
      <w:shd w:val="clear" w:color="auto" w:fill="FFFFFF"/>
    </w:rPr>
  </w:style>
  <w:style w:type="character" w:customStyle="1" w:styleId="1c">
    <w:name w:val="Заголовок №1_"/>
    <w:rsid w:val="00060470"/>
    <w:rPr>
      <w:rFonts w:ascii="Sylfaen" w:hAnsi="Sylfaen" w:cs="Sylfaen"/>
      <w:i/>
      <w:iCs/>
      <w:spacing w:val="-30"/>
      <w:sz w:val="31"/>
      <w:szCs w:val="31"/>
      <w:shd w:val="clear" w:color="auto" w:fill="FFFFFF"/>
    </w:rPr>
  </w:style>
  <w:style w:type="character" w:customStyle="1" w:styleId="1110">
    <w:name w:val="Заголовок №1 + 11"/>
    <w:rsid w:val="00060470"/>
    <w:rPr>
      <w:rFonts w:ascii="Sylfaen" w:hAnsi="Sylfaen" w:cs="Sylfaen"/>
      <w:i/>
      <w:iCs/>
      <w:spacing w:val="-20"/>
      <w:sz w:val="23"/>
      <w:szCs w:val="23"/>
      <w:shd w:val="clear" w:color="auto" w:fill="FFFFFF"/>
    </w:rPr>
  </w:style>
  <w:style w:type="character" w:customStyle="1" w:styleId="Sylfaen2">
    <w:name w:val="Основной текст + Sylfaen2"/>
    <w:rsid w:val="00060470"/>
    <w:rPr>
      <w:rFonts w:ascii="Sylfaen" w:hAnsi="Sylfaen" w:cs="Sylfaen"/>
      <w:spacing w:val="20"/>
      <w:w w:val="80"/>
      <w:sz w:val="22"/>
      <w:szCs w:val="22"/>
      <w:u w:val="none"/>
      <w:shd w:val="clear" w:color="auto" w:fill="FFFFFF"/>
    </w:rPr>
  </w:style>
  <w:style w:type="character" w:customStyle="1" w:styleId="Sylfaen1">
    <w:name w:val="Основной текст + Sylfaen1"/>
    <w:rsid w:val="00060470"/>
    <w:rPr>
      <w:rFonts w:ascii="Sylfaen" w:hAnsi="Sylfaen" w:cs="Sylfaen"/>
      <w:spacing w:val="20"/>
      <w:w w:val="80"/>
      <w:sz w:val="20"/>
      <w:szCs w:val="20"/>
      <w:u w:val="none"/>
      <w:shd w:val="clear" w:color="auto" w:fill="FFFFFF"/>
    </w:rPr>
  </w:style>
  <w:style w:type="character" w:customStyle="1" w:styleId="ad">
    <w:name w:val="Основной текст + Полужирный"/>
    <w:rsid w:val="00060470"/>
    <w:rPr>
      <w:rFonts w:ascii="Sylfaen" w:hAnsi="Sylfaen" w:cs="Sylfaen"/>
      <w:b/>
      <w:bCs/>
      <w:spacing w:val="20"/>
      <w:w w:val="80"/>
      <w:sz w:val="21"/>
      <w:szCs w:val="21"/>
      <w:u w:val="none"/>
      <w:shd w:val="clear" w:color="auto" w:fill="FFFFFF"/>
    </w:rPr>
  </w:style>
  <w:style w:type="character" w:customStyle="1" w:styleId="ListLabel1">
    <w:name w:val="ListLabel 1"/>
    <w:rsid w:val="00060470"/>
    <w:rPr>
      <w:rFonts w:eastAsia="Times New Roman"/>
      <w:color w:val="000000"/>
    </w:rPr>
  </w:style>
  <w:style w:type="character" w:customStyle="1" w:styleId="ListLabel2">
    <w:name w:val="ListLabel 2"/>
    <w:rsid w:val="00060470"/>
  </w:style>
  <w:style w:type="character" w:customStyle="1" w:styleId="ListLabel3">
    <w:name w:val="ListLabel 3"/>
    <w:rsid w:val="00060470"/>
  </w:style>
  <w:style w:type="character" w:customStyle="1" w:styleId="ListLabel4">
    <w:name w:val="ListLabel 4"/>
    <w:rsid w:val="00060470"/>
  </w:style>
  <w:style w:type="character" w:customStyle="1" w:styleId="ListLabel5">
    <w:name w:val="ListLabel 5"/>
    <w:rsid w:val="00060470"/>
    <w:rPr>
      <w:color w:val="auto"/>
    </w:rPr>
  </w:style>
  <w:style w:type="character" w:customStyle="1" w:styleId="ListLabel6">
    <w:name w:val="ListLabel 6"/>
    <w:rsid w:val="00060470"/>
    <w:rPr>
      <w:b/>
      <w:i/>
    </w:rPr>
  </w:style>
  <w:style w:type="character" w:customStyle="1" w:styleId="ListLabel7">
    <w:name w:val="ListLabel 7"/>
    <w:rsid w:val="00060470"/>
    <w:rPr>
      <w:sz w:val="24"/>
    </w:rPr>
  </w:style>
  <w:style w:type="character" w:customStyle="1" w:styleId="ListLabel8">
    <w:name w:val="ListLabel 8"/>
    <w:rsid w:val="00060470"/>
    <w:rPr>
      <w:rFonts w:eastAsia="Times New Roman"/>
    </w:rPr>
  </w:style>
  <w:style w:type="paragraph" w:customStyle="1" w:styleId="Heading">
    <w:name w:val="Heading"/>
    <w:basedOn w:val="Normal"/>
    <w:next w:val="BodyText"/>
    <w:rsid w:val="00060470"/>
    <w:pPr>
      <w:keepNext/>
      <w:suppressAutoHyphens/>
      <w:spacing w:before="240" w:after="120"/>
      <w:jc w:val="left"/>
    </w:pPr>
    <w:rPr>
      <w:rFonts w:ascii="Liberation Sans" w:hAnsi="Liberation Sans" w:cs="Liberation Sans"/>
      <w:kern w:val="1"/>
      <w:sz w:val="28"/>
      <w:szCs w:val="28"/>
      <w:lang w:val="en-US" w:eastAsia="en-US"/>
    </w:rPr>
  </w:style>
  <w:style w:type="paragraph" w:styleId="List">
    <w:name w:val="List"/>
    <w:basedOn w:val="BodyText"/>
    <w:rsid w:val="00060470"/>
    <w:pPr>
      <w:suppressAutoHyphens/>
      <w:spacing w:before="0" w:after="120" w:line="288" w:lineRule="auto"/>
      <w:jc w:val="left"/>
    </w:pPr>
    <w:rPr>
      <w:rFonts w:ascii="GHEA Grapalat" w:hAnsi="GHEA Grapalat" w:cs="GHEA Grapalat"/>
      <w:kern w:val="1"/>
      <w:sz w:val="22"/>
      <w:szCs w:val="22"/>
    </w:rPr>
  </w:style>
  <w:style w:type="paragraph" w:customStyle="1" w:styleId="Index">
    <w:name w:val="Index"/>
    <w:basedOn w:val="Normal"/>
    <w:rsid w:val="00060470"/>
    <w:pPr>
      <w:suppressLineNumbers/>
      <w:suppressAutoHyphens/>
      <w:spacing w:before="0" w:after="200"/>
      <w:jc w:val="left"/>
    </w:pPr>
    <w:rPr>
      <w:rFonts w:ascii="Calibri" w:hAnsi="Calibri" w:cs="Calibri"/>
      <w:kern w:val="1"/>
      <w:szCs w:val="22"/>
      <w:lang w:val="en-US" w:eastAsia="en-US"/>
    </w:rPr>
  </w:style>
  <w:style w:type="paragraph" w:customStyle="1" w:styleId="ae">
    <w:name w:val="Стиль Знак"/>
    <w:basedOn w:val="Normal"/>
    <w:rsid w:val="00060470"/>
    <w:pPr>
      <w:suppressAutoHyphens/>
      <w:spacing w:before="0" w:after="160" w:line="240" w:lineRule="exact"/>
      <w:jc w:val="left"/>
    </w:pPr>
    <w:rPr>
      <w:rFonts w:ascii="Arial" w:hAnsi="Arial" w:cs="Arial"/>
      <w:kern w:val="1"/>
      <w:sz w:val="20"/>
      <w:szCs w:val="20"/>
      <w:lang w:val="en-US" w:eastAsia="en-US"/>
    </w:rPr>
  </w:style>
  <w:style w:type="paragraph" w:customStyle="1" w:styleId="115">
    <w:name w:val="Без интервала11"/>
    <w:uiPriority w:val="1"/>
    <w:qFormat/>
    <w:rsid w:val="00060470"/>
    <w:pPr>
      <w:suppressAutoHyphens/>
    </w:pPr>
    <w:rPr>
      <w:rFonts w:ascii="GHEA Grapalat" w:hAnsi="GHEA Grapalat" w:cs="GHEA Grapalat"/>
      <w:kern w:val="1"/>
      <w:sz w:val="22"/>
      <w:szCs w:val="22"/>
    </w:rPr>
  </w:style>
  <w:style w:type="paragraph" w:customStyle="1" w:styleId="Iacaaiea">
    <w:name w:val="Iacaaiea"/>
    <w:basedOn w:val="Normal"/>
    <w:rsid w:val="00060470"/>
    <w:pPr>
      <w:widowControl w:val="0"/>
      <w:suppressAutoHyphens/>
      <w:spacing w:before="0" w:line="240" w:lineRule="auto"/>
      <w:jc w:val="center"/>
    </w:pPr>
    <w:rPr>
      <w:rFonts w:ascii="Times LatArm" w:hAnsi="Times LatArm" w:cs="Times LatArm"/>
      <w:kern w:val="1"/>
      <w:sz w:val="24"/>
      <w:lang w:val="en-US" w:eastAsia="en-US"/>
    </w:rPr>
  </w:style>
  <w:style w:type="paragraph" w:customStyle="1" w:styleId="1d">
    <w:name w:val="Основной текст1"/>
    <w:basedOn w:val="Normal"/>
    <w:rsid w:val="00060470"/>
    <w:pPr>
      <w:suppressAutoHyphens/>
      <w:spacing w:before="0" w:after="200"/>
      <w:jc w:val="left"/>
    </w:pPr>
    <w:rPr>
      <w:rFonts w:ascii="Sylfaen" w:hAnsi="Sylfaen" w:cs="Sylfaen"/>
      <w:spacing w:val="20"/>
      <w:w w:val="80"/>
      <w:kern w:val="1"/>
      <w:sz w:val="20"/>
      <w:szCs w:val="20"/>
      <w:shd w:val="clear" w:color="auto" w:fill="FFFFFF"/>
    </w:rPr>
  </w:style>
  <w:style w:type="paragraph" w:customStyle="1" w:styleId="29">
    <w:name w:val="Основной текст (2)"/>
    <w:basedOn w:val="Normal"/>
    <w:rsid w:val="00060470"/>
    <w:pPr>
      <w:suppressAutoHyphens/>
      <w:spacing w:before="0" w:after="200"/>
      <w:jc w:val="left"/>
    </w:pPr>
    <w:rPr>
      <w:rFonts w:ascii="Sylfaen" w:hAnsi="Sylfaen" w:cs="Sylfaen"/>
      <w:i/>
      <w:iCs/>
      <w:kern w:val="1"/>
      <w:sz w:val="20"/>
      <w:szCs w:val="20"/>
      <w:shd w:val="clear" w:color="auto" w:fill="FFFFFF"/>
    </w:rPr>
  </w:style>
  <w:style w:type="paragraph" w:customStyle="1" w:styleId="35">
    <w:name w:val="Основной текст (3)"/>
    <w:basedOn w:val="Normal"/>
    <w:rsid w:val="00060470"/>
    <w:pPr>
      <w:suppressAutoHyphens/>
      <w:spacing w:before="0" w:after="200"/>
      <w:jc w:val="left"/>
    </w:pPr>
    <w:rPr>
      <w:rFonts w:ascii="Sylfaen" w:hAnsi="Sylfaen" w:cs="Sylfaen"/>
      <w:spacing w:val="20"/>
      <w:w w:val="80"/>
      <w:kern w:val="1"/>
      <w:sz w:val="21"/>
      <w:szCs w:val="21"/>
      <w:shd w:val="clear" w:color="auto" w:fill="FFFFFF"/>
    </w:rPr>
  </w:style>
  <w:style w:type="paragraph" w:customStyle="1" w:styleId="43">
    <w:name w:val="Основной текст (4)"/>
    <w:basedOn w:val="Normal"/>
    <w:rsid w:val="00060470"/>
    <w:pPr>
      <w:suppressAutoHyphens/>
      <w:spacing w:before="0" w:after="200"/>
      <w:jc w:val="left"/>
    </w:pPr>
    <w:rPr>
      <w:rFonts w:ascii="Sylfaen" w:hAnsi="Sylfaen" w:cs="Sylfaen"/>
      <w:spacing w:val="20"/>
      <w:w w:val="80"/>
      <w:kern w:val="1"/>
      <w:sz w:val="20"/>
      <w:szCs w:val="20"/>
      <w:shd w:val="clear" w:color="auto" w:fill="FFFFFF"/>
    </w:rPr>
  </w:style>
  <w:style w:type="paragraph" w:customStyle="1" w:styleId="1e">
    <w:name w:val="Заголовок №1"/>
    <w:basedOn w:val="Normal"/>
    <w:rsid w:val="00060470"/>
    <w:pPr>
      <w:suppressAutoHyphens/>
      <w:spacing w:before="0" w:after="200"/>
      <w:jc w:val="left"/>
    </w:pPr>
    <w:rPr>
      <w:rFonts w:ascii="Sylfaen" w:hAnsi="Sylfaen" w:cs="Sylfaen"/>
      <w:i/>
      <w:iCs/>
      <w:spacing w:val="-30"/>
      <w:kern w:val="1"/>
      <w:sz w:val="31"/>
      <w:szCs w:val="31"/>
      <w:shd w:val="clear" w:color="auto" w:fill="FFFFFF"/>
    </w:rPr>
  </w:style>
  <w:style w:type="paragraph" w:customStyle="1" w:styleId="CharCharCharCharChar11">
    <w:name w:val="Char Char Char Знак Знак Char Char Знак Знак1"/>
    <w:basedOn w:val="Normal"/>
    <w:rsid w:val="00060470"/>
    <w:pPr>
      <w:suppressAutoHyphens/>
      <w:spacing w:before="0" w:after="160" w:line="240" w:lineRule="exact"/>
      <w:jc w:val="left"/>
    </w:pPr>
    <w:rPr>
      <w:rFonts w:ascii="Arial" w:hAnsi="Arial" w:cs="Arial"/>
      <w:kern w:val="1"/>
      <w:sz w:val="20"/>
      <w:szCs w:val="20"/>
      <w:lang w:val="en-US" w:eastAsia="en-US"/>
    </w:rPr>
  </w:style>
  <w:style w:type="paragraph" w:customStyle="1" w:styleId="FrameContents">
    <w:name w:val="Frame Contents"/>
    <w:basedOn w:val="Normal"/>
    <w:rsid w:val="00060470"/>
    <w:pPr>
      <w:suppressAutoHyphens/>
      <w:spacing w:before="0" w:after="200"/>
      <w:jc w:val="left"/>
    </w:pPr>
    <w:rPr>
      <w:rFonts w:ascii="Calibri" w:hAnsi="Calibri" w:cs="Calibri"/>
      <w:kern w:val="1"/>
      <w:szCs w:val="22"/>
      <w:lang w:val="en-US" w:eastAsia="en-US"/>
    </w:rPr>
  </w:style>
  <w:style w:type="paragraph" w:customStyle="1" w:styleId="NoSpacing2">
    <w:name w:val="No Spacing2"/>
    <w:rsid w:val="00060470"/>
    <w:rPr>
      <w:rFonts w:ascii="Arial Armenian" w:hAnsi="Arial Armenian" w:cs="Arial Armenian"/>
      <w:sz w:val="24"/>
      <w:szCs w:val="24"/>
      <w:lang w:val="ru-RU"/>
    </w:rPr>
  </w:style>
  <w:style w:type="character" w:customStyle="1" w:styleId="user-name">
    <w:name w:val="user-name"/>
    <w:rsid w:val="00060470"/>
    <w:rPr>
      <w:rFonts w:cs="Times New Roman"/>
    </w:rPr>
  </w:style>
  <w:style w:type="character" w:customStyle="1" w:styleId="Heading2Char2">
    <w:name w:val="Heading 2 Char2"/>
    <w:aliases w:val="Paranum Char2,(Chapter) Char2,(Chapter) Char Char"/>
    <w:locked/>
    <w:rsid w:val="00060470"/>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060470"/>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060470"/>
    <w:rPr>
      <w:rFonts w:ascii="Times New Roman" w:hAnsi="Times New Roman" w:cs="Times New Roman"/>
      <w:sz w:val="24"/>
    </w:rPr>
  </w:style>
  <w:style w:type="character" w:customStyle="1" w:styleId="fsl">
    <w:name w:val="fsl"/>
    <w:rsid w:val="00060470"/>
  </w:style>
  <w:style w:type="paragraph" w:styleId="IntenseQuote">
    <w:name w:val="Intense Quote"/>
    <w:basedOn w:val="Normal"/>
    <w:next w:val="Normal"/>
    <w:link w:val="IntenseQuoteChar"/>
    <w:qFormat/>
    <w:rsid w:val="00060470"/>
    <w:pPr>
      <w:pBdr>
        <w:bottom w:val="single" w:sz="4" w:space="4" w:color="4F81BD"/>
      </w:pBdr>
      <w:spacing w:before="200" w:after="280" w:line="240" w:lineRule="auto"/>
      <w:ind w:left="936" w:right="936"/>
      <w:jc w:val="left"/>
    </w:pPr>
    <w:rPr>
      <w:rFonts w:ascii="Times New Roman" w:hAnsi="Times New Roman"/>
      <w:b w:val="0"/>
      <w:bCs/>
      <w:i/>
      <w:iCs/>
      <w:color w:val="4F81BD"/>
      <w:sz w:val="24"/>
    </w:rPr>
  </w:style>
  <w:style w:type="character" w:customStyle="1" w:styleId="IntenseQuoteChar">
    <w:name w:val="Intense Quote Char"/>
    <w:basedOn w:val="DefaultParagraphFont"/>
    <w:link w:val="IntenseQuote"/>
    <w:rsid w:val="00060470"/>
    <w:rPr>
      <w:b/>
      <w:bCs/>
      <w:i/>
      <w:iCs/>
      <w:color w:val="4F81BD"/>
      <w:sz w:val="24"/>
      <w:szCs w:val="24"/>
    </w:rPr>
  </w:style>
  <w:style w:type="character" w:styleId="SubtleEmphasis">
    <w:name w:val="Subtle Emphasis"/>
    <w:qFormat/>
    <w:rsid w:val="00060470"/>
    <w:rPr>
      <w:rFonts w:cs="Times New Roman"/>
      <w:i/>
      <w:iCs/>
      <w:color w:val="808080"/>
    </w:rPr>
  </w:style>
  <w:style w:type="character" w:styleId="SubtleReference">
    <w:name w:val="Subtle Reference"/>
    <w:qFormat/>
    <w:rsid w:val="00060470"/>
    <w:rPr>
      <w:rFonts w:cs="Times New Roman"/>
      <w:smallCaps/>
      <w:color w:val="C0504D"/>
      <w:u w:val="single"/>
    </w:rPr>
  </w:style>
  <w:style w:type="character" w:styleId="IntenseReference">
    <w:name w:val="Intense Reference"/>
    <w:qFormat/>
    <w:rsid w:val="00060470"/>
    <w:rPr>
      <w:rFonts w:cs="Times New Roman"/>
      <w:b/>
      <w:bCs/>
      <w:smallCaps/>
      <w:color w:val="C0504D"/>
      <w:spacing w:val="5"/>
      <w:u w:val="single"/>
    </w:rPr>
  </w:style>
  <w:style w:type="character" w:styleId="BookTitle">
    <w:name w:val="Book Title"/>
    <w:qFormat/>
    <w:rsid w:val="00060470"/>
    <w:rPr>
      <w:rFonts w:cs="Times New Roman"/>
      <w:b/>
      <w:bCs/>
      <w:smallCaps/>
      <w:spacing w:val="5"/>
    </w:rPr>
  </w:style>
  <w:style w:type="paragraph" w:customStyle="1" w:styleId="ColorfulList-Accent11">
    <w:name w:val="Colorful List - Accent 11"/>
    <w:basedOn w:val="Normal"/>
    <w:qFormat/>
    <w:rsid w:val="00060470"/>
    <w:pPr>
      <w:spacing w:before="0" w:after="200"/>
      <w:ind w:left="720"/>
      <w:jc w:val="left"/>
    </w:pPr>
    <w:rPr>
      <w:rFonts w:ascii="Calibri" w:eastAsia="Calibri" w:hAnsi="Calibri"/>
      <w:szCs w:val="22"/>
      <w:lang w:eastAsia="en-US"/>
    </w:rPr>
  </w:style>
  <w:style w:type="character" w:customStyle="1" w:styleId="spellingerror">
    <w:name w:val="spellingerror"/>
    <w:rsid w:val="00060470"/>
  </w:style>
  <w:style w:type="character" w:customStyle="1" w:styleId="CharChar31">
    <w:name w:val="Char Char31"/>
    <w:locked/>
    <w:rsid w:val="00060470"/>
    <w:rPr>
      <w:sz w:val="22"/>
      <w:lang w:val="en-GB" w:eastAsia="en-US"/>
    </w:rPr>
  </w:style>
  <w:style w:type="character" w:customStyle="1" w:styleId="red-block">
    <w:name w:val="red-block"/>
    <w:rsid w:val="00060470"/>
    <w:rPr>
      <w:rFonts w:cs="Times New Roman"/>
    </w:rPr>
  </w:style>
  <w:style w:type="character" w:customStyle="1" w:styleId="accent">
    <w:name w:val="accent"/>
    <w:rsid w:val="00060470"/>
    <w:rPr>
      <w:rFonts w:cs="Times New Roman"/>
    </w:rPr>
  </w:style>
  <w:style w:type="character" w:customStyle="1" w:styleId="FontStyle37">
    <w:name w:val="Font Style37"/>
    <w:rsid w:val="00060470"/>
    <w:rPr>
      <w:rFonts w:ascii="Sylfaen" w:hAnsi="Sylfaen"/>
      <w:sz w:val="22"/>
    </w:rPr>
  </w:style>
  <w:style w:type="numbering" w:customStyle="1" w:styleId="NoList4">
    <w:name w:val="No List4"/>
    <w:next w:val="NoList"/>
    <w:semiHidden/>
    <w:rsid w:val="00060470"/>
  </w:style>
  <w:style w:type="paragraph" w:customStyle="1" w:styleId="StyleHeading3Sub-ChapterCenteredtextHeading3CharCharC1">
    <w:name w:val="Style Heading 3(Sub-Chapter)Centered(text)Heading 3 Char Char C...1"/>
    <w:basedOn w:val="Heading3"/>
    <w:rsid w:val="00060470"/>
    <w:pPr>
      <w:widowControl w:val="0"/>
      <w:tabs>
        <w:tab w:val="left" w:pos="624"/>
      </w:tabs>
      <w:spacing w:before="120"/>
      <w:ind w:right="301"/>
    </w:pPr>
    <w:rPr>
      <w:rFonts w:cs="Times New Roman"/>
      <w:color w:val="000000"/>
      <w:szCs w:val="22"/>
      <w:u w:val="single"/>
      <w:lang w:val="es-ES"/>
    </w:rPr>
  </w:style>
  <w:style w:type="paragraph" w:customStyle="1" w:styleId="1MTEF">
    <w:name w:val="1. MTEF"/>
    <w:basedOn w:val="StyleStyleHeading1SectionSectionHeadingText11Chapterhead31"/>
    <w:rsid w:val="00060470"/>
    <w:rPr>
      <w:b/>
      <w:bCs w:val="0"/>
    </w:rPr>
  </w:style>
  <w:style w:type="character" w:customStyle="1" w:styleId="CharChar35">
    <w:name w:val="Char Char35"/>
    <w:rsid w:val="00060470"/>
    <w:rPr>
      <w:rFonts w:ascii="Arial Armenian" w:hAnsi="Arial Armenian"/>
      <w:i/>
      <w:sz w:val="22"/>
      <w:u w:val="single"/>
      <w:lang w:val="en-GB"/>
    </w:rPr>
  </w:style>
  <w:style w:type="character" w:customStyle="1" w:styleId="CharChar34">
    <w:name w:val="Char Char34"/>
    <w:rsid w:val="00060470"/>
    <w:rPr>
      <w:rFonts w:ascii="Garamond" w:hAnsi="Garamond"/>
      <w:i/>
      <w:spacing w:val="-5"/>
      <w:sz w:val="28"/>
      <w:shd w:val="pct5" w:color="auto" w:fill="auto"/>
      <w:lang w:val="en-GB"/>
    </w:rPr>
  </w:style>
  <w:style w:type="character" w:customStyle="1" w:styleId="CharChar33">
    <w:name w:val="Char Char33"/>
    <w:rsid w:val="00060470"/>
    <w:rPr>
      <w:rFonts w:ascii="Arial Black" w:hAnsi="Arial Black"/>
      <w:caps/>
      <w:spacing w:val="60"/>
      <w:position w:val="4"/>
      <w:sz w:val="14"/>
      <w:lang w:val="en-GB"/>
    </w:rPr>
  </w:style>
  <w:style w:type="character" w:customStyle="1" w:styleId="CharChar32">
    <w:name w:val="Char Char32"/>
    <w:rsid w:val="00060470"/>
    <w:rPr>
      <w:rFonts w:ascii="Garamond" w:hAnsi="Garamond"/>
      <w:b/>
      <w:i/>
      <w:kern w:val="28"/>
      <w:lang w:val="en-GB"/>
    </w:rPr>
  </w:style>
  <w:style w:type="character" w:customStyle="1" w:styleId="CharChar30">
    <w:name w:val="Char Char30"/>
    <w:rsid w:val="00060470"/>
    <w:rPr>
      <w:rFonts w:ascii="Arial Armenian" w:hAnsi="Arial Armenian"/>
      <w:lang w:val="en-GB" w:eastAsia="en-US" w:bidi="ar-SA"/>
    </w:rPr>
  </w:style>
  <w:style w:type="character" w:customStyle="1" w:styleId="CharChar29">
    <w:name w:val="Char Char29"/>
    <w:rsid w:val="00060470"/>
    <w:rPr>
      <w:rFonts w:ascii="Arial Armenian" w:hAnsi="Arial Armenian"/>
      <w:lang w:val="ru-RU" w:eastAsia="ru-RU" w:bidi="ar-SA"/>
    </w:rPr>
  </w:style>
  <w:style w:type="paragraph" w:customStyle="1" w:styleId="CharChar5CharCharCharCharCharChar">
    <w:name w:val="Char Char5 Char Char Char Char Char Char"/>
    <w:basedOn w:val="Normal"/>
    <w:rsid w:val="00060470"/>
    <w:pPr>
      <w:tabs>
        <w:tab w:val="left" w:pos="709"/>
      </w:tabs>
      <w:spacing w:before="0" w:line="240" w:lineRule="auto"/>
      <w:jc w:val="left"/>
    </w:pPr>
    <w:rPr>
      <w:rFonts w:ascii="Tahoma" w:hAnsi="Tahoma"/>
      <w:sz w:val="24"/>
      <w:lang w:val="pl-PL" w:eastAsia="pl-PL"/>
    </w:rPr>
  </w:style>
  <w:style w:type="paragraph" w:customStyle="1" w:styleId="CharChar5CharCharCharChar">
    <w:name w:val="Char Char5 Char Char Char Char"/>
    <w:basedOn w:val="Normal"/>
    <w:rsid w:val="00060470"/>
    <w:pPr>
      <w:tabs>
        <w:tab w:val="left" w:pos="709"/>
      </w:tabs>
      <w:spacing w:before="0" w:line="240" w:lineRule="auto"/>
      <w:jc w:val="left"/>
    </w:pPr>
    <w:rPr>
      <w:rFonts w:ascii="Tahoma" w:hAnsi="Tahoma"/>
      <w:sz w:val="24"/>
      <w:lang w:val="pl-PL" w:eastAsia="pl-PL"/>
    </w:rPr>
  </w:style>
  <w:style w:type="table" w:styleId="Table3Deffects3">
    <w:name w:val="Table 3D effects 3"/>
    <w:basedOn w:val="TableNormal"/>
    <w:uiPriority w:val="99"/>
    <w:rsid w:val="000604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060470"/>
    <w:pPr>
      <w:tabs>
        <w:tab w:val="left" w:pos="709"/>
      </w:tabs>
      <w:spacing w:before="0" w:line="240" w:lineRule="auto"/>
      <w:jc w:val="left"/>
    </w:pPr>
    <w:rPr>
      <w:rFonts w:ascii="Tahoma" w:hAnsi="Tahoma"/>
      <w:sz w:val="24"/>
      <w:lang w:val="pl-PL" w:eastAsia="pl-PL"/>
    </w:rPr>
  </w:style>
  <w:style w:type="character" w:customStyle="1" w:styleId="tocnumber">
    <w:name w:val="tocnumber"/>
    <w:rsid w:val="00060470"/>
  </w:style>
  <w:style w:type="character" w:customStyle="1" w:styleId="toctext">
    <w:name w:val="toctext"/>
    <w:rsid w:val="00060470"/>
  </w:style>
  <w:style w:type="character" w:customStyle="1" w:styleId="mw-editsection">
    <w:name w:val="mw-editsection"/>
    <w:rsid w:val="00060470"/>
  </w:style>
  <w:style w:type="character" w:customStyle="1" w:styleId="mw-editsection-bracket">
    <w:name w:val="mw-editsection-bracket"/>
    <w:rsid w:val="00060470"/>
  </w:style>
  <w:style w:type="character" w:customStyle="1" w:styleId="mw-editsection-divider">
    <w:name w:val="mw-editsection-divider"/>
    <w:rsid w:val="00060470"/>
  </w:style>
  <w:style w:type="character" w:customStyle="1" w:styleId="reference-text">
    <w:name w:val="reference-text"/>
    <w:rsid w:val="00060470"/>
  </w:style>
  <w:style w:type="paragraph" w:styleId="z-TopofForm">
    <w:name w:val="HTML Top of Form"/>
    <w:basedOn w:val="Normal"/>
    <w:next w:val="Normal"/>
    <w:link w:val="z-TopofFormChar"/>
    <w:hidden/>
    <w:uiPriority w:val="99"/>
    <w:unhideWhenUsed/>
    <w:rsid w:val="00060470"/>
    <w:pPr>
      <w:pBdr>
        <w:bottom w:val="single" w:sz="6" w:space="1" w:color="auto"/>
      </w:pBdr>
      <w:spacing w:before="0" w:line="240" w:lineRule="auto"/>
      <w:jc w:val="center"/>
    </w:pPr>
    <w:rPr>
      <w:rFonts w:ascii="Arial" w:hAnsi="Arial"/>
      <w:vanish/>
      <w:sz w:val="16"/>
      <w:szCs w:val="16"/>
    </w:rPr>
  </w:style>
  <w:style w:type="character" w:customStyle="1" w:styleId="z-TopofFormChar">
    <w:name w:val="z-Top of Form Char"/>
    <w:basedOn w:val="DefaultParagraphFont"/>
    <w:link w:val="z-TopofForm"/>
    <w:uiPriority w:val="99"/>
    <w:rsid w:val="00060470"/>
    <w:rPr>
      <w:rFonts w:ascii="Arial" w:hAnsi="Arial"/>
      <w:vanish/>
      <w:sz w:val="16"/>
      <w:szCs w:val="16"/>
    </w:rPr>
  </w:style>
  <w:style w:type="paragraph" w:styleId="z-BottomofForm">
    <w:name w:val="HTML Bottom of Form"/>
    <w:basedOn w:val="Normal"/>
    <w:next w:val="Normal"/>
    <w:link w:val="z-BottomofFormChar"/>
    <w:hidden/>
    <w:uiPriority w:val="99"/>
    <w:unhideWhenUsed/>
    <w:rsid w:val="00060470"/>
    <w:pPr>
      <w:pBdr>
        <w:top w:val="single" w:sz="6" w:space="1" w:color="auto"/>
      </w:pBdr>
      <w:spacing w:before="0" w:line="240" w:lineRule="auto"/>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060470"/>
    <w:rPr>
      <w:rFonts w:ascii="Arial" w:hAnsi="Arial"/>
      <w:vanish/>
      <w:sz w:val="16"/>
      <w:szCs w:val="16"/>
    </w:rPr>
  </w:style>
  <w:style w:type="character" w:customStyle="1" w:styleId="wb-langlinks-edit">
    <w:name w:val="wb-langlinks-edit"/>
    <w:rsid w:val="00060470"/>
  </w:style>
  <w:style w:type="character" w:customStyle="1" w:styleId="noprint">
    <w:name w:val="noprint"/>
    <w:rsid w:val="00060470"/>
  </w:style>
  <w:style w:type="character" w:customStyle="1" w:styleId="pg">
    <w:name w:val="pg"/>
    <w:rsid w:val="00060470"/>
  </w:style>
  <w:style w:type="paragraph" w:customStyle="1" w:styleId="DecimalAligned">
    <w:name w:val="Decimal Aligned"/>
    <w:basedOn w:val="Normal"/>
    <w:uiPriority w:val="40"/>
    <w:qFormat/>
    <w:rsid w:val="00060470"/>
    <w:pPr>
      <w:tabs>
        <w:tab w:val="decimal" w:pos="360"/>
      </w:tabs>
      <w:spacing w:before="0" w:after="200"/>
      <w:jc w:val="left"/>
    </w:pPr>
    <w:rPr>
      <w:rFonts w:ascii="Calibri" w:eastAsia="Calibri" w:hAnsi="Calibri"/>
      <w:szCs w:val="22"/>
      <w:lang w:val="en-US" w:eastAsia="ja-JP"/>
    </w:rPr>
  </w:style>
  <w:style w:type="paragraph" w:styleId="HTMLPreformatted">
    <w:name w:val="HTML Preformatted"/>
    <w:basedOn w:val="Normal"/>
    <w:link w:val="HTMLPreformattedChar"/>
    <w:uiPriority w:val="99"/>
    <w:unhideWhenUsed/>
    <w:rsid w:val="00060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Arial Unicode" w:hAnsi="Arial Unicode"/>
      <w:sz w:val="20"/>
      <w:szCs w:val="20"/>
    </w:rPr>
  </w:style>
  <w:style w:type="character" w:customStyle="1" w:styleId="HTMLPreformattedChar">
    <w:name w:val="HTML Preformatted Char"/>
    <w:basedOn w:val="DefaultParagraphFont"/>
    <w:link w:val="HTMLPreformatted"/>
    <w:uiPriority w:val="99"/>
    <w:rsid w:val="00060470"/>
    <w:rPr>
      <w:rFonts w:ascii="Arial Unicode" w:hAnsi="Arial Unicode"/>
    </w:rPr>
  </w:style>
  <w:style w:type="paragraph" w:customStyle="1" w:styleId="StyleCaption11pt">
    <w:name w:val="Style Caption + 11 pt"/>
    <w:basedOn w:val="Caption"/>
    <w:link w:val="StyleCaption11ptChar"/>
    <w:rsid w:val="00060470"/>
    <w:pPr>
      <w:spacing w:before="360" w:after="120" w:line="240" w:lineRule="auto"/>
      <w:ind w:left="1350" w:hanging="1350"/>
      <w:jc w:val="left"/>
    </w:pPr>
    <w:rPr>
      <w:color w:val="auto"/>
      <w:sz w:val="20"/>
      <w:szCs w:val="20"/>
    </w:rPr>
  </w:style>
  <w:style w:type="character" w:customStyle="1" w:styleId="StyleCaption11ptChar">
    <w:name w:val="Style Caption + 11 pt Char"/>
    <w:link w:val="StyleCaption11pt"/>
    <w:rsid w:val="00060470"/>
    <w:rPr>
      <w:rFonts w:ascii="GHEA Grapalat" w:hAnsi="GHEA Grapalat"/>
      <w:b/>
      <w:bCs/>
      <w:lang w:eastAsia="ru-RU"/>
    </w:rPr>
  </w:style>
  <w:style w:type="paragraph" w:customStyle="1" w:styleId="StyleHeading3GHEAGrapalatJustified">
    <w:name w:val="Style Heading 3 + GHEA Grapalat Justified"/>
    <w:basedOn w:val="Heading3"/>
    <w:rsid w:val="00060470"/>
    <w:pPr>
      <w:tabs>
        <w:tab w:val="num" w:pos="384"/>
        <w:tab w:val="num" w:pos="737"/>
      </w:tabs>
      <w:spacing w:after="240"/>
      <w:ind w:left="1248" w:hanging="708"/>
    </w:pPr>
    <w:rPr>
      <w:rFonts w:cs="Times New Roman"/>
      <w:szCs w:val="22"/>
      <w:lang w:eastAsia="ru-RU"/>
    </w:rPr>
  </w:style>
  <w:style w:type="paragraph" w:customStyle="1" w:styleId="TitleNew">
    <w:name w:val="Title New"/>
    <w:basedOn w:val="Normal"/>
    <w:rsid w:val="00060470"/>
    <w:pPr>
      <w:widowControl w:val="0"/>
      <w:spacing w:before="0" w:line="360" w:lineRule="atLeast"/>
    </w:pPr>
    <w:rPr>
      <w:rFonts w:ascii="Times New Roman" w:eastAsia="ヒラギノ角ゴ Pro W3" w:hAnsi="Times New Roman"/>
      <w:b w:val="0"/>
      <w:color w:val="000000"/>
      <w:sz w:val="44"/>
      <w:lang w:val="en-US" w:eastAsia="en-US"/>
    </w:rPr>
  </w:style>
  <w:style w:type="paragraph" w:customStyle="1" w:styleId="36">
    <w:name w:val="Абзац списка3"/>
    <w:basedOn w:val="Normal"/>
    <w:uiPriority w:val="99"/>
    <w:qFormat/>
    <w:rsid w:val="00060470"/>
    <w:pPr>
      <w:spacing w:before="0" w:line="240" w:lineRule="auto"/>
      <w:ind w:left="720"/>
      <w:jc w:val="left"/>
    </w:pPr>
    <w:rPr>
      <w:rFonts w:ascii="Times New Roman" w:hAnsi="Times New Roman"/>
      <w:sz w:val="24"/>
    </w:rPr>
  </w:style>
  <w:style w:type="character" w:customStyle="1" w:styleId="37">
    <w:name w:val="Основной текст3"/>
    <w:rsid w:val="00060470"/>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060470"/>
    <w:pPr>
      <w:autoSpaceDE w:val="0"/>
      <w:autoSpaceDN w:val="0"/>
      <w:adjustRightInd w:val="0"/>
      <w:spacing w:before="0" w:line="240" w:lineRule="auto"/>
      <w:ind w:firstLine="180"/>
    </w:pPr>
    <w:rPr>
      <w:b w:val="0"/>
      <w:i/>
      <w:szCs w:val="22"/>
      <w:lang w:val="hy-AM"/>
    </w:rPr>
  </w:style>
  <w:style w:type="character" w:customStyle="1" w:styleId="CommentTextChar2">
    <w:name w:val="Comment Text Char2"/>
    <w:rsid w:val="00060470"/>
    <w:rPr>
      <w:rFonts w:ascii="Arial Armenian" w:hAnsi="Arial Armenian"/>
      <w:lang w:val="ru-RU" w:eastAsia="ru-RU" w:bidi="ar-SA"/>
    </w:rPr>
  </w:style>
  <w:style w:type="character" w:customStyle="1" w:styleId="BalloonTextChar2">
    <w:name w:val="Balloon Text Char2"/>
    <w:rsid w:val="00060470"/>
    <w:rPr>
      <w:rFonts w:ascii="Tahoma" w:hAnsi="Tahoma"/>
      <w:sz w:val="16"/>
      <w:szCs w:val="16"/>
      <w:lang w:bidi="ar-SA"/>
    </w:rPr>
  </w:style>
  <w:style w:type="character" w:customStyle="1" w:styleId="Bodytext20">
    <w:name w:val="Body text (2)_"/>
    <w:link w:val="Bodytext21"/>
    <w:uiPriority w:val="99"/>
    <w:locked/>
    <w:rsid w:val="00060470"/>
    <w:rPr>
      <w:rFonts w:ascii="Tahoma" w:hAnsi="Tahoma" w:cs="Tahoma"/>
      <w:sz w:val="21"/>
      <w:szCs w:val="21"/>
      <w:shd w:val="clear" w:color="auto" w:fill="FFFFFF"/>
    </w:rPr>
  </w:style>
  <w:style w:type="paragraph" w:customStyle="1" w:styleId="Bodytext21">
    <w:name w:val="Body text (2)"/>
    <w:basedOn w:val="Normal"/>
    <w:link w:val="Bodytext20"/>
    <w:uiPriority w:val="99"/>
    <w:rsid w:val="00060470"/>
    <w:pPr>
      <w:widowControl w:val="0"/>
      <w:shd w:val="clear" w:color="auto" w:fill="FFFFFF"/>
      <w:spacing w:before="720" w:line="485" w:lineRule="exact"/>
    </w:pPr>
    <w:rPr>
      <w:rFonts w:ascii="Tahoma" w:hAnsi="Tahoma" w:cs="Tahoma"/>
      <w:sz w:val="21"/>
      <w:szCs w:val="21"/>
      <w:lang w:val="en-US" w:eastAsia="en-US"/>
    </w:rPr>
  </w:style>
  <w:style w:type="paragraph" w:customStyle="1" w:styleId="Appendix">
    <w:name w:val="Appendix"/>
    <w:basedOn w:val="Normal"/>
    <w:next w:val="Normal"/>
    <w:uiPriority w:val="6"/>
    <w:qFormat/>
    <w:rsid w:val="00060470"/>
    <w:pPr>
      <w:spacing w:before="0" w:after="240" w:line="264" w:lineRule="auto"/>
      <w:jc w:val="center"/>
    </w:pPr>
    <w:rPr>
      <w:rFonts w:ascii="Segoe UI" w:eastAsia="SimSun" w:hAnsi="Segoe UI"/>
      <w:b w:val="0"/>
      <w:color w:val="C45911"/>
      <w:sz w:val="32"/>
      <w:szCs w:val="20"/>
      <w:lang w:val="en-US" w:eastAsia="en-US"/>
    </w:rPr>
  </w:style>
  <w:style w:type="paragraph" w:customStyle="1" w:styleId="dec-date">
    <w:name w:val="dec-date"/>
    <w:basedOn w:val="Normal"/>
    <w:uiPriority w:val="99"/>
    <w:rsid w:val="00060470"/>
    <w:pPr>
      <w:spacing w:before="100" w:beforeAutospacing="1" w:after="100" w:afterAutospacing="1" w:line="240" w:lineRule="auto"/>
      <w:jc w:val="left"/>
    </w:pPr>
    <w:rPr>
      <w:rFonts w:ascii="Times New Roman" w:hAnsi="Times New Roman"/>
      <w:sz w:val="24"/>
      <w:lang w:val="en-US" w:eastAsia="en-US"/>
    </w:rPr>
  </w:style>
  <w:style w:type="paragraph" w:customStyle="1" w:styleId="38">
    <w:name w:val="Обычный3"/>
    <w:rsid w:val="00060470"/>
    <w:pPr>
      <w:autoSpaceDE w:val="0"/>
      <w:autoSpaceDN w:val="0"/>
    </w:pPr>
    <w:rPr>
      <w:lang w:val="ru-RU" w:eastAsia="ru-RU"/>
    </w:rPr>
  </w:style>
  <w:style w:type="paragraph" w:customStyle="1" w:styleId="1f">
    <w:name w:val="Заголовок оглавления1"/>
    <w:basedOn w:val="Heading1"/>
    <w:next w:val="Normal"/>
    <w:uiPriority w:val="39"/>
    <w:unhideWhenUsed/>
    <w:qFormat/>
    <w:rsid w:val="00060470"/>
    <w:pPr>
      <w:keepLines/>
      <w:spacing w:before="480"/>
      <w:outlineLvl w:val="9"/>
    </w:pPr>
    <w:rPr>
      <w:rFonts w:ascii="Cambria" w:hAnsi="Cambria"/>
      <w:bCs w:val="0"/>
      <w:color w:val="365F91"/>
      <w:szCs w:val="28"/>
    </w:rPr>
  </w:style>
  <w:style w:type="paragraph" w:customStyle="1" w:styleId="213">
    <w:name w:val="Цитата 21"/>
    <w:basedOn w:val="Normal"/>
    <w:next w:val="Normal"/>
    <w:uiPriority w:val="29"/>
    <w:qFormat/>
    <w:rsid w:val="00060470"/>
    <w:pPr>
      <w:spacing w:before="0" w:line="240" w:lineRule="auto"/>
      <w:jc w:val="left"/>
    </w:pPr>
    <w:rPr>
      <w:rFonts w:ascii="Times New Roman" w:hAnsi="Times New Roman"/>
      <w:i/>
      <w:iCs/>
      <w:color w:val="000000"/>
      <w:sz w:val="24"/>
    </w:rPr>
  </w:style>
  <w:style w:type="character" w:customStyle="1" w:styleId="1f0">
    <w:name w:val="Сильное выделение1"/>
    <w:uiPriority w:val="21"/>
    <w:qFormat/>
    <w:rsid w:val="00060470"/>
    <w:rPr>
      <w:b/>
      <w:bCs/>
      <w:i/>
      <w:iCs/>
      <w:color w:val="4F81BD"/>
    </w:rPr>
  </w:style>
  <w:style w:type="numbering" w:customStyle="1" w:styleId="116">
    <w:name w:val="Нет списка11"/>
    <w:next w:val="NoList"/>
    <w:semiHidden/>
    <w:unhideWhenUsed/>
    <w:rsid w:val="00060470"/>
  </w:style>
  <w:style w:type="paragraph" w:customStyle="1" w:styleId="1f1">
    <w:name w:val="Выделенная цитата1"/>
    <w:basedOn w:val="Normal"/>
    <w:next w:val="Normal"/>
    <w:qFormat/>
    <w:rsid w:val="00060470"/>
    <w:pPr>
      <w:pBdr>
        <w:bottom w:val="single" w:sz="4" w:space="4" w:color="4F81BD"/>
      </w:pBdr>
      <w:spacing w:before="200" w:after="280" w:line="240" w:lineRule="auto"/>
      <w:ind w:left="936" w:right="936"/>
      <w:jc w:val="left"/>
    </w:pPr>
    <w:rPr>
      <w:rFonts w:ascii="Times New Roman" w:hAnsi="Times New Roman"/>
      <w:b w:val="0"/>
      <w:bCs/>
      <w:i/>
      <w:iCs/>
      <w:color w:val="4F81BD"/>
      <w:sz w:val="24"/>
    </w:rPr>
  </w:style>
  <w:style w:type="character" w:customStyle="1" w:styleId="1f2">
    <w:name w:val="Слабое выделение1"/>
    <w:qFormat/>
    <w:rsid w:val="00060470"/>
    <w:rPr>
      <w:rFonts w:cs="Times New Roman"/>
      <w:i/>
      <w:iCs/>
      <w:color w:val="808080"/>
    </w:rPr>
  </w:style>
  <w:style w:type="character" w:customStyle="1" w:styleId="1f3">
    <w:name w:val="Слабая ссылка1"/>
    <w:qFormat/>
    <w:rsid w:val="00060470"/>
    <w:rPr>
      <w:rFonts w:cs="Times New Roman"/>
      <w:smallCaps/>
      <w:color w:val="C0504D"/>
      <w:u w:val="single"/>
    </w:rPr>
  </w:style>
  <w:style w:type="character" w:customStyle="1" w:styleId="1f4">
    <w:name w:val="Сильная ссылка1"/>
    <w:qFormat/>
    <w:rsid w:val="00060470"/>
    <w:rPr>
      <w:rFonts w:cs="Times New Roman"/>
      <w:b/>
      <w:bCs/>
      <w:smallCaps/>
      <w:color w:val="C0504D"/>
      <w:spacing w:val="5"/>
      <w:u w:val="single"/>
    </w:rPr>
  </w:style>
  <w:style w:type="character" w:customStyle="1" w:styleId="1f5">
    <w:name w:val="Название книги1"/>
    <w:qFormat/>
    <w:rsid w:val="00060470"/>
    <w:rPr>
      <w:rFonts w:cs="Times New Roman"/>
      <w:b/>
      <w:bCs/>
      <w:smallCaps/>
      <w:spacing w:val="5"/>
    </w:rPr>
  </w:style>
  <w:style w:type="character" w:customStyle="1" w:styleId="SubtitleChar2">
    <w:name w:val="Subtitle Char2"/>
    <w:rsid w:val="00060470"/>
    <w:rPr>
      <w:rFonts w:ascii="Times Armenian" w:hAnsi="Times Armenian"/>
      <w:b/>
      <w:sz w:val="28"/>
      <w:szCs w:val="24"/>
      <w:lang w:eastAsia="ru-RU"/>
    </w:rPr>
  </w:style>
  <w:style w:type="paragraph" w:customStyle="1" w:styleId="2a">
    <w:name w:val="Рецензия2"/>
    <w:hidden/>
    <w:semiHidden/>
    <w:rsid w:val="00060470"/>
    <w:rPr>
      <w:rFonts w:ascii="Arial Armenian" w:hAnsi="Arial Armenian"/>
      <w:sz w:val="22"/>
      <w:szCs w:val="22"/>
      <w:lang w:eastAsia="ru-RU"/>
    </w:rPr>
  </w:style>
  <w:style w:type="character" w:customStyle="1" w:styleId="TextChar">
    <w:name w:val="Text Char"/>
    <w:link w:val="Text"/>
    <w:locked/>
    <w:rsid w:val="00060470"/>
    <w:rPr>
      <w:rFonts w:ascii="GHEA Grapalat" w:hAnsi="GHEA Grapalat"/>
      <w:b/>
      <w:sz w:val="22"/>
      <w:lang w:val="en-GB"/>
    </w:rPr>
  </w:style>
  <w:style w:type="numbering" w:customStyle="1" w:styleId="NoList5">
    <w:name w:val="No List5"/>
    <w:next w:val="NoList"/>
    <w:uiPriority w:val="99"/>
    <w:semiHidden/>
    <w:unhideWhenUsed/>
    <w:rsid w:val="004D6E4C"/>
  </w:style>
  <w:style w:type="numbering" w:customStyle="1" w:styleId="NoList12">
    <w:name w:val="No List12"/>
    <w:next w:val="NoList"/>
    <w:uiPriority w:val="99"/>
    <w:semiHidden/>
    <w:rsid w:val="004D6E4C"/>
  </w:style>
  <w:style w:type="paragraph" w:customStyle="1" w:styleId="Bullet">
    <w:name w:val="Bullet"/>
    <w:aliases w:val="bl,Bullet L1,bl1"/>
    <w:basedOn w:val="Normal"/>
    <w:rsid w:val="004D6E4C"/>
    <w:pPr>
      <w:overflowPunct w:val="0"/>
      <w:autoSpaceDE w:val="0"/>
      <w:autoSpaceDN w:val="0"/>
      <w:adjustRightInd w:val="0"/>
      <w:spacing w:before="0" w:after="130" w:line="240" w:lineRule="auto"/>
      <w:ind w:left="283" w:hanging="283"/>
      <w:textAlignment w:val="baseline"/>
    </w:pPr>
    <w:rPr>
      <w:rFonts w:ascii="Times New Roman" w:hAnsi="Times New Roman"/>
      <w:szCs w:val="20"/>
      <w:lang w:val="en-GB" w:eastAsia="en-US"/>
    </w:rPr>
  </w:style>
  <w:style w:type="numbering" w:customStyle="1" w:styleId="NoList112">
    <w:name w:val="No List112"/>
    <w:next w:val="NoList"/>
    <w:semiHidden/>
    <w:rsid w:val="004D6E4C"/>
  </w:style>
  <w:style w:type="numbering" w:customStyle="1" w:styleId="NoList1111">
    <w:name w:val="No List1111"/>
    <w:next w:val="NoList"/>
    <w:semiHidden/>
    <w:rsid w:val="004D6E4C"/>
  </w:style>
  <w:style w:type="numbering" w:customStyle="1" w:styleId="NoList21">
    <w:name w:val="No List21"/>
    <w:next w:val="NoList"/>
    <w:semiHidden/>
    <w:rsid w:val="004D6E4C"/>
  </w:style>
  <w:style w:type="table" w:customStyle="1" w:styleId="TableGrid2">
    <w:name w:val="Table Grid2"/>
    <w:basedOn w:val="TableNormal"/>
    <w:next w:val="TableGrid"/>
    <w:rsid w:val="004D6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semiHidden/>
    <w:unhideWhenUsed/>
    <w:rsid w:val="004D6E4C"/>
  </w:style>
  <w:style w:type="paragraph" w:customStyle="1" w:styleId="Char6">
    <w:name w:val="Char6"/>
    <w:basedOn w:val="Normal"/>
    <w:rsid w:val="008F52AF"/>
    <w:pPr>
      <w:spacing w:before="0" w:after="160" w:line="240" w:lineRule="exact"/>
      <w:jc w:val="left"/>
    </w:pPr>
    <w:rPr>
      <w:rFonts w:ascii="Arial" w:hAnsi="Arial" w:cs="Arial"/>
      <w:sz w:val="20"/>
      <w:szCs w:val="20"/>
      <w:lang w:val="en-US" w:eastAsia="en-US"/>
    </w:rPr>
  </w:style>
  <w:style w:type="paragraph" w:customStyle="1" w:styleId="1f6">
    <w:name w:val="1.Աղյուսակ Տեքստ"/>
    <w:basedOn w:val="Normal"/>
    <w:link w:val="1Char"/>
    <w:qFormat/>
    <w:rsid w:val="00681E45"/>
    <w:pPr>
      <w:spacing w:before="0" w:line="240" w:lineRule="auto"/>
      <w:jc w:val="center"/>
    </w:pPr>
    <w:rPr>
      <w:rFonts w:cs="Courier New"/>
      <w:b w:val="0"/>
      <w:color w:val="000000"/>
      <w:sz w:val="20"/>
      <w:szCs w:val="22"/>
      <w:lang w:val="en-US"/>
    </w:rPr>
  </w:style>
  <w:style w:type="character" w:customStyle="1" w:styleId="1Char">
    <w:name w:val="1.Աղյուսակ Տեքստ Char"/>
    <w:basedOn w:val="DefaultParagraphFont"/>
    <w:link w:val="1f6"/>
    <w:rsid w:val="00681E45"/>
    <w:rPr>
      <w:rFonts w:ascii="GHEA Grapalat" w:hAnsi="GHEA Grapalat" w:cs="Courier New"/>
      <w:color w:val="000000"/>
      <w:szCs w:val="22"/>
      <w:lang w:eastAsia="ru-RU"/>
    </w:rPr>
  </w:style>
  <w:style w:type="paragraph" w:customStyle="1" w:styleId="N">
    <w:name w:val="Աղյուսակ N"/>
    <w:basedOn w:val="BodyText2"/>
    <w:link w:val="NChar"/>
    <w:qFormat/>
    <w:rsid w:val="00FF291F"/>
  </w:style>
  <w:style w:type="character" w:customStyle="1" w:styleId="NChar">
    <w:name w:val="Աղյուսակ N Char"/>
    <w:basedOn w:val="BodyText2Char"/>
    <w:link w:val="N"/>
    <w:rsid w:val="00FF291F"/>
    <w:rPr>
      <w:rFonts w:ascii="GHEA Grapalat" w:eastAsia="Calibri" w:hAnsi="GHEA Grapalat"/>
      <w:sz w:val="22"/>
      <w:szCs w:val="22"/>
      <w:lang w:val="hy-AM"/>
    </w:rPr>
  </w:style>
  <w:style w:type="numbering" w:customStyle="1" w:styleId="NoList6">
    <w:name w:val="No List6"/>
    <w:next w:val="NoList"/>
    <w:uiPriority w:val="99"/>
    <w:semiHidden/>
    <w:unhideWhenUsed/>
    <w:rsid w:val="004163F2"/>
  </w:style>
  <w:style w:type="character" w:customStyle="1" w:styleId="BodyTextIndentChar1">
    <w:name w:val="Body Text Indent Char1"/>
    <w:aliases w:val="(Table Source) Char1,(Table Source) Char Char"/>
    <w:rsid w:val="004163F2"/>
    <w:rPr>
      <w:rFonts w:eastAsia="Batang"/>
      <w:sz w:val="24"/>
    </w:rPr>
  </w:style>
  <w:style w:type="numbering" w:customStyle="1" w:styleId="NoList7">
    <w:name w:val="No List7"/>
    <w:next w:val="NoList"/>
    <w:uiPriority w:val="99"/>
    <w:semiHidden/>
    <w:unhideWhenUsed/>
    <w:rsid w:val="003E71C9"/>
  </w:style>
  <w:style w:type="table" w:customStyle="1" w:styleId="TableGrid30">
    <w:name w:val="Table Grid3"/>
    <w:basedOn w:val="TableNormal"/>
    <w:next w:val="TableGrid"/>
    <w:rsid w:val="003E71C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unhideWhenUsed/>
    <w:rsid w:val="003E71C9"/>
  </w:style>
  <w:style w:type="numbering" w:customStyle="1" w:styleId="NoList113">
    <w:name w:val="No List113"/>
    <w:next w:val="NoList"/>
    <w:semiHidden/>
    <w:rsid w:val="003E71C9"/>
  </w:style>
  <w:style w:type="table" w:customStyle="1" w:styleId="TableGrid11">
    <w:name w:val="Table Grid11"/>
    <w:basedOn w:val="TableNormal"/>
    <w:next w:val="TableGrid"/>
    <w:rsid w:val="003E71C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semiHidden/>
    <w:rsid w:val="003E71C9"/>
  </w:style>
  <w:style w:type="numbering" w:customStyle="1" w:styleId="NoList22">
    <w:name w:val="No List22"/>
    <w:next w:val="NoList"/>
    <w:semiHidden/>
    <w:rsid w:val="003E71C9"/>
  </w:style>
  <w:style w:type="numbering" w:customStyle="1" w:styleId="NoList32">
    <w:name w:val="No List32"/>
    <w:next w:val="NoList"/>
    <w:semiHidden/>
    <w:unhideWhenUsed/>
    <w:rsid w:val="003E71C9"/>
  </w:style>
  <w:style w:type="table" w:customStyle="1" w:styleId="TableList71">
    <w:name w:val="Table List 71"/>
    <w:basedOn w:val="TableNormal"/>
    <w:next w:val="TableList7"/>
    <w:rsid w:val="003E71C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
    <w:name w:val="Table Web 31"/>
    <w:basedOn w:val="TableNormal"/>
    <w:next w:val="TableWeb3"/>
    <w:rsid w:val="003E71C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3E71C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3E71C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3E71C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3E71C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3E71C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
    <w:name w:val="Light List - Accent 12"/>
    <w:basedOn w:val="TableNormal"/>
    <w:next w:val="LightList-Accent1"/>
    <w:uiPriority w:val="61"/>
    <w:rsid w:val="003E71C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
    <w:name w:val="Table Grid 71"/>
    <w:basedOn w:val="TableNormal"/>
    <w:next w:val="TableGrid7"/>
    <w:rsid w:val="003E71C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
    <w:name w:val="Colorful Grid - Accent 12"/>
    <w:basedOn w:val="TableNormal"/>
    <w:next w:val="ColorfulGrid-Accent1"/>
    <w:rsid w:val="003E71C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next w:val="LightList-Accent5"/>
    <w:rsid w:val="003E71C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
    <w:name w:val="Table Simple 31"/>
    <w:basedOn w:val="TableNormal"/>
    <w:next w:val="TableSimple3"/>
    <w:rsid w:val="003E71C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
    <w:name w:val="Table Grid 51"/>
    <w:basedOn w:val="TableNormal"/>
    <w:next w:val="TableGrid5"/>
    <w:rsid w:val="003E71C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
    <w:name w:val="Table Grid 31"/>
    <w:basedOn w:val="TableNormal"/>
    <w:next w:val="TableGrid3"/>
    <w:rsid w:val="003E71C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3E71C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rsid w:val="003E71C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
    <w:name w:val="Light List - Accent 111"/>
    <w:basedOn w:val="TableNormal"/>
    <w:uiPriority w:val="61"/>
    <w:rsid w:val="003E71C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0">
    <w:name w:val="Нет списка12"/>
    <w:next w:val="NoList"/>
    <w:uiPriority w:val="99"/>
    <w:semiHidden/>
    <w:unhideWhenUsed/>
    <w:rsid w:val="003E71C9"/>
  </w:style>
  <w:style w:type="table" w:customStyle="1" w:styleId="ColorfulGrid-Accent111">
    <w:name w:val="Colorful Grid - Accent 111"/>
    <w:basedOn w:val="TableNormal"/>
    <w:rsid w:val="003E71C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
    <w:name w:val="Light List - Accent 511"/>
    <w:basedOn w:val="TableNormal"/>
    <w:rsid w:val="003E71C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
    <w:name w:val="No List41"/>
    <w:next w:val="NoList"/>
    <w:semiHidden/>
    <w:rsid w:val="003E71C9"/>
  </w:style>
  <w:style w:type="table" w:customStyle="1" w:styleId="Table3Deffects31">
    <w:name w:val="Table 3D effects 31"/>
    <w:basedOn w:val="TableNormal"/>
    <w:next w:val="Table3Deffects3"/>
    <w:rsid w:val="003E71C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
    <w:name w:val="Нет списка111"/>
    <w:next w:val="NoList"/>
    <w:semiHidden/>
    <w:unhideWhenUsed/>
    <w:rsid w:val="003E71C9"/>
  </w:style>
  <w:style w:type="numbering" w:customStyle="1" w:styleId="NoList51">
    <w:name w:val="No List51"/>
    <w:next w:val="NoList"/>
    <w:uiPriority w:val="99"/>
    <w:semiHidden/>
    <w:unhideWhenUsed/>
    <w:rsid w:val="003E71C9"/>
  </w:style>
  <w:style w:type="numbering" w:customStyle="1" w:styleId="NoList121">
    <w:name w:val="No List121"/>
    <w:next w:val="NoList"/>
    <w:uiPriority w:val="99"/>
    <w:semiHidden/>
    <w:rsid w:val="003E71C9"/>
  </w:style>
  <w:style w:type="numbering" w:customStyle="1" w:styleId="NoList1121">
    <w:name w:val="No List1121"/>
    <w:next w:val="NoList"/>
    <w:semiHidden/>
    <w:rsid w:val="003E71C9"/>
  </w:style>
  <w:style w:type="numbering" w:customStyle="1" w:styleId="NoList11111">
    <w:name w:val="No List11111"/>
    <w:next w:val="NoList"/>
    <w:semiHidden/>
    <w:rsid w:val="003E71C9"/>
  </w:style>
  <w:style w:type="numbering" w:customStyle="1" w:styleId="NoList211">
    <w:name w:val="No List211"/>
    <w:next w:val="NoList"/>
    <w:semiHidden/>
    <w:rsid w:val="003E71C9"/>
  </w:style>
  <w:style w:type="table" w:customStyle="1" w:styleId="TableGrid21">
    <w:name w:val="Table Grid21"/>
    <w:basedOn w:val="TableNormal"/>
    <w:next w:val="TableGrid"/>
    <w:rsid w:val="003E7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semiHidden/>
    <w:unhideWhenUsed/>
    <w:rsid w:val="003E71C9"/>
  </w:style>
  <w:style w:type="numbering" w:customStyle="1" w:styleId="NoList8">
    <w:name w:val="No List8"/>
    <w:next w:val="NoList"/>
    <w:uiPriority w:val="99"/>
    <w:semiHidden/>
    <w:unhideWhenUsed/>
    <w:rsid w:val="00243A0B"/>
  </w:style>
  <w:style w:type="numbering" w:customStyle="1" w:styleId="NoList9">
    <w:name w:val="No List9"/>
    <w:next w:val="NoList"/>
    <w:uiPriority w:val="99"/>
    <w:semiHidden/>
    <w:unhideWhenUsed/>
    <w:rsid w:val="000E5840"/>
  </w:style>
  <w:style w:type="table" w:customStyle="1" w:styleId="TableGrid4">
    <w:name w:val="Table Grid4"/>
    <w:basedOn w:val="TableNormal"/>
    <w:next w:val="TableGrid"/>
    <w:uiPriority w:val="39"/>
    <w:rsid w:val="000E5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
    <w:name w:val="Table List 72"/>
    <w:basedOn w:val="TableNormal"/>
    <w:next w:val="TableList7"/>
    <w:rsid w:val="000E584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
    <w:name w:val="Table Web 32"/>
    <w:basedOn w:val="TableNormal"/>
    <w:next w:val="TableWeb3"/>
    <w:rsid w:val="000E584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0E584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bering">
    <w:name w:val="Numbering"/>
    <w:basedOn w:val="Normal"/>
    <w:next w:val="Normal"/>
    <w:rsid w:val="000E5840"/>
    <w:pPr>
      <w:tabs>
        <w:tab w:val="num" w:pos="360"/>
      </w:tabs>
      <w:spacing w:before="0" w:line="240" w:lineRule="auto"/>
      <w:ind w:left="360" w:hanging="360"/>
      <w:jc w:val="left"/>
    </w:pPr>
    <w:rPr>
      <w:rFonts w:ascii="Times Armenian" w:hAnsi="Times Armenian"/>
      <w:b w:val="0"/>
      <w:sz w:val="20"/>
      <w:szCs w:val="20"/>
      <w:lang w:val="en-US" w:eastAsia="en-US"/>
    </w:rPr>
  </w:style>
  <w:style w:type="table" w:customStyle="1" w:styleId="TableWeb22">
    <w:name w:val="Table Web 22"/>
    <w:basedOn w:val="TableNormal"/>
    <w:next w:val="TableWeb2"/>
    <w:rsid w:val="000E584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leNormal"/>
    <w:next w:val="TableWeb1"/>
    <w:rsid w:val="000E584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rsid w:val="000E584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0E58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
    <w:name w:val="No List14"/>
    <w:next w:val="NoList"/>
    <w:semiHidden/>
    <w:unhideWhenUsed/>
    <w:rsid w:val="000E5840"/>
  </w:style>
  <w:style w:type="numbering" w:customStyle="1" w:styleId="NoList23">
    <w:name w:val="No List23"/>
    <w:next w:val="NoList"/>
    <w:semiHidden/>
    <w:unhideWhenUsed/>
    <w:rsid w:val="000E5840"/>
  </w:style>
  <w:style w:type="numbering" w:customStyle="1" w:styleId="NoList33">
    <w:name w:val="No List33"/>
    <w:next w:val="NoList"/>
    <w:semiHidden/>
    <w:unhideWhenUsed/>
    <w:rsid w:val="000E5840"/>
  </w:style>
  <w:style w:type="character" w:customStyle="1" w:styleId="Heading1Char1">
    <w:name w:val="Heading 1 Char1"/>
    <w:aliases w:val="(Section) Char1,Section Heading Char1,(Text) Char1,1 Char1,Chapter Char1,head3 Char1"/>
    <w:uiPriority w:val="99"/>
    <w:locked/>
    <w:rsid w:val="000E5840"/>
    <w:rPr>
      <w:rFonts w:ascii="Arial" w:hAnsi="Arial"/>
      <w:b/>
      <w:kern w:val="32"/>
      <w:sz w:val="32"/>
    </w:rPr>
  </w:style>
  <w:style w:type="table" w:customStyle="1" w:styleId="LightList-Accent13">
    <w:name w:val="Light List - Accent 13"/>
    <w:basedOn w:val="TableNormal"/>
    <w:next w:val="LightList-Accent1"/>
    <w:uiPriority w:val="61"/>
    <w:rsid w:val="000E58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
    <w:name w:val="Table Grid 72"/>
    <w:basedOn w:val="TableNormal"/>
    <w:next w:val="TableGrid7"/>
    <w:rsid w:val="000E584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
    <w:name w:val="Colorful Grid - Accent 13"/>
    <w:basedOn w:val="TableNormal"/>
    <w:next w:val="ColorfulGrid-Accent1"/>
    <w:uiPriority w:val="73"/>
    <w:rsid w:val="000E584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
    <w:name w:val="Light List - Accent 53"/>
    <w:basedOn w:val="TableNormal"/>
    <w:next w:val="LightList-Accent5"/>
    <w:uiPriority w:val="61"/>
    <w:rsid w:val="000E584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
    <w:name w:val="Table Simple 32"/>
    <w:basedOn w:val="TableNormal"/>
    <w:next w:val="TableSimple3"/>
    <w:rsid w:val="000E584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
    <w:name w:val="Table Grid 52"/>
    <w:basedOn w:val="TableNormal"/>
    <w:next w:val="TableGrid5"/>
    <w:rsid w:val="000E584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
    <w:name w:val="Table Grid 32"/>
    <w:basedOn w:val="TableNormal"/>
    <w:next w:val="TableGrid3"/>
    <w:rsid w:val="000E584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0E584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rsid w:val="000E584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
    <w:name w:val="Light List - Accent 112"/>
    <w:basedOn w:val="TableNormal"/>
    <w:uiPriority w:val="61"/>
    <w:rsid w:val="000E58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0">
    <w:name w:val="Нет списка13"/>
    <w:next w:val="NoList"/>
    <w:semiHidden/>
    <w:unhideWhenUsed/>
    <w:rsid w:val="000E5840"/>
  </w:style>
  <w:style w:type="table" w:customStyle="1" w:styleId="ColorfulGrid-Accent112">
    <w:name w:val="Colorful Grid - Accent 112"/>
    <w:basedOn w:val="TableNormal"/>
    <w:rsid w:val="000E5840"/>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
    <w:name w:val="Light List - Accent 512"/>
    <w:basedOn w:val="TableNormal"/>
    <w:rsid w:val="000E5840"/>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
    <w:name w:val="No List42"/>
    <w:next w:val="NoList"/>
    <w:semiHidden/>
    <w:rsid w:val="000E5840"/>
  </w:style>
  <w:style w:type="numbering" w:customStyle="1" w:styleId="NoList114">
    <w:name w:val="No List114"/>
    <w:next w:val="NoList"/>
    <w:semiHidden/>
    <w:unhideWhenUsed/>
    <w:rsid w:val="000E5840"/>
  </w:style>
  <w:style w:type="table" w:customStyle="1" w:styleId="Table3Deffects32">
    <w:name w:val="Table 3D effects 32"/>
    <w:basedOn w:val="TableNormal"/>
    <w:next w:val="Table3Deffects3"/>
    <w:rsid w:val="000E584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0">
    <w:name w:val="Нет списка112"/>
    <w:next w:val="NoList"/>
    <w:semiHidden/>
    <w:unhideWhenUsed/>
    <w:rsid w:val="000E5840"/>
  </w:style>
  <w:style w:type="numbering" w:customStyle="1" w:styleId="NoList10">
    <w:name w:val="No List10"/>
    <w:next w:val="NoList"/>
    <w:uiPriority w:val="99"/>
    <w:semiHidden/>
    <w:unhideWhenUsed/>
    <w:rsid w:val="00BD032A"/>
  </w:style>
  <w:style w:type="table" w:customStyle="1" w:styleId="TableGrid50">
    <w:name w:val="Table Grid5"/>
    <w:basedOn w:val="TableNormal"/>
    <w:next w:val="TableGrid"/>
    <w:uiPriority w:val="39"/>
    <w:rsid w:val="00BD032A"/>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BD032A"/>
  </w:style>
  <w:style w:type="numbering" w:customStyle="1" w:styleId="NoList115">
    <w:name w:val="No List115"/>
    <w:next w:val="NoList"/>
    <w:semiHidden/>
    <w:rsid w:val="00BD032A"/>
  </w:style>
  <w:style w:type="table" w:customStyle="1" w:styleId="TableGrid120">
    <w:name w:val="Table Grid12"/>
    <w:basedOn w:val="TableNormal"/>
    <w:next w:val="TableGrid"/>
    <w:uiPriority w:val="39"/>
    <w:rsid w:val="00BD032A"/>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semiHidden/>
    <w:rsid w:val="00BD032A"/>
  </w:style>
  <w:style w:type="numbering" w:customStyle="1" w:styleId="NoList24">
    <w:name w:val="No List24"/>
    <w:next w:val="NoList"/>
    <w:semiHidden/>
    <w:rsid w:val="00BD032A"/>
  </w:style>
  <w:style w:type="numbering" w:customStyle="1" w:styleId="NoList34">
    <w:name w:val="No List34"/>
    <w:next w:val="NoList"/>
    <w:semiHidden/>
    <w:unhideWhenUsed/>
    <w:rsid w:val="00BD032A"/>
  </w:style>
  <w:style w:type="table" w:customStyle="1" w:styleId="TableList73">
    <w:name w:val="Table List 73"/>
    <w:basedOn w:val="TableNormal"/>
    <w:next w:val="TableList7"/>
    <w:rsid w:val="00BD032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
    <w:name w:val="Table Web 33"/>
    <w:basedOn w:val="TableNormal"/>
    <w:next w:val="TableWeb3"/>
    <w:rsid w:val="00BD032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BD032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BD032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BD032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
    <w:rsid w:val="00BD032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BD032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
    <w:name w:val="Light List - Accent 14"/>
    <w:basedOn w:val="TableNormal"/>
    <w:next w:val="LightList-Accent1"/>
    <w:uiPriority w:val="61"/>
    <w:rsid w:val="00BD032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
    <w:name w:val="Table Grid 73"/>
    <w:basedOn w:val="TableNormal"/>
    <w:next w:val="TableGrid7"/>
    <w:rsid w:val="00BD032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
    <w:name w:val="Colorful Grid - Accent 14"/>
    <w:basedOn w:val="TableNormal"/>
    <w:next w:val="ColorfulGrid-Accent1"/>
    <w:uiPriority w:val="73"/>
    <w:rsid w:val="00BD032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
    <w:name w:val="Light List - Accent 54"/>
    <w:basedOn w:val="TableNormal"/>
    <w:next w:val="LightList-Accent5"/>
    <w:uiPriority w:val="61"/>
    <w:rsid w:val="00BD032A"/>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
    <w:name w:val="Table Simple 33"/>
    <w:basedOn w:val="TableNormal"/>
    <w:next w:val="TableSimple3"/>
    <w:rsid w:val="00BD032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
    <w:name w:val="Table Grid 53"/>
    <w:basedOn w:val="TableNormal"/>
    <w:next w:val="TableGrid5"/>
    <w:rsid w:val="00BD032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
    <w:name w:val="Table Grid 33"/>
    <w:basedOn w:val="TableNormal"/>
    <w:next w:val="TableGrid3"/>
    <w:rsid w:val="00BD032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
    <w:name w:val="Table Grid 13"/>
    <w:basedOn w:val="TableNormal"/>
    <w:next w:val="TableGrid10"/>
    <w:rsid w:val="00BD032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BD032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
    <w:name w:val="Light List - Accent 113"/>
    <w:basedOn w:val="TableNormal"/>
    <w:uiPriority w:val="61"/>
    <w:rsid w:val="00BD032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0">
    <w:name w:val="Нет списка14"/>
    <w:next w:val="NoList"/>
    <w:semiHidden/>
    <w:unhideWhenUsed/>
    <w:rsid w:val="00BD032A"/>
  </w:style>
  <w:style w:type="table" w:customStyle="1" w:styleId="ColorfulGrid-Accent113">
    <w:name w:val="Colorful Grid - Accent 113"/>
    <w:basedOn w:val="TableNormal"/>
    <w:rsid w:val="00BD032A"/>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
    <w:name w:val="Light List - Accent 513"/>
    <w:basedOn w:val="TableNormal"/>
    <w:rsid w:val="00BD032A"/>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
    <w:name w:val="No List43"/>
    <w:next w:val="NoList"/>
    <w:semiHidden/>
    <w:rsid w:val="00BD032A"/>
  </w:style>
  <w:style w:type="table" w:customStyle="1" w:styleId="Table3Deffects33">
    <w:name w:val="Table 3D effects 33"/>
    <w:basedOn w:val="TableNormal"/>
    <w:next w:val="Table3Deffects3"/>
    <w:rsid w:val="00BD032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NoList"/>
    <w:semiHidden/>
    <w:unhideWhenUsed/>
    <w:rsid w:val="00BD032A"/>
  </w:style>
  <w:style w:type="numbering" w:customStyle="1" w:styleId="NoList52">
    <w:name w:val="No List52"/>
    <w:next w:val="NoList"/>
    <w:uiPriority w:val="99"/>
    <w:semiHidden/>
    <w:unhideWhenUsed/>
    <w:rsid w:val="00BD032A"/>
  </w:style>
  <w:style w:type="numbering" w:customStyle="1" w:styleId="NoList122">
    <w:name w:val="No List122"/>
    <w:next w:val="NoList"/>
    <w:uiPriority w:val="99"/>
    <w:semiHidden/>
    <w:rsid w:val="00BD032A"/>
  </w:style>
  <w:style w:type="numbering" w:customStyle="1" w:styleId="NoList1122">
    <w:name w:val="No List1122"/>
    <w:next w:val="NoList"/>
    <w:semiHidden/>
    <w:rsid w:val="00BD032A"/>
  </w:style>
  <w:style w:type="numbering" w:customStyle="1" w:styleId="NoList11112">
    <w:name w:val="No List11112"/>
    <w:next w:val="NoList"/>
    <w:semiHidden/>
    <w:rsid w:val="00BD032A"/>
  </w:style>
  <w:style w:type="numbering" w:customStyle="1" w:styleId="NoList212">
    <w:name w:val="No List212"/>
    <w:next w:val="NoList"/>
    <w:semiHidden/>
    <w:rsid w:val="00BD032A"/>
  </w:style>
  <w:style w:type="table" w:customStyle="1" w:styleId="TableGrid22">
    <w:name w:val="Table Grid22"/>
    <w:basedOn w:val="TableNormal"/>
    <w:next w:val="TableGrid"/>
    <w:uiPriority w:val="39"/>
    <w:rsid w:val="00BD0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semiHidden/>
    <w:unhideWhenUsed/>
    <w:rsid w:val="00BD032A"/>
  </w:style>
  <w:style w:type="table" w:styleId="LightShading-Accent1">
    <w:name w:val="Light Shading Accent 1"/>
    <w:basedOn w:val="TableNormal"/>
    <w:uiPriority w:val="60"/>
    <w:rsid w:val="007660E4"/>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2-Accent5">
    <w:name w:val="Medium List 2 Accent 5"/>
    <w:basedOn w:val="TableNormal"/>
    <w:uiPriority w:val="66"/>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5">
    <w:name w:val="Light List - Accent 15"/>
    <w:basedOn w:val="TableNormal"/>
    <w:next w:val="LightList-Accent1"/>
    <w:uiPriority w:val="61"/>
    <w:rsid w:val="007660E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5">
    <w:name w:val="Medium Grid 3 Accent 5"/>
    <w:basedOn w:val="TableNormal"/>
    <w:uiPriority w:val="69"/>
    <w:rsid w:val="007660E4"/>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7660E4"/>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2-Accent5">
    <w:name w:val="Medium Grid 2 Accent 5"/>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7660E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List4">
    <w:name w:val="Table List 4"/>
    <w:basedOn w:val="TableNormal"/>
    <w:rsid w:val="0086441C"/>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ParagraphNumbering">
    <w:name w:val="Paragraph Numbering"/>
    <w:basedOn w:val="Normal"/>
    <w:link w:val="ParagraphNumberingChar"/>
    <w:qFormat/>
    <w:rsid w:val="0086441C"/>
    <w:pPr>
      <w:numPr>
        <w:numId w:val="15"/>
      </w:numPr>
      <w:spacing w:before="0" w:after="240" w:line="240" w:lineRule="auto"/>
      <w:jc w:val="left"/>
    </w:pPr>
    <w:rPr>
      <w:rFonts w:ascii="Segoe UI" w:eastAsia="MS Mincho" w:hAnsi="Segoe UI"/>
      <w:b w:val="0"/>
      <w:sz w:val="21"/>
      <w:lang w:val="en-US" w:eastAsia="en-US"/>
    </w:rPr>
  </w:style>
  <w:style w:type="character" w:customStyle="1" w:styleId="ParagraphNumberingChar">
    <w:name w:val="Paragraph Numbering Char"/>
    <w:link w:val="ParagraphNumbering"/>
    <w:rsid w:val="0086441C"/>
    <w:rPr>
      <w:rFonts w:ascii="Segoe UI" w:eastAsia="MS Mincho" w:hAnsi="Segoe UI"/>
      <w:sz w:val="21"/>
      <w:szCs w:val="24"/>
    </w:rPr>
  </w:style>
  <w:style w:type="table" w:customStyle="1" w:styleId="TableList41">
    <w:name w:val="Table List 41"/>
    <w:basedOn w:val="TableNormal"/>
    <w:next w:val="TableList4"/>
    <w:rsid w:val="0086441C"/>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864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rsid w:val="008644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6">
    <w:name w:val="Table Grid 6"/>
    <w:basedOn w:val="TableNormal"/>
    <w:rsid w:val="0086441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
    <w:name w:val="Table List 42"/>
    <w:basedOn w:val="TableNormal"/>
    <w:next w:val="TableList4"/>
    <w:rsid w:val="0086441C"/>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
    <w:name w:val="Table List 411"/>
    <w:basedOn w:val="TableNormal"/>
    <w:next w:val="TableList4"/>
    <w:rsid w:val="0086441C"/>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
    <w:name w:val="Style11"/>
    <w:basedOn w:val="TableElegant"/>
    <w:uiPriority w:val="99"/>
    <w:rsid w:val="0086441C"/>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
    <w:name w:val="Style21"/>
    <w:basedOn w:val="TableGrid5"/>
    <w:uiPriority w:val="99"/>
    <w:rsid w:val="0086441C"/>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
    <w:name w:val="Style211"/>
    <w:basedOn w:val="TableGrid5"/>
    <w:uiPriority w:val="99"/>
    <w:rsid w:val="0086441C"/>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
    <w:name w:val="No List16"/>
    <w:next w:val="NoList"/>
    <w:semiHidden/>
    <w:unhideWhenUsed/>
    <w:rsid w:val="0006050F"/>
  </w:style>
  <w:style w:type="table" w:customStyle="1" w:styleId="TableGrid60">
    <w:name w:val="Table Grid6"/>
    <w:basedOn w:val="TableNormal"/>
    <w:next w:val="TableGrid"/>
    <w:uiPriority w:val="39"/>
    <w:rsid w:val="00060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06050F"/>
  </w:style>
  <w:style w:type="numbering" w:customStyle="1" w:styleId="NoList116">
    <w:name w:val="No List116"/>
    <w:next w:val="NoList"/>
    <w:semiHidden/>
    <w:rsid w:val="0006050F"/>
  </w:style>
  <w:style w:type="table" w:customStyle="1" w:styleId="TableGrid130">
    <w:name w:val="Table Grid13"/>
    <w:basedOn w:val="TableNormal"/>
    <w:next w:val="TableGrid"/>
    <w:rsid w:val="00060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10572B"/>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1">
    <w:name w:val="Medium Grid 2 - Accent 11"/>
    <w:basedOn w:val="TableNormal"/>
    <w:next w:val="MediumGrid2-Accent1"/>
    <w:uiPriority w:val="68"/>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1">
    <w:name w:val="Medium List 2 - Accent 51"/>
    <w:basedOn w:val="TableNormal"/>
    <w:next w:val="MediumList2-Accent5"/>
    <w:uiPriority w:val="66"/>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6">
    <w:name w:val="Light List - Accent 16"/>
    <w:basedOn w:val="TableNormal"/>
    <w:next w:val="LightList-Accent1"/>
    <w:uiPriority w:val="61"/>
    <w:rsid w:val="0010572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1">
    <w:name w:val="Medium Grid 3 - Accent 51"/>
    <w:basedOn w:val="TableNormal"/>
    <w:next w:val="MediumGrid3-Accent5"/>
    <w:uiPriority w:val="69"/>
    <w:rsid w:val="0010572B"/>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1">
    <w:name w:val="Light Shading - Accent 51"/>
    <w:basedOn w:val="TableNormal"/>
    <w:next w:val="LightShading-Accent5"/>
    <w:uiPriority w:val="60"/>
    <w:rsid w:val="0010572B"/>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1">
    <w:name w:val="Medium Grid 2 - Accent 51"/>
    <w:basedOn w:val="TableNormal"/>
    <w:next w:val="MediumGrid2-Accent5"/>
    <w:uiPriority w:val="68"/>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1">
    <w:name w:val="Light Grid - Accent 11"/>
    <w:basedOn w:val="TableNormal"/>
    <w:next w:val="LightGrid-Accent1"/>
    <w:uiPriority w:val="62"/>
    <w:rsid w:val="0010572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2">
    <w:name w:val="Light Shading - Accent 12"/>
    <w:basedOn w:val="TableNormal"/>
    <w:next w:val="LightShading-Accent1"/>
    <w:uiPriority w:val="60"/>
    <w:rsid w:val="00360620"/>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2">
    <w:name w:val="Medium Grid 2 - Accent 12"/>
    <w:basedOn w:val="TableNormal"/>
    <w:next w:val="MediumGrid2-Accent1"/>
    <w:uiPriority w:val="68"/>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2">
    <w:name w:val="Medium List 2 - Accent 52"/>
    <w:basedOn w:val="TableNormal"/>
    <w:next w:val="MediumList2-Accent5"/>
    <w:uiPriority w:val="66"/>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7">
    <w:name w:val="Light List - Accent 17"/>
    <w:basedOn w:val="TableNormal"/>
    <w:next w:val="LightList-Accent1"/>
    <w:uiPriority w:val="61"/>
    <w:rsid w:val="0036062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2">
    <w:name w:val="Medium Grid 3 - Accent 52"/>
    <w:basedOn w:val="TableNormal"/>
    <w:next w:val="MediumGrid3-Accent5"/>
    <w:uiPriority w:val="69"/>
    <w:rsid w:val="00360620"/>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2">
    <w:name w:val="Light Shading - Accent 52"/>
    <w:basedOn w:val="TableNormal"/>
    <w:next w:val="LightShading-Accent5"/>
    <w:uiPriority w:val="60"/>
    <w:rsid w:val="00360620"/>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2">
    <w:name w:val="Medium Grid 2 - Accent 52"/>
    <w:basedOn w:val="TableNormal"/>
    <w:next w:val="MediumGrid2-Accent5"/>
    <w:uiPriority w:val="68"/>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2">
    <w:name w:val="Light Grid - Accent 12"/>
    <w:basedOn w:val="TableNormal"/>
    <w:next w:val="LightGrid-Accent1"/>
    <w:uiPriority w:val="62"/>
    <w:rsid w:val="0036062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18">
    <w:name w:val="No List18"/>
    <w:next w:val="NoList"/>
    <w:semiHidden/>
    <w:unhideWhenUsed/>
    <w:rsid w:val="00006BCE"/>
  </w:style>
  <w:style w:type="table" w:customStyle="1" w:styleId="TableGrid70">
    <w:name w:val="Table Grid7"/>
    <w:basedOn w:val="TableNormal"/>
    <w:next w:val="TableGrid"/>
    <w:uiPriority w:val="39"/>
    <w:rsid w:val="00006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
    <w:name w:val="Table List 74"/>
    <w:basedOn w:val="TableNormal"/>
    <w:next w:val="TableList7"/>
    <w:rsid w:val="00006BC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
    <w:name w:val="Table Web 34"/>
    <w:basedOn w:val="TableNormal"/>
    <w:next w:val="TableWeb3"/>
    <w:rsid w:val="00006BC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
    <w:name w:val="Table Elegant4"/>
    <w:basedOn w:val="TableNormal"/>
    <w:next w:val="TableElegant"/>
    <w:rsid w:val="00006BC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006BC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
    <w:name w:val="Table Web 14"/>
    <w:basedOn w:val="TableNormal"/>
    <w:next w:val="TableWeb1"/>
    <w:rsid w:val="00006BC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
    <w:name w:val="Table Grid 84"/>
    <w:basedOn w:val="TableNormal"/>
    <w:next w:val="TableGrid8"/>
    <w:rsid w:val="00006B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
    <w:name w:val="Table Contemporary4"/>
    <w:basedOn w:val="TableNormal"/>
    <w:next w:val="TableContemporary"/>
    <w:rsid w:val="00006BC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
    <w:name w:val="No List19"/>
    <w:next w:val="NoList"/>
    <w:semiHidden/>
    <w:unhideWhenUsed/>
    <w:rsid w:val="00006BCE"/>
  </w:style>
  <w:style w:type="numbering" w:customStyle="1" w:styleId="NoList25">
    <w:name w:val="No List25"/>
    <w:next w:val="NoList"/>
    <w:semiHidden/>
    <w:unhideWhenUsed/>
    <w:rsid w:val="00006BCE"/>
  </w:style>
  <w:style w:type="numbering" w:customStyle="1" w:styleId="NoList35">
    <w:name w:val="No List35"/>
    <w:next w:val="NoList"/>
    <w:semiHidden/>
    <w:unhideWhenUsed/>
    <w:rsid w:val="00006BCE"/>
  </w:style>
  <w:style w:type="table" w:customStyle="1" w:styleId="LightList-Accent18">
    <w:name w:val="Light List - Accent 18"/>
    <w:basedOn w:val="TableNormal"/>
    <w:next w:val="LightList-Accent1"/>
    <w:uiPriority w:val="61"/>
    <w:rsid w:val="00006BC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
    <w:name w:val="Table Grid 74"/>
    <w:basedOn w:val="TableNormal"/>
    <w:next w:val="TableGrid7"/>
    <w:rsid w:val="00006B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
    <w:name w:val="Colorful Grid - Accent 15"/>
    <w:basedOn w:val="TableNormal"/>
    <w:next w:val="ColorfulGrid-Accent1"/>
    <w:uiPriority w:val="73"/>
    <w:rsid w:val="00006BCE"/>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
    <w:name w:val="Light List - Accent 55"/>
    <w:basedOn w:val="TableNormal"/>
    <w:next w:val="LightList-Accent5"/>
    <w:uiPriority w:val="61"/>
    <w:rsid w:val="00006BC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
    <w:name w:val="Table Simple 34"/>
    <w:basedOn w:val="TableNormal"/>
    <w:next w:val="TableSimple3"/>
    <w:rsid w:val="00006BC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
    <w:name w:val="Table Grid 54"/>
    <w:basedOn w:val="TableNormal"/>
    <w:next w:val="TableGrid5"/>
    <w:rsid w:val="00006BC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
    <w:name w:val="Table Grid 34"/>
    <w:basedOn w:val="TableNormal"/>
    <w:next w:val="TableGrid3"/>
    <w:rsid w:val="00006BC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
    <w:name w:val="Table Grid 14"/>
    <w:basedOn w:val="TableNormal"/>
    <w:next w:val="TableGrid10"/>
    <w:rsid w:val="00006BC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
    <w:name w:val="Table Columns 54"/>
    <w:basedOn w:val="TableNormal"/>
    <w:next w:val="TableColumns5"/>
    <w:rsid w:val="00006BC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
    <w:name w:val="Light List - Accent 114"/>
    <w:basedOn w:val="TableNormal"/>
    <w:uiPriority w:val="61"/>
    <w:rsid w:val="00006BC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0">
    <w:name w:val="Нет списка15"/>
    <w:next w:val="NoList"/>
    <w:semiHidden/>
    <w:unhideWhenUsed/>
    <w:rsid w:val="00006BCE"/>
  </w:style>
  <w:style w:type="table" w:customStyle="1" w:styleId="ColorfulGrid-Accent114">
    <w:name w:val="Colorful Grid - Accent 114"/>
    <w:basedOn w:val="TableNormal"/>
    <w:rsid w:val="00006BCE"/>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
    <w:name w:val="Light List - Accent 514"/>
    <w:basedOn w:val="TableNormal"/>
    <w:rsid w:val="00006BCE"/>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
    <w:name w:val="No List44"/>
    <w:next w:val="NoList"/>
    <w:semiHidden/>
    <w:rsid w:val="00006BCE"/>
  </w:style>
  <w:style w:type="numbering" w:customStyle="1" w:styleId="NoList117">
    <w:name w:val="No List117"/>
    <w:next w:val="NoList"/>
    <w:semiHidden/>
    <w:unhideWhenUsed/>
    <w:rsid w:val="00006BCE"/>
  </w:style>
  <w:style w:type="table" w:customStyle="1" w:styleId="Table3Deffects34">
    <w:name w:val="Table 3D effects 34"/>
    <w:basedOn w:val="TableNormal"/>
    <w:next w:val="Table3Deffects3"/>
    <w:rsid w:val="00006BC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NoList"/>
    <w:semiHidden/>
    <w:unhideWhenUsed/>
    <w:rsid w:val="00006BCE"/>
  </w:style>
  <w:style w:type="table" w:customStyle="1" w:styleId="Style111">
    <w:name w:val="Style111"/>
    <w:basedOn w:val="TableElegant"/>
    <w:uiPriority w:val="99"/>
    <w:rsid w:val="00BC5928"/>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
    <w:name w:val="Style212"/>
    <w:basedOn w:val="TableGrid5"/>
    <w:uiPriority w:val="99"/>
    <w:rsid w:val="00BC5928"/>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
    <w:name w:val="Style2111"/>
    <w:basedOn w:val="TableGrid5"/>
    <w:uiPriority w:val="99"/>
    <w:rsid w:val="00BC5928"/>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
    <w:name w:val="Style112"/>
    <w:basedOn w:val="TableElegant"/>
    <w:uiPriority w:val="99"/>
    <w:rsid w:val="00D70E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
    <w:name w:val="Style213"/>
    <w:basedOn w:val="TableGrid5"/>
    <w:uiPriority w:val="99"/>
    <w:rsid w:val="00D70E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
    <w:name w:val="Style2112"/>
    <w:basedOn w:val="TableGrid5"/>
    <w:uiPriority w:val="99"/>
    <w:rsid w:val="00D70E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
    <w:name w:val="No List20"/>
    <w:next w:val="NoList"/>
    <w:uiPriority w:val="99"/>
    <w:semiHidden/>
    <w:unhideWhenUsed/>
    <w:rsid w:val="009526B6"/>
  </w:style>
  <w:style w:type="numbering" w:customStyle="1" w:styleId="NoList110">
    <w:name w:val="No List110"/>
    <w:next w:val="NoList"/>
    <w:uiPriority w:val="99"/>
    <w:semiHidden/>
    <w:unhideWhenUsed/>
    <w:rsid w:val="009526B6"/>
  </w:style>
  <w:style w:type="paragraph" w:customStyle="1" w:styleId="TableTitleCharCharCharCharCharCharCharCharCharChar1">
    <w:name w:val="(Table Title) Char Char Char Char Char Char Char Char Char Char1"/>
    <w:basedOn w:val="Normal"/>
    <w:next w:val="Normal"/>
    <w:unhideWhenUsed/>
    <w:qFormat/>
    <w:rsid w:val="009526B6"/>
    <w:pPr>
      <w:spacing w:after="200"/>
    </w:pPr>
    <w:rPr>
      <w:b w:val="0"/>
      <w:bCs/>
      <w:color w:val="4F81BD"/>
      <w:sz w:val="18"/>
      <w:szCs w:val="18"/>
    </w:rPr>
  </w:style>
  <w:style w:type="table" w:customStyle="1" w:styleId="TableGrid80">
    <w:name w:val="Table Grid8"/>
    <w:basedOn w:val="TableNormal"/>
    <w:next w:val="TableGrid"/>
    <w:uiPriority w:val="39"/>
    <w:rsid w:val="009526B6"/>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semiHidden/>
    <w:unhideWhenUsed/>
    <w:rsid w:val="009526B6"/>
  </w:style>
  <w:style w:type="numbering" w:customStyle="1" w:styleId="NoList1114">
    <w:name w:val="No List1114"/>
    <w:next w:val="NoList"/>
    <w:semiHidden/>
    <w:rsid w:val="009526B6"/>
  </w:style>
  <w:style w:type="table" w:customStyle="1" w:styleId="TableGrid140">
    <w:name w:val="Table Grid14"/>
    <w:basedOn w:val="TableNormal"/>
    <w:next w:val="TableGrid"/>
    <w:uiPriority w:val="39"/>
    <w:rsid w:val="009526B6"/>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semiHidden/>
    <w:rsid w:val="009526B6"/>
  </w:style>
  <w:style w:type="numbering" w:customStyle="1" w:styleId="NoList26">
    <w:name w:val="No List26"/>
    <w:next w:val="NoList"/>
    <w:semiHidden/>
    <w:rsid w:val="009526B6"/>
  </w:style>
  <w:style w:type="numbering" w:customStyle="1" w:styleId="NoList36">
    <w:name w:val="No List36"/>
    <w:next w:val="NoList"/>
    <w:semiHidden/>
    <w:unhideWhenUsed/>
    <w:rsid w:val="009526B6"/>
  </w:style>
  <w:style w:type="table" w:customStyle="1" w:styleId="TableList75">
    <w:name w:val="Table List 75"/>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
    <w:name w:val="Table Web 35"/>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
    <w:name w:val="Table Elegant5"/>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
    <w:name w:val="Table Web 15"/>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
    <w:name w:val="Table Grid 85"/>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
    <w:name w:val="Table Contemporary5"/>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
    <w:name w:val="Light List - Accent 19"/>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
    <w:name w:val="Table Grid 75"/>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
    <w:name w:val="Colorful Grid - Accent 16"/>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
    <w:name w:val="Light List - Accent 56"/>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
    <w:name w:val="Table Simple 35"/>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
    <w:name w:val="Table Grid 55"/>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
    <w:name w:val="Table Grid 35"/>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
    <w:name w:val="Table Grid 15"/>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
    <w:name w:val="Table Columns 55"/>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
    <w:name w:val="Light List - Accent 115"/>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0">
    <w:name w:val="Нет списка16"/>
    <w:next w:val="NoList"/>
    <w:semiHidden/>
    <w:unhideWhenUsed/>
    <w:rsid w:val="009526B6"/>
  </w:style>
  <w:style w:type="table" w:customStyle="1" w:styleId="ColorfulGrid-Accent115">
    <w:name w:val="Colorful Grid - Accent 115"/>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
    <w:name w:val="Light List - Accent 515"/>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
    <w:name w:val="No List45"/>
    <w:next w:val="NoList"/>
    <w:semiHidden/>
    <w:rsid w:val="009526B6"/>
  </w:style>
  <w:style w:type="table" w:customStyle="1" w:styleId="Table3Deffects35">
    <w:name w:val="Table 3D effects 35"/>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0">
    <w:name w:val="Нет списка115"/>
    <w:next w:val="NoList"/>
    <w:semiHidden/>
    <w:unhideWhenUsed/>
    <w:rsid w:val="009526B6"/>
  </w:style>
  <w:style w:type="numbering" w:customStyle="1" w:styleId="NoList53">
    <w:name w:val="No List53"/>
    <w:next w:val="NoList"/>
    <w:uiPriority w:val="99"/>
    <w:semiHidden/>
    <w:unhideWhenUsed/>
    <w:rsid w:val="009526B6"/>
  </w:style>
  <w:style w:type="numbering" w:customStyle="1" w:styleId="NoList123">
    <w:name w:val="No List123"/>
    <w:next w:val="NoList"/>
    <w:semiHidden/>
    <w:rsid w:val="009526B6"/>
  </w:style>
  <w:style w:type="numbering" w:customStyle="1" w:styleId="NoList1123">
    <w:name w:val="No List1123"/>
    <w:next w:val="NoList"/>
    <w:semiHidden/>
    <w:rsid w:val="009526B6"/>
  </w:style>
  <w:style w:type="numbering" w:customStyle="1" w:styleId="NoList111111">
    <w:name w:val="No List111111"/>
    <w:next w:val="NoList"/>
    <w:semiHidden/>
    <w:rsid w:val="009526B6"/>
  </w:style>
  <w:style w:type="numbering" w:customStyle="1" w:styleId="NoList213">
    <w:name w:val="No List213"/>
    <w:next w:val="NoList"/>
    <w:semiHidden/>
    <w:rsid w:val="009526B6"/>
  </w:style>
  <w:style w:type="table" w:customStyle="1" w:styleId="TableGrid23">
    <w:name w:val="Table Grid23"/>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9526B6"/>
  </w:style>
  <w:style w:type="numbering" w:customStyle="1" w:styleId="NoList61">
    <w:name w:val="No List61"/>
    <w:next w:val="NoList"/>
    <w:uiPriority w:val="99"/>
    <w:semiHidden/>
    <w:unhideWhenUsed/>
    <w:rsid w:val="009526B6"/>
  </w:style>
  <w:style w:type="numbering" w:customStyle="1" w:styleId="NoList71">
    <w:name w:val="No List71"/>
    <w:next w:val="NoList"/>
    <w:uiPriority w:val="99"/>
    <w:semiHidden/>
    <w:unhideWhenUsed/>
    <w:rsid w:val="009526B6"/>
  </w:style>
  <w:style w:type="table" w:customStyle="1" w:styleId="TableGrid310">
    <w:name w:val="Table Grid31"/>
    <w:basedOn w:val="TableNormal"/>
    <w:next w:val="TableGrid"/>
    <w:rsid w:val="009526B6"/>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semiHidden/>
    <w:unhideWhenUsed/>
    <w:rsid w:val="009526B6"/>
  </w:style>
  <w:style w:type="numbering" w:customStyle="1" w:styleId="NoList1131">
    <w:name w:val="No List1131"/>
    <w:next w:val="NoList"/>
    <w:semiHidden/>
    <w:rsid w:val="009526B6"/>
  </w:style>
  <w:style w:type="table" w:customStyle="1" w:styleId="TableGrid111">
    <w:name w:val="Table Grid111"/>
    <w:basedOn w:val="TableNormal"/>
    <w:next w:val="TableGrid"/>
    <w:rsid w:val="009526B6"/>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semiHidden/>
    <w:rsid w:val="009526B6"/>
  </w:style>
  <w:style w:type="numbering" w:customStyle="1" w:styleId="NoList221">
    <w:name w:val="No List221"/>
    <w:next w:val="NoList"/>
    <w:semiHidden/>
    <w:rsid w:val="009526B6"/>
  </w:style>
  <w:style w:type="numbering" w:customStyle="1" w:styleId="NoList321">
    <w:name w:val="No List321"/>
    <w:next w:val="NoList"/>
    <w:semiHidden/>
    <w:unhideWhenUsed/>
    <w:rsid w:val="009526B6"/>
  </w:style>
  <w:style w:type="table" w:customStyle="1" w:styleId="TableList711">
    <w:name w:val="Table List 71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
    <w:name w:val="Table Web 31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
    <w:name w:val="Table Elegant1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
    <w:name w:val="Table Grid 81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
    <w:name w:val="Table Contemporary1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
    <w:name w:val="Light List - Accent 12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
    <w:name w:val="Table Grid 71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
    <w:name w:val="Colorful Grid - Accent 121"/>
    <w:basedOn w:val="TableNormal"/>
    <w:next w:val="ColorfulGrid-Accent1"/>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
    <w:name w:val="Light List - Accent 521"/>
    <w:basedOn w:val="TableNormal"/>
    <w:next w:val="LightList-Accent5"/>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
    <w:name w:val="Table Simple 31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
    <w:name w:val="Table Grid 51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
    <w:name w:val="Table Grid 31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0">
    <w:name w:val="Table Grid 11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
    <w:name w:val="Table Columns 51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
    <w:name w:val="Light List - Accent 111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
    <w:name w:val="Нет списка121"/>
    <w:next w:val="NoList"/>
    <w:uiPriority w:val="99"/>
    <w:semiHidden/>
    <w:unhideWhenUsed/>
    <w:rsid w:val="009526B6"/>
  </w:style>
  <w:style w:type="table" w:customStyle="1" w:styleId="ColorfulGrid-Accent1111">
    <w:name w:val="Colorful Grid - Accent 111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
    <w:name w:val="Light List - Accent 511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
    <w:name w:val="No List411"/>
    <w:next w:val="NoList"/>
    <w:semiHidden/>
    <w:rsid w:val="009526B6"/>
  </w:style>
  <w:style w:type="table" w:customStyle="1" w:styleId="Table3Deffects311">
    <w:name w:val="Table 3D effects 31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NoList"/>
    <w:semiHidden/>
    <w:unhideWhenUsed/>
    <w:rsid w:val="009526B6"/>
  </w:style>
  <w:style w:type="numbering" w:customStyle="1" w:styleId="NoList511">
    <w:name w:val="No List511"/>
    <w:next w:val="NoList"/>
    <w:uiPriority w:val="99"/>
    <w:semiHidden/>
    <w:unhideWhenUsed/>
    <w:rsid w:val="009526B6"/>
  </w:style>
  <w:style w:type="numbering" w:customStyle="1" w:styleId="NoList1211">
    <w:name w:val="No List1211"/>
    <w:next w:val="NoList"/>
    <w:uiPriority w:val="99"/>
    <w:semiHidden/>
    <w:rsid w:val="009526B6"/>
  </w:style>
  <w:style w:type="numbering" w:customStyle="1" w:styleId="NoList11211">
    <w:name w:val="No List11211"/>
    <w:next w:val="NoList"/>
    <w:semiHidden/>
    <w:rsid w:val="009526B6"/>
  </w:style>
  <w:style w:type="numbering" w:customStyle="1" w:styleId="NoList1111111">
    <w:name w:val="No List1111111"/>
    <w:next w:val="NoList"/>
    <w:semiHidden/>
    <w:rsid w:val="009526B6"/>
  </w:style>
  <w:style w:type="numbering" w:customStyle="1" w:styleId="NoList2111">
    <w:name w:val="No List2111"/>
    <w:next w:val="NoList"/>
    <w:semiHidden/>
    <w:rsid w:val="009526B6"/>
  </w:style>
  <w:style w:type="table" w:customStyle="1" w:styleId="TableGrid211">
    <w:name w:val="Table Grid211"/>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semiHidden/>
    <w:unhideWhenUsed/>
    <w:rsid w:val="009526B6"/>
  </w:style>
  <w:style w:type="numbering" w:customStyle="1" w:styleId="NoList81">
    <w:name w:val="No List81"/>
    <w:next w:val="NoList"/>
    <w:uiPriority w:val="99"/>
    <w:semiHidden/>
    <w:unhideWhenUsed/>
    <w:rsid w:val="009526B6"/>
  </w:style>
  <w:style w:type="numbering" w:customStyle="1" w:styleId="NoList91">
    <w:name w:val="No List91"/>
    <w:next w:val="NoList"/>
    <w:uiPriority w:val="99"/>
    <w:semiHidden/>
    <w:unhideWhenUsed/>
    <w:rsid w:val="009526B6"/>
  </w:style>
  <w:style w:type="table" w:customStyle="1" w:styleId="TableGrid41">
    <w:name w:val="Table Grid4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
    <w:name w:val="Table List 72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
    <w:name w:val="Table Web 32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
    <w:name w:val="Table Elegant2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
    <w:name w:val="Table Web 12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
    <w:name w:val="Table Grid 82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
    <w:name w:val="Table Contemporary2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
    <w:name w:val="No List141"/>
    <w:next w:val="NoList"/>
    <w:semiHidden/>
    <w:unhideWhenUsed/>
    <w:rsid w:val="009526B6"/>
  </w:style>
  <w:style w:type="numbering" w:customStyle="1" w:styleId="NoList231">
    <w:name w:val="No List231"/>
    <w:next w:val="NoList"/>
    <w:semiHidden/>
    <w:unhideWhenUsed/>
    <w:rsid w:val="009526B6"/>
  </w:style>
  <w:style w:type="numbering" w:customStyle="1" w:styleId="NoList331">
    <w:name w:val="No List331"/>
    <w:next w:val="NoList"/>
    <w:semiHidden/>
    <w:unhideWhenUsed/>
    <w:rsid w:val="009526B6"/>
  </w:style>
  <w:style w:type="table" w:customStyle="1" w:styleId="LightList-Accent131">
    <w:name w:val="Light List - Accent 13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
    <w:name w:val="Table Grid 72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
    <w:name w:val="Colorful Grid - Accent 13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
    <w:name w:val="Light List - Accent 53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
    <w:name w:val="Table Simple 32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
    <w:name w:val="Table Grid 52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
    <w:name w:val="Table Grid 32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
    <w:name w:val="Table Grid 12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
    <w:name w:val="Table Columns 52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
    <w:name w:val="Light List - Accent 112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
    <w:name w:val="Нет списка131"/>
    <w:next w:val="NoList"/>
    <w:semiHidden/>
    <w:unhideWhenUsed/>
    <w:rsid w:val="009526B6"/>
  </w:style>
  <w:style w:type="table" w:customStyle="1" w:styleId="ColorfulGrid-Accent1121">
    <w:name w:val="Colorful Grid - Accent 112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
    <w:name w:val="Light List - Accent 512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
    <w:name w:val="No List421"/>
    <w:next w:val="NoList"/>
    <w:semiHidden/>
    <w:rsid w:val="009526B6"/>
  </w:style>
  <w:style w:type="numbering" w:customStyle="1" w:styleId="NoList1141">
    <w:name w:val="No List1141"/>
    <w:next w:val="NoList"/>
    <w:semiHidden/>
    <w:unhideWhenUsed/>
    <w:rsid w:val="009526B6"/>
  </w:style>
  <w:style w:type="table" w:customStyle="1" w:styleId="Table3Deffects321">
    <w:name w:val="Table 3D effects 32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NoList"/>
    <w:semiHidden/>
    <w:unhideWhenUsed/>
    <w:rsid w:val="009526B6"/>
  </w:style>
  <w:style w:type="numbering" w:customStyle="1" w:styleId="NoList101">
    <w:name w:val="No List101"/>
    <w:next w:val="NoList"/>
    <w:uiPriority w:val="99"/>
    <w:semiHidden/>
    <w:unhideWhenUsed/>
    <w:rsid w:val="009526B6"/>
  </w:style>
  <w:style w:type="table" w:customStyle="1" w:styleId="TableGrid510">
    <w:name w:val="Table Grid51"/>
    <w:basedOn w:val="TableNormal"/>
    <w:next w:val="TableGrid"/>
    <w:uiPriority w:val="39"/>
    <w:rsid w:val="009526B6"/>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semiHidden/>
    <w:unhideWhenUsed/>
    <w:rsid w:val="009526B6"/>
  </w:style>
  <w:style w:type="numbering" w:customStyle="1" w:styleId="NoList1151">
    <w:name w:val="No List1151"/>
    <w:next w:val="NoList"/>
    <w:semiHidden/>
    <w:rsid w:val="009526B6"/>
  </w:style>
  <w:style w:type="table" w:customStyle="1" w:styleId="TableGrid1210">
    <w:name w:val="Table Grid121"/>
    <w:basedOn w:val="TableNormal"/>
    <w:next w:val="TableGrid"/>
    <w:uiPriority w:val="39"/>
    <w:rsid w:val="009526B6"/>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semiHidden/>
    <w:rsid w:val="009526B6"/>
  </w:style>
  <w:style w:type="numbering" w:customStyle="1" w:styleId="NoList241">
    <w:name w:val="No List241"/>
    <w:next w:val="NoList"/>
    <w:semiHidden/>
    <w:rsid w:val="009526B6"/>
  </w:style>
  <w:style w:type="numbering" w:customStyle="1" w:styleId="NoList341">
    <w:name w:val="No List341"/>
    <w:next w:val="NoList"/>
    <w:semiHidden/>
    <w:unhideWhenUsed/>
    <w:rsid w:val="009526B6"/>
  </w:style>
  <w:style w:type="table" w:customStyle="1" w:styleId="TableList731">
    <w:name w:val="Table List 73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
    <w:name w:val="Table Web 33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
    <w:name w:val="Table Elegant3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
    <w:name w:val="Table Web 13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
    <w:name w:val="Table Grid 83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
    <w:name w:val="Table Contemporary3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
    <w:name w:val="Light List - Accent 14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
    <w:name w:val="Table Grid 73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
    <w:name w:val="Colorful Grid - Accent 14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
    <w:name w:val="Light List - Accent 54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
    <w:name w:val="Table Simple 33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
    <w:name w:val="Table Grid 53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
    <w:name w:val="Table Grid 33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
    <w:name w:val="Table Grid 13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
    <w:name w:val="Table Columns 53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
    <w:name w:val="Light List - Accent 113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
    <w:name w:val="Нет списка141"/>
    <w:next w:val="NoList"/>
    <w:semiHidden/>
    <w:unhideWhenUsed/>
    <w:rsid w:val="009526B6"/>
  </w:style>
  <w:style w:type="table" w:customStyle="1" w:styleId="ColorfulGrid-Accent1131">
    <w:name w:val="Colorful Grid - Accent 113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
    <w:name w:val="Light List - Accent 513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
    <w:name w:val="No List431"/>
    <w:next w:val="NoList"/>
    <w:semiHidden/>
    <w:rsid w:val="009526B6"/>
  </w:style>
  <w:style w:type="table" w:customStyle="1" w:styleId="Table3Deffects331">
    <w:name w:val="Table 3D effects 33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NoList"/>
    <w:semiHidden/>
    <w:unhideWhenUsed/>
    <w:rsid w:val="009526B6"/>
  </w:style>
  <w:style w:type="numbering" w:customStyle="1" w:styleId="NoList521">
    <w:name w:val="No List521"/>
    <w:next w:val="NoList"/>
    <w:uiPriority w:val="99"/>
    <w:semiHidden/>
    <w:unhideWhenUsed/>
    <w:rsid w:val="009526B6"/>
  </w:style>
  <w:style w:type="numbering" w:customStyle="1" w:styleId="NoList1221">
    <w:name w:val="No List1221"/>
    <w:next w:val="NoList"/>
    <w:semiHidden/>
    <w:rsid w:val="009526B6"/>
  </w:style>
  <w:style w:type="numbering" w:customStyle="1" w:styleId="NoList11221">
    <w:name w:val="No List11221"/>
    <w:next w:val="NoList"/>
    <w:semiHidden/>
    <w:rsid w:val="009526B6"/>
  </w:style>
  <w:style w:type="numbering" w:customStyle="1" w:styleId="NoList111121">
    <w:name w:val="No List111121"/>
    <w:next w:val="NoList"/>
    <w:semiHidden/>
    <w:rsid w:val="009526B6"/>
  </w:style>
  <w:style w:type="numbering" w:customStyle="1" w:styleId="NoList2121">
    <w:name w:val="No List2121"/>
    <w:next w:val="NoList"/>
    <w:semiHidden/>
    <w:rsid w:val="009526B6"/>
  </w:style>
  <w:style w:type="table" w:customStyle="1" w:styleId="TableGrid221">
    <w:name w:val="Table Grid22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
    <w:name w:val="No List3121"/>
    <w:next w:val="NoList"/>
    <w:uiPriority w:val="99"/>
    <w:semiHidden/>
    <w:unhideWhenUsed/>
    <w:rsid w:val="009526B6"/>
  </w:style>
  <w:style w:type="table" w:customStyle="1" w:styleId="LightShading-Accent111">
    <w:name w:val="Light Shading - Accent 111"/>
    <w:basedOn w:val="TableNormal"/>
    <w:next w:val="LightShading-Accent1"/>
    <w:uiPriority w:val="60"/>
    <w:rsid w:val="009526B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
    <w:name w:val="Medium Grid 2 - Accent 111"/>
    <w:basedOn w:val="TableNormal"/>
    <w:next w:val="MediumGrid2-Accent1"/>
    <w:uiPriority w:val="68"/>
    <w:rsid w:val="009526B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
    <w:name w:val="Medium List 2 - Accent 511"/>
    <w:basedOn w:val="TableNormal"/>
    <w:next w:val="MediumList2-Accent5"/>
    <w:uiPriority w:val="66"/>
    <w:rsid w:val="009526B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
    <w:name w:val="Light List - Accent 151"/>
    <w:basedOn w:val="TableNormal"/>
    <w:next w:val="LightList-Accent1"/>
    <w:uiPriority w:val="61"/>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
    <w:name w:val="Medium Grid 3 - Accent 511"/>
    <w:basedOn w:val="TableNormal"/>
    <w:next w:val="MediumGrid3-Accent5"/>
    <w:uiPriority w:val="69"/>
    <w:rsid w:val="009526B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
    <w:name w:val="Light Shading - Accent 511"/>
    <w:basedOn w:val="TableNormal"/>
    <w:next w:val="LightShading-Accent5"/>
    <w:uiPriority w:val="60"/>
    <w:rsid w:val="009526B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
    <w:name w:val="Medium Grid 2 - Accent 511"/>
    <w:basedOn w:val="TableNormal"/>
    <w:next w:val="MediumGrid2-Accent5"/>
    <w:uiPriority w:val="68"/>
    <w:rsid w:val="009526B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
    <w:name w:val="Light Grid - Accent 111"/>
    <w:basedOn w:val="TableNormal"/>
    <w:next w:val="LightGrid-Accent1"/>
    <w:uiPriority w:val="62"/>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
    <w:name w:val="Table List 43"/>
    <w:basedOn w:val="TableNormal"/>
    <w:next w:val="TableList4"/>
    <w:rsid w:val="009526B6"/>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
    <w:name w:val="Table List 412"/>
    <w:basedOn w:val="TableNormal"/>
    <w:next w:val="TableList4"/>
    <w:rsid w:val="009526B6"/>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
    <w:name w:val="Table Theme1"/>
    <w:basedOn w:val="TableNormal"/>
    <w:next w:val="TableTheme"/>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
    <w:name w:val="Table Professional1"/>
    <w:basedOn w:val="TableNormal"/>
    <w:next w:val="TableProfessional"/>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
    <w:name w:val="Table Grid 61"/>
    <w:basedOn w:val="TableNormal"/>
    <w:next w:val="TableGrid6"/>
    <w:rsid w:val="009526B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
    <w:name w:val="Table List 421"/>
    <w:basedOn w:val="TableNormal"/>
    <w:next w:val="TableList4"/>
    <w:rsid w:val="009526B6"/>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
    <w:name w:val="Table List 4111"/>
    <w:basedOn w:val="TableNormal"/>
    <w:next w:val="TableList4"/>
    <w:rsid w:val="009526B6"/>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
    <w:name w:val="Style113"/>
    <w:basedOn w:val="TableElegant"/>
    <w:uiPriority w:val="99"/>
    <w:rsid w:val="009526B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
    <w:name w:val="Style214"/>
    <w:basedOn w:val="TableGrid5"/>
    <w:uiPriority w:val="99"/>
    <w:rsid w:val="009526B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
    <w:name w:val="Style2113"/>
    <w:basedOn w:val="TableGrid5"/>
    <w:uiPriority w:val="99"/>
    <w:rsid w:val="009526B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
    <w:name w:val="No List161"/>
    <w:next w:val="NoList"/>
    <w:uiPriority w:val="99"/>
    <w:semiHidden/>
    <w:unhideWhenUsed/>
    <w:rsid w:val="009526B6"/>
  </w:style>
  <w:style w:type="table" w:customStyle="1" w:styleId="TableGrid610">
    <w:name w:val="Table Grid6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9526B6"/>
  </w:style>
  <w:style w:type="numbering" w:customStyle="1" w:styleId="NoList1161">
    <w:name w:val="No List1161"/>
    <w:next w:val="NoList"/>
    <w:semiHidden/>
    <w:rsid w:val="009526B6"/>
  </w:style>
  <w:style w:type="table" w:customStyle="1" w:styleId="TableGrid1310">
    <w:name w:val="Table Grid131"/>
    <w:basedOn w:val="TableNormal"/>
    <w:next w:val="TableGrid"/>
    <w:uiPriority w:val="5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
    <w:name w:val="Light List - Accent 161"/>
    <w:basedOn w:val="TableNormal"/>
    <w:next w:val="LightList-Accent1"/>
    <w:uiPriority w:val="61"/>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
    <w:name w:val="Light Shading - Accent 13"/>
    <w:basedOn w:val="TableNormal"/>
    <w:next w:val="LightShading-Accent1"/>
    <w:uiPriority w:val="60"/>
    <w:semiHidden/>
    <w:unhideWhenUsed/>
    <w:rsid w:val="009526B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
    <w:name w:val="Medium Grid 2 - Accent 13"/>
    <w:basedOn w:val="TableNormal"/>
    <w:next w:val="MediumGrid2-Accent1"/>
    <w:uiPriority w:val="68"/>
    <w:semiHidden/>
    <w:unhideWhenUsed/>
    <w:rsid w:val="009526B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
    <w:name w:val="Medium List 2 - Accent 53"/>
    <w:basedOn w:val="TableNormal"/>
    <w:next w:val="MediumList2-Accent5"/>
    <w:uiPriority w:val="66"/>
    <w:semiHidden/>
    <w:unhideWhenUsed/>
    <w:rsid w:val="009526B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
    <w:name w:val="Medium Grid 3 - Accent 53"/>
    <w:basedOn w:val="TableNormal"/>
    <w:next w:val="MediumGrid3-Accent5"/>
    <w:uiPriority w:val="69"/>
    <w:semiHidden/>
    <w:unhideWhenUsed/>
    <w:rsid w:val="009526B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
    <w:name w:val="Light Shading - Accent 53"/>
    <w:basedOn w:val="TableNormal"/>
    <w:next w:val="LightShading-Accent5"/>
    <w:uiPriority w:val="60"/>
    <w:semiHidden/>
    <w:unhideWhenUsed/>
    <w:rsid w:val="009526B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
    <w:name w:val="Medium Grid 2 - Accent 53"/>
    <w:basedOn w:val="TableNormal"/>
    <w:next w:val="MediumGrid2-Accent5"/>
    <w:uiPriority w:val="68"/>
    <w:semiHidden/>
    <w:unhideWhenUsed/>
    <w:rsid w:val="009526B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
    <w:name w:val="Light Grid - Accent 13"/>
    <w:basedOn w:val="TableNormal"/>
    <w:next w:val="LightGrid-Accent1"/>
    <w:uiPriority w:val="62"/>
    <w:semiHidden/>
    <w:unhideWhenUsed/>
    <w:rsid w:val="009526B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
    <w:name w:val="Light Shading - Accent 14"/>
    <w:basedOn w:val="TableNormal"/>
    <w:next w:val="LightShading-Accent1"/>
    <w:uiPriority w:val="60"/>
    <w:rsid w:val="002D7AC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4">
    <w:name w:val="Medium Grid 2 - Accent 14"/>
    <w:basedOn w:val="TableNormal"/>
    <w:next w:val="MediumGrid2-Accent1"/>
    <w:uiPriority w:val="68"/>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4">
    <w:name w:val="Medium List 2 - Accent 54"/>
    <w:basedOn w:val="TableNormal"/>
    <w:next w:val="MediumList2-Accent5"/>
    <w:uiPriority w:val="66"/>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0">
    <w:name w:val="Light List - Accent 110"/>
    <w:basedOn w:val="TableNormal"/>
    <w:next w:val="LightList-Accent1"/>
    <w:uiPriority w:val="61"/>
    <w:rsid w:val="002D7AC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4">
    <w:name w:val="Medium Grid 3 - Accent 54"/>
    <w:basedOn w:val="TableNormal"/>
    <w:next w:val="MediumGrid3-Accent5"/>
    <w:uiPriority w:val="69"/>
    <w:rsid w:val="002D7AC1"/>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4">
    <w:name w:val="Light Shading - Accent 54"/>
    <w:basedOn w:val="TableNormal"/>
    <w:next w:val="LightShading-Accent5"/>
    <w:uiPriority w:val="60"/>
    <w:rsid w:val="002D7AC1"/>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4">
    <w:name w:val="Medium Grid 2 - Accent 54"/>
    <w:basedOn w:val="TableNormal"/>
    <w:next w:val="MediumGrid2-Accent5"/>
    <w:uiPriority w:val="68"/>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4">
    <w:name w:val="Light Grid - Accent 14"/>
    <w:basedOn w:val="TableNormal"/>
    <w:next w:val="LightGrid-Accent1"/>
    <w:uiPriority w:val="62"/>
    <w:rsid w:val="002D7AC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5">
    <w:name w:val="Light Shading - Accent 15"/>
    <w:basedOn w:val="TableNormal"/>
    <w:next w:val="LightShading-Accent1"/>
    <w:uiPriority w:val="60"/>
    <w:rsid w:val="00EF5C2F"/>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5">
    <w:name w:val="Medium Grid 2 - Accent 15"/>
    <w:basedOn w:val="TableNormal"/>
    <w:next w:val="MediumGrid2-Accent1"/>
    <w:uiPriority w:val="68"/>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5">
    <w:name w:val="Medium List 2 - Accent 55"/>
    <w:basedOn w:val="TableNormal"/>
    <w:next w:val="MediumList2-Accent5"/>
    <w:uiPriority w:val="66"/>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6">
    <w:name w:val="Light List - Accent 116"/>
    <w:basedOn w:val="TableNormal"/>
    <w:next w:val="LightList-Accent1"/>
    <w:uiPriority w:val="61"/>
    <w:rsid w:val="00EF5C2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5">
    <w:name w:val="Medium Grid 3 - Accent 55"/>
    <w:basedOn w:val="TableNormal"/>
    <w:next w:val="MediumGrid3-Accent5"/>
    <w:uiPriority w:val="69"/>
    <w:rsid w:val="00EF5C2F"/>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5">
    <w:name w:val="Light Shading - Accent 55"/>
    <w:basedOn w:val="TableNormal"/>
    <w:next w:val="LightShading-Accent5"/>
    <w:uiPriority w:val="60"/>
    <w:rsid w:val="00EF5C2F"/>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5">
    <w:name w:val="Medium Grid 2 - Accent 55"/>
    <w:basedOn w:val="TableNormal"/>
    <w:next w:val="MediumGrid2-Accent5"/>
    <w:uiPriority w:val="68"/>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5">
    <w:name w:val="Light Grid - Accent 15"/>
    <w:basedOn w:val="TableNormal"/>
    <w:next w:val="LightGrid-Accent1"/>
    <w:uiPriority w:val="62"/>
    <w:rsid w:val="00EF5C2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27">
    <w:name w:val="No List27"/>
    <w:next w:val="NoList"/>
    <w:uiPriority w:val="99"/>
    <w:semiHidden/>
    <w:unhideWhenUsed/>
    <w:rsid w:val="00CD7119"/>
  </w:style>
  <w:style w:type="table" w:customStyle="1" w:styleId="TableGrid9">
    <w:name w:val="Table Grid9"/>
    <w:basedOn w:val="TableNormal"/>
    <w:next w:val="TableGrid"/>
    <w:uiPriority w:val="39"/>
    <w:rsid w:val="00CD7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
    <w:name w:val="Table List 76"/>
    <w:basedOn w:val="TableNormal"/>
    <w:next w:val="TableList7"/>
    <w:rsid w:val="00CD711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
    <w:name w:val="Table Web 36"/>
    <w:basedOn w:val="TableNormal"/>
    <w:next w:val="TableWeb3"/>
    <w:rsid w:val="00CD711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
    <w:name w:val="Table Elegant6"/>
    <w:basedOn w:val="TableNormal"/>
    <w:next w:val="TableElegant"/>
    <w:rsid w:val="00CD711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rsid w:val="00CD711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
    <w:name w:val="Table Web 16"/>
    <w:basedOn w:val="TableNormal"/>
    <w:next w:val="TableWeb1"/>
    <w:rsid w:val="00CD711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
    <w:name w:val="Table Grid 86"/>
    <w:basedOn w:val="TableNormal"/>
    <w:next w:val="TableGrid8"/>
    <w:rsid w:val="00CD711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
    <w:name w:val="Table Contemporary6"/>
    <w:basedOn w:val="TableNormal"/>
    <w:next w:val="TableContemporary"/>
    <w:rsid w:val="00CD711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
    <w:name w:val="No List119"/>
    <w:next w:val="NoList"/>
    <w:semiHidden/>
    <w:unhideWhenUsed/>
    <w:rsid w:val="00CD7119"/>
  </w:style>
  <w:style w:type="numbering" w:customStyle="1" w:styleId="NoList28">
    <w:name w:val="No List28"/>
    <w:next w:val="NoList"/>
    <w:semiHidden/>
    <w:unhideWhenUsed/>
    <w:rsid w:val="00CD7119"/>
  </w:style>
  <w:style w:type="numbering" w:customStyle="1" w:styleId="NoList37">
    <w:name w:val="No List37"/>
    <w:next w:val="NoList"/>
    <w:semiHidden/>
    <w:unhideWhenUsed/>
    <w:rsid w:val="00CD7119"/>
  </w:style>
  <w:style w:type="table" w:customStyle="1" w:styleId="LightList-Accent117">
    <w:name w:val="Light List - Accent 117"/>
    <w:basedOn w:val="TableNormal"/>
    <w:next w:val="LightList-Accent1"/>
    <w:uiPriority w:val="61"/>
    <w:rsid w:val="00CD71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
    <w:name w:val="Table Grid 76"/>
    <w:basedOn w:val="TableNormal"/>
    <w:next w:val="TableGrid7"/>
    <w:rsid w:val="00CD711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
    <w:name w:val="Colorful Grid - Accent 17"/>
    <w:basedOn w:val="TableNormal"/>
    <w:next w:val="ColorfulGrid-Accent1"/>
    <w:uiPriority w:val="73"/>
    <w:rsid w:val="00CD711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
    <w:name w:val="Light List - Accent 57"/>
    <w:basedOn w:val="TableNormal"/>
    <w:next w:val="LightList-Accent5"/>
    <w:uiPriority w:val="61"/>
    <w:rsid w:val="00CD711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
    <w:name w:val="Table Simple 36"/>
    <w:basedOn w:val="TableNormal"/>
    <w:next w:val="TableSimple3"/>
    <w:rsid w:val="00CD711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
    <w:name w:val="Table Grid 56"/>
    <w:basedOn w:val="TableNormal"/>
    <w:next w:val="TableGrid5"/>
    <w:rsid w:val="00CD711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
    <w:name w:val="Table Grid 36"/>
    <w:basedOn w:val="TableNormal"/>
    <w:next w:val="TableGrid3"/>
    <w:rsid w:val="00CD711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
    <w:name w:val="Table Grid 16"/>
    <w:basedOn w:val="TableNormal"/>
    <w:next w:val="TableGrid10"/>
    <w:rsid w:val="00CD711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
    <w:name w:val="Table Columns 56"/>
    <w:basedOn w:val="TableNormal"/>
    <w:next w:val="TableColumns5"/>
    <w:rsid w:val="00CD711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
    <w:name w:val="Light List - Accent 118"/>
    <w:basedOn w:val="TableNormal"/>
    <w:uiPriority w:val="61"/>
    <w:rsid w:val="00CD71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0">
    <w:name w:val="Нет списка17"/>
    <w:next w:val="NoList"/>
    <w:semiHidden/>
    <w:unhideWhenUsed/>
    <w:rsid w:val="00CD7119"/>
  </w:style>
  <w:style w:type="table" w:customStyle="1" w:styleId="ColorfulGrid-Accent116">
    <w:name w:val="Colorful Grid - Accent 116"/>
    <w:basedOn w:val="TableNormal"/>
    <w:rsid w:val="00CD711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
    <w:name w:val="Light List - Accent 516"/>
    <w:basedOn w:val="TableNormal"/>
    <w:rsid w:val="00CD711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
    <w:name w:val="No List46"/>
    <w:next w:val="NoList"/>
    <w:semiHidden/>
    <w:rsid w:val="00CD7119"/>
  </w:style>
  <w:style w:type="numbering" w:customStyle="1" w:styleId="NoList1110">
    <w:name w:val="No List1110"/>
    <w:next w:val="NoList"/>
    <w:semiHidden/>
    <w:unhideWhenUsed/>
    <w:rsid w:val="00CD7119"/>
  </w:style>
  <w:style w:type="table" w:customStyle="1" w:styleId="Table3Deffects36">
    <w:name w:val="Table 3D effects 36"/>
    <w:basedOn w:val="TableNormal"/>
    <w:next w:val="Table3Deffects3"/>
    <w:rsid w:val="00CD711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0">
    <w:name w:val="Нет списка116"/>
    <w:next w:val="NoList"/>
    <w:semiHidden/>
    <w:unhideWhenUsed/>
    <w:rsid w:val="00CD7119"/>
  </w:style>
  <w:style w:type="character" w:customStyle="1" w:styleId="311">
    <w:name w:val="Основной текст31"/>
    <w:rsid w:val="00291C2D"/>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msonormal0">
    <w:name w:val="msonormal"/>
    <w:basedOn w:val="Normal"/>
    <w:rsid w:val="00291C2D"/>
    <w:pPr>
      <w:spacing w:before="100" w:beforeAutospacing="1" w:after="100" w:afterAutospacing="1" w:line="240" w:lineRule="auto"/>
      <w:jc w:val="left"/>
    </w:pPr>
    <w:rPr>
      <w:rFonts w:ascii="Times New Roman" w:hAnsi="Times New Roman"/>
      <w:b w:val="0"/>
      <w:sz w:val="24"/>
      <w:lang w:val="en-US" w:eastAsia="en-US"/>
    </w:rPr>
  </w:style>
  <w:style w:type="paragraph" w:customStyle="1" w:styleId="2b">
    <w:name w:val="Абзац списка2"/>
    <w:basedOn w:val="Normal"/>
    <w:uiPriority w:val="99"/>
    <w:qFormat/>
    <w:rsid w:val="00291C2D"/>
    <w:pPr>
      <w:spacing w:before="0" w:after="200"/>
      <w:ind w:left="720"/>
      <w:jc w:val="left"/>
    </w:pPr>
    <w:rPr>
      <w:rFonts w:ascii="Calibri" w:eastAsia="Calibri" w:hAnsi="Calibri"/>
      <w:szCs w:val="22"/>
      <w:lang w:eastAsia="en-US"/>
    </w:rPr>
  </w:style>
  <w:style w:type="paragraph" w:customStyle="1" w:styleId="39">
    <w:name w:val="Рецензия3"/>
    <w:hidden/>
    <w:uiPriority w:val="99"/>
    <w:semiHidden/>
    <w:rsid w:val="00291C2D"/>
    <w:rPr>
      <w:rFonts w:ascii="Arial Armenian" w:hAnsi="Arial Armenian"/>
      <w:sz w:val="22"/>
      <w:szCs w:val="22"/>
      <w:lang w:eastAsia="ru-RU"/>
    </w:rPr>
  </w:style>
  <w:style w:type="paragraph" w:customStyle="1" w:styleId="44">
    <w:name w:val="Обычный4"/>
    <w:rsid w:val="00291C2D"/>
    <w:pPr>
      <w:autoSpaceDE w:val="0"/>
      <w:autoSpaceDN w:val="0"/>
    </w:pPr>
    <w:rPr>
      <w:lang w:val="ru-RU" w:eastAsia="ru-RU"/>
    </w:rPr>
  </w:style>
  <w:style w:type="paragraph" w:customStyle="1" w:styleId="2c">
    <w:name w:val="Без интервала2"/>
    <w:uiPriority w:val="1"/>
    <w:qFormat/>
    <w:rsid w:val="00291C2D"/>
    <w:rPr>
      <w:rFonts w:ascii="Calibri" w:hAnsi="Calibri"/>
      <w:sz w:val="22"/>
      <w:szCs w:val="22"/>
    </w:rPr>
  </w:style>
  <w:style w:type="character" w:customStyle="1" w:styleId="45">
    <w:name w:val="Основной текст4"/>
    <w:rsid w:val="00291C2D"/>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table" w:customStyle="1" w:styleId="LightShading-Accent16">
    <w:name w:val="Light Shading - Accent 16"/>
    <w:basedOn w:val="TableNormal"/>
    <w:next w:val="LightShading-Accent1"/>
    <w:uiPriority w:val="60"/>
    <w:rsid w:val="00291C2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
    <w:name w:val="Medium Grid 2 - Accent 16"/>
    <w:basedOn w:val="TableNormal"/>
    <w:next w:val="MediumGrid2-Accent1"/>
    <w:uiPriority w:val="68"/>
    <w:rsid w:val="00291C2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
    <w:name w:val="Medium List 2 - Accent 56"/>
    <w:basedOn w:val="TableNormal"/>
    <w:next w:val="MediumList2-Accent5"/>
    <w:uiPriority w:val="66"/>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
    <w:name w:val="Light List - Accent 152"/>
    <w:basedOn w:val="TableNormal"/>
    <w:next w:val="LightList-Accent1"/>
    <w:uiPriority w:val="61"/>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
    <w:name w:val="Medium Grid 3 - Accent 56"/>
    <w:basedOn w:val="TableNormal"/>
    <w:next w:val="MediumGrid3-Accent5"/>
    <w:uiPriority w:val="69"/>
    <w:rsid w:val="00291C2D"/>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
    <w:name w:val="Light Shading - Accent 56"/>
    <w:basedOn w:val="TableNormal"/>
    <w:next w:val="LightShading-Accent5"/>
    <w:uiPriority w:val="60"/>
    <w:rsid w:val="00291C2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
    <w:name w:val="Medium Grid 2 - Accent 56"/>
    <w:basedOn w:val="TableNormal"/>
    <w:next w:val="MediumGrid2-Accent5"/>
    <w:uiPriority w:val="68"/>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
    <w:name w:val="Light Grid - Accent 16"/>
    <w:basedOn w:val="TableNormal"/>
    <w:next w:val="LightGrid-Accent1"/>
    <w:uiPriority w:val="62"/>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Unicode" w:eastAsia="Times New Roman" w:hAnsi="Time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Unicode" w:eastAsia="Times New Roman" w:hAnsi="Time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Unicode" w:eastAsia="Times New Roman" w:hAnsi="Times Unicode" w:cs="Times New Roman"/>
        <w:b/>
        <w:bCs/>
      </w:rPr>
    </w:tblStylePr>
    <w:tblStylePr w:type="lastCol">
      <w:rPr>
        <w:rFonts w:ascii="Times Unicode" w:eastAsia="Times New Roman" w:hAnsi="Time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
    <w:name w:val="Style114"/>
    <w:basedOn w:val="TableElegant"/>
    <w:uiPriority w:val="99"/>
    <w:rsid w:val="00291C2D"/>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
    <w:name w:val="Style215"/>
    <w:basedOn w:val="TableGrid5"/>
    <w:uiPriority w:val="99"/>
    <w:rsid w:val="00291C2D"/>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
    <w:name w:val="Style2114"/>
    <w:basedOn w:val="TableGrid5"/>
    <w:uiPriority w:val="99"/>
    <w:rsid w:val="00291C2D"/>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
    <w:name w:val="Light Shading - Accent 112"/>
    <w:basedOn w:val="TableNormal"/>
    <w:next w:val="LightShading-Accent1"/>
    <w:uiPriority w:val="60"/>
    <w:rsid w:val="00291C2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
    <w:name w:val="Medium Grid 2 - Accent 112"/>
    <w:basedOn w:val="TableNormal"/>
    <w:next w:val="MediumGrid2-Accent1"/>
    <w:uiPriority w:val="68"/>
    <w:rsid w:val="00291C2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
    <w:name w:val="Medium List 2 - Accent 512"/>
    <w:basedOn w:val="TableNormal"/>
    <w:next w:val="MediumList2-Accent5"/>
    <w:uiPriority w:val="66"/>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
    <w:name w:val="Light List - Accent 162"/>
    <w:basedOn w:val="TableNormal"/>
    <w:next w:val="LightList-Accent1"/>
    <w:uiPriority w:val="61"/>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
    <w:name w:val="Medium Grid 3 - Accent 512"/>
    <w:basedOn w:val="TableNormal"/>
    <w:next w:val="MediumGrid3-Accent5"/>
    <w:uiPriority w:val="69"/>
    <w:rsid w:val="00291C2D"/>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
    <w:name w:val="Light Shading - Accent 512"/>
    <w:basedOn w:val="TableNormal"/>
    <w:next w:val="LightShading-Accent5"/>
    <w:uiPriority w:val="60"/>
    <w:rsid w:val="00291C2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
    <w:name w:val="Medium Grid 2 - Accent 512"/>
    <w:basedOn w:val="TableNormal"/>
    <w:next w:val="MediumGrid2-Accent5"/>
    <w:uiPriority w:val="68"/>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
    <w:name w:val="Light Grid - Accent 112"/>
    <w:basedOn w:val="TableNormal"/>
    <w:next w:val="LightGrid-Accent1"/>
    <w:uiPriority w:val="62"/>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Unicode" w:eastAsia="Times New Roman" w:hAnsi="Time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Unicode" w:eastAsia="Times New Roman" w:hAnsi="Time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Unicode" w:eastAsia="Times New Roman" w:hAnsi="Times Unicode" w:cs="Times New Roman"/>
        <w:b/>
        <w:bCs/>
      </w:rPr>
    </w:tblStylePr>
    <w:tblStylePr w:type="lastCol">
      <w:rPr>
        <w:rFonts w:ascii="Times Unicode" w:eastAsia="Times New Roman" w:hAnsi="Time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
    <w:name w:val="No List29"/>
    <w:next w:val="NoList"/>
    <w:uiPriority w:val="99"/>
    <w:semiHidden/>
    <w:unhideWhenUsed/>
    <w:rsid w:val="00CC15D2"/>
  </w:style>
  <w:style w:type="table" w:customStyle="1" w:styleId="TableGrid100">
    <w:name w:val="Table Grid10"/>
    <w:basedOn w:val="TableNormal"/>
    <w:next w:val="TableGrid"/>
    <w:uiPriority w:val="39"/>
    <w:rsid w:val="00CC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CC15D2"/>
  </w:style>
  <w:style w:type="numbering" w:customStyle="1" w:styleId="NoList1115">
    <w:name w:val="No List1115"/>
    <w:next w:val="NoList"/>
    <w:semiHidden/>
    <w:rsid w:val="00CC15D2"/>
  </w:style>
  <w:style w:type="table" w:customStyle="1" w:styleId="TableGrid150">
    <w:name w:val="Table Grid15"/>
    <w:basedOn w:val="TableNormal"/>
    <w:next w:val="TableGrid"/>
    <w:uiPriority w:val="39"/>
    <w:rsid w:val="00CC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941455"/>
  </w:style>
  <w:style w:type="table" w:customStyle="1" w:styleId="LightShading-Accent17">
    <w:name w:val="Light Shading - Accent 17"/>
    <w:basedOn w:val="TableNormal"/>
    <w:next w:val="LightShading-Accent1"/>
    <w:uiPriority w:val="60"/>
    <w:rsid w:val="00372F27"/>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7">
    <w:name w:val="Medium Grid 2 - Accent 17"/>
    <w:basedOn w:val="TableNormal"/>
    <w:next w:val="MediumGrid2-Accent1"/>
    <w:uiPriority w:val="68"/>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7">
    <w:name w:val="Medium List 2 - Accent 57"/>
    <w:basedOn w:val="TableNormal"/>
    <w:next w:val="MediumList2-Accent5"/>
    <w:uiPriority w:val="66"/>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9">
    <w:name w:val="Light List - Accent 119"/>
    <w:basedOn w:val="TableNormal"/>
    <w:next w:val="LightList-Accent1"/>
    <w:uiPriority w:val="61"/>
    <w:rsid w:val="00372F2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7">
    <w:name w:val="Medium Grid 3 - Accent 57"/>
    <w:basedOn w:val="TableNormal"/>
    <w:next w:val="MediumGrid3-Accent5"/>
    <w:uiPriority w:val="69"/>
    <w:rsid w:val="00372F27"/>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7">
    <w:name w:val="Light Shading - Accent 57"/>
    <w:basedOn w:val="TableNormal"/>
    <w:next w:val="LightShading-Accent5"/>
    <w:uiPriority w:val="60"/>
    <w:rsid w:val="00372F27"/>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7">
    <w:name w:val="Medium Grid 2 - Accent 57"/>
    <w:basedOn w:val="TableNormal"/>
    <w:next w:val="MediumGrid2-Accent5"/>
    <w:uiPriority w:val="68"/>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7">
    <w:name w:val="Light Grid - Accent 17"/>
    <w:basedOn w:val="TableNormal"/>
    <w:next w:val="LightGrid-Accent1"/>
    <w:uiPriority w:val="62"/>
    <w:rsid w:val="00372F2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38">
    <w:name w:val="No List38"/>
    <w:next w:val="NoList"/>
    <w:uiPriority w:val="99"/>
    <w:semiHidden/>
    <w:unhideWhenUsed/>
    <w:rsid w:val="00CD51B8"/>
  </w:style>
  <w:style w:type="table" w:customStyle="1" w:styleId="TableGrid160">
    <w:name w:val="Table Grid16"/>
    <w:basedOn w:val="TableNormal"/>
    <w:next w:val="TableGrid"/>
    <w:rsid w:val="00CD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CD51B8"/>
  </w:style>
  <w:style w:type="numbering" w:customStyle="1" w:styleId="NoList1116">
    <w:name w:val="No List1116"/>
    <w:next w:val="NoList"/>
    <w:semiHidden/>
    <w:rsid w:val="00CD51B8"/>
  </w:style>
  <w:style w:type="table" w:customStyle="1" w:styleId="TableGrid17">
    <w:name w:val="Table Grid17"/>
    <w:basedOn w:val="TableNormal"/>
    <w:next w:val="TableGrid"/>
    <w:uiPriority w:val="59"/>
    <w:rsid w:val="00CD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
    <w:name w:val="Light Shading - Accent 18"/>
    <w:basedOn w:val="TableNormal"/>
    <w:next w:val="LightShading-Accent1"/>
    <w:uiPriority w:val="60"/>
    <w:rsid w:val="00434536"/>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8">
    <w:name w:val="Medium Grid 2 - Accent 18"/>
    <w:basedOn w:val="TableNormal"/>
    <w:next w:val="MediumGrid2-Accent1"/>
    <w:uiPriority w:val="68"/>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8">
    <w:name w:val="Medium List 2 - Accent 58"/>
    <w:basedOn w:val="TableNormal"/>
    <w:next w:val="MediumList2-Accent5"/>
    <w:uiPriority w:val="66"/>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0">
    <w:name w:val="Light List - Accent 120"/>
    <w:basedOn w:val="TableNormal"/>
    <w:next w:val="LightList-Accent1"/>
    <w:uiPriority w:val="61"/>
    <w:rsid w:val="0043453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8">
    <w:name w:val="Medium Grid 3 - Accent 58"/>
    <w:basedOn w:val="TableNormal"/>
    <w:next w:val="MediumGrid3-Accent5"/>
    <w:uiPriority w:val="69"/>
    <w:rsid w:val="00434536"/>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8">
    <w:name w:val="Light Shading - Accent 58"/>
    <w:basedOn w:val="TableNormal"/>
    <w:next w:val="LightShading-Accent5"/>
    <w:uiPriority w:val="60"/>
    <w:rsid w:val="00434536"/>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8">
    <w:name w:val="Medium Grid 2 - Accent 58"/>
    <w:basedOn w:val="TableNormal"/>
    <w:next w:val="MediumGrid2-Accent5"/>
    <w:uiPriority w:val="68"/>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8">
    <w:name w:val="Light Grid - Accent 18"/>
    <w:basedOn w:val="TableNormal"/>
    <w:next w:val="LightGrid-Accent1"/>
    <w:uiPriority w:val="62"/>
    <w:rsid w:val="0043453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9">
    <w:name w:val="Light Shading - Accent 19"/>
    <w:basedOn w:val="TableNormal"/>
    <w:next w:val="LightShading-Accent1"/>
    <w:uiPriority w:val="60"/>
    <w:rsid w:val="00E81B58"/>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9">
    <w:name w:val="Medium Grid 2 - Accent 19"/>
    <w:basedOn w:val="TableNormal"/>
    <w:next w:val="MediumGrid2-Accent1"/>
    <w:uiPriority w:val="68"/>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9">
    <w:name w:val="Medium List 2 - Accent 59"/>
    <w:basedOn w:val="TableNormal"/>
    <w:next w:val="MediumList2-Accent5"/>
    <w:uiPriority w:val="66"/>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2">
    <w:name w:val="Light List - Accent 122"/>
    <w:basedOn w:val="TableNormal"/>
    <w:next w:val="LightList-Accent1"/>
    <w:uiPriority w:val="61"/>
    <w:rsid w:val="00E81B58"/>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9">
    <w:name w:val="Medium Grid 3 - Accent 59"/>
    <w:basedOn w:val="TableNormal"/>
    <w:next w:val="MediumGrid3-Accent5"/>
    <w:uiPriority w:val="69"/>
    <w:rsid w:val="00E81B58"/>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9">
    <w:name w:val="Light Shading - Accent 59"/>
    <w:basedOn w:val="TableNormal"/>
    <w:next w:val="LightShading-Accent5"/>
    <w:uiPriority w:val="60"/>
    <w:rsid w:val="00E81B58"/>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9">
    <w:name w:val="Medium Grid 2 - Accent 59"/>
    <w:basedOn w:val="TableNormal"/>
    <w:next w:val="MediumGrid2-Accent5"/>
    <w:uiPriority w:val="68"/>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9">
    <w:name w:val="Light Grid - Accent 19"/>
    <w:basedOn w:val="TableNormal"/>
    <w:next w:val="LightGrid-Accent1"/>
    <w:uiPriority w:val="62"/>
    <w:rsid w:val="00E81B58"/>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tyle115">
    <w:name w:val="Style115"/>
    <w:basedOn w:val="TableElegant"/>
    <w:uiPriority w:val="99"/>
    <w:rsid w:val="00CF7470"/>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
    <w:name w:val="Style2115"/>
    <w:basedOn w:val="TableGrid5"/>
    <w:uiPriority w:val="99"/>
    <w:rsid w:val="00CF7470"/>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
    <w:name w:val="No List39"/>
    <w:next w:val="NoList"/>
    <w:uiPriority w:val="99"/>
    <w:semiHidden/>
    <w:unhideWhenUsed/>
    <w:rsid w:val="008B1219"/>
  </w:style>
  <w:style w:type="table" w:customStyle="1" w:styleId="TableGrid18">
    <w:name w:val="Table Grid18"/>
    <w:basedOn w:val="TableNormal"/>
    <w:next w:val="TableGrid"/>
    <w:uiPriority w:val="39"/>
    <w:rsid w:val="008B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8B1219"/>
  </w:style>
  <w:style w:type="numbering" w:customStyle="1" w:styleId="NoList1117">
    <w:name w:val="No List1117"/>
    <w:next w:val="NoList"/>
    <w:semiHidden/>
    <w:rsid w:val="008B1219"/>
  </w:style>
  <w:style w:type="table" w:customStyle="1" w:styleId="TableGrid19">
    <w:name w:val="Table Grid19"/>
    <w:basedOn w:val="TableNormal"/>
    <w:next w:val="TableGrid"/>
    <w:uiPriority w:val="59"/>
    <w:rsid w:val="008B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
    <w:name w:val="Style1151"/>
    <w:basedOn w:val="TableElegant"/>
    <w:uiPriority w:val="99"/>
    <w:rsid w:val="008B121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
    <w:name w:val="Style216"/>
    <w:basedOn w:val="TableGrid5"/>
    <w:uiPriority w:val="99"/>
    <w:rsid w:val="008B121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
    <w:name w:val="No List40"/>
    <w:next w:val="NoList"/>
    <w:uiPriority w:val="99"/>
    <w:semiHidden/>
    <w:unhideWhenUsed/>
    <w:rsid w:val="008B1219"/>
  </w:style>
  <w:style w:type="table" w:customStyle="1" w:styleId="TableGrid20">
    <w:name w:val="Table Grid20"/>
    <w:basedOn w:val="TableNormal"/>
    <w:next w:val="TableGrid"/>
    <w:uiPriority w:val="59"/>
    <w:rsid w:val="008B1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
    <w:name w:val="Light Shading - Accent 110"/>
    <w:basedOn w:val="TableNormal"/>
    <w:next w:val="LightShading-Accent1"/>
    <w:uiPriority w:val="60"/>
    <w:rsid w:val="008B1219"/>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58">
    <w:name w:val="Light List - Accent 58"/>
    <w:basedOn w:val="TableNormal"/>
    <w:next w:val="LightList-Accent5"/>
    <w:uiPriority w:val="61"/>
    <w:rsid w:val="008B1219"/>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2-Accent1">
    <w:name w:val="Medium List 2 Accent 1"/>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2-Accent110">
    <w:name w:val="Medium Grid 2 - Accent 110"/>
    <w:basedOn w:val="TableNormal"/>
    <w:next w:val="MediumGrid2-Accent1"/>
    <w:uiPriority w:val="68"/>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6">
    <w:name w:val="Medium Grid 3 Accent 6"/>
    <w:basedOn w:val="TableNormal"/>
    <w:uiPriority w:val="69"/>
    <w:rsid w:val="008B1219"/>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2-Accent510">
    <w:name w:val="Medium List 2 - Accent 510"/>
    <w:basedOn w:val="TableNormal"/>
    <w:next w:val="MediumList2-Accent5"/>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3">
    <w:name w:val="Light List - Accent 123"/>
    <w:basedOn w:val="TableNormal"/>
    <w:next w:val="LightList-Accent1"/>
    <w:uiPriority w:val="61"/>
    <w:rsid w:val="008B1219"/>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1-Accent5">
    <w:name w:val="Medium List 1 Accent 5"/>
    <w:basedOn w:val="TableNormal"/>
    <w:uiPriority w:val="65"/>
    <w:rsid w:val="008B1219"/>
    <w:rPr>
      <w:rFonts w:asciiTheme="minorHAnsi" w:eastAsiaTheme="minorHAnsi" w:hAnsiTheme="minorHAnsi"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Grid3-Accent510">
    <w:name w:val="Medium Grid 3 - Accent 510"/>
    <w:basedOn w:val="TableNormal"/>
    <w:next w:val="MediumGrid3-Accent5"/>
    <w:uiPriority w:val="69"/>
    <w:rsid w:val="008B1219"/>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10">
    <w:name w:val="Light Shading - Accent 510"/>
    <w:basedOn w:val="TableNormal"/>
    <w:next w:val="LightShading-Accent5"/>
    <w:uiPriority w:val="60"/>
    <w:rsid w:val="008B1219"/>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10">
    <w:name w:val="Medium Grid 2 - Accent 510"/>
    <w:basedOn w:val="TableNormal"/>
    <w:next w:val="MediumGrid2-Accent5"/>
    <w:uiPriority w:val="68"/>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List-Accent3">
    <w:name w:val="Light List Accent 3"/>
    <w:basedOn w:val="TableNormal"/>
    <w:uiPriority w:val="61"/>
    <w:rsid w:val="008B1219"/>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3">
    <w:name w:val="Medium List 2 Accent 3"/>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Grid-Accent110">
    <w:name w:val="Light Grid - Accent 110"/>
    <w:basedOn w:val="TableNormal"/>
    <w:next w:val="LightGrid-Accent1"/>
    <w:uiPriority w:val="62"/>
    <w:rsid w:val="008B1219"/>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47">
    <w:name w:val="No List47"/>
    <w:next w:val="NoList"/>
    <w:uiPriority w:val="99"/>
    <w:semiHidden/>
    <w:unhideWhenUsed/>
    <w:rsid w:val="00961B35"/>
  </w:style>
  <w:style w:type="table" w:customStyle="1" w:styleId="TableGrid24">
    <w:name w:val="Table Grid24"/>
    <w:basedOn w:val="TableNormal"/>
    <w:next w:val="TableGrid"/>
    <w:uiPriority w:val="39"/>
    <w:rsid w:val="00961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961B35"/>
  </w:style>
  <w:style w:type="numbering" w:customStyle="1" w:styleId="NoList1118">
    <w:name w:val="No List1118"/>
    <w:next w:val="NoList"/>
    <w:semiHidden/>
    <w:rsid w:val="00961B35"/>
  </w:style>
  <w:style w:type="table" w:customStyle="1" w:styleId="TableGrid1100">
    <w:name w:val="Table Grid110"/>
    <w:basedOn w:val="TableNormal"/>
    <w:next w:val="TableGrid"/>
    <w:uiPriority w:val="59"/>
    <w:rsid w:val="00961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semiHidden/>
    <w:rsid w:val="001725C5"/>
  </w:style>
  <w:style w:type="paragraph" w:customStyle="1" w:styleId="CharChar40">
    <w:name w:val="Char Char40"/>
    <w:basedOn w:val="Normal"/>
    <w:uiPriority w:val="99"/>
    <w:rsid w:val="001725C5"/>
    <w:pPr>
      <w:spacing w:before="0" w:after="160" w:line="240" w:lineRule="exact"/>
      <w:jc w:val="left"/>
    </w:pPr>
    <w:rPr>
      <w:rFonts w:ascii="Arial" w:hAnsi="Arial" w:cs="Arial"/>
      <w:b w:val="0"/>
      <w:sz w:val="20"/>
      <w:szCs w:val="20"/>
      <w:lang w:val="en-US" w:eastAsia="en-US"/>
    </w:rPr>
  </w:style>
  <w:style w:type="paragraph" w:customStyle="1" w:styleId="Char120">
    <w:name w:val="Char12"/>
    <w:basedOn w:val="Normal"/>
    <w:next w:val="Normal"/>
    <w:rsid w:val="001725C5"/>
    <w:pPr>
      <w:spacing w:before="0" w:after="160" w:line="240" w:lineRule="exact"/>
      <w:jc w:val="left"/>
    </w:pPr>
    <w:rPr>
      <w:rFonts w:ascii="Tahoma" w:hAnsi="Tahoma"/>
      <w:b w:val="0"/>
      <w:sz w:val="24"/>
      <w:szCs w:val="20"/>
      <w:lang w:val="en-US" w:eastAsia="en-US"/>
    </w:rPr>
  </w:style>
  <w:style w:type="paragraph" w:customStyle="1" w:styleId="Char1CharCharCharCharCharCharCharCharCharCharCharChar3">
    <w:name w:val="Char1 Char Char Char Char Char Char Char Char Char Char Char Char3"/>
    <w:basedOn w:val="Normal"/>
    <w:uiPriority w:val="99"/>
    <w:rsid w:val="001725C5"/>
    <w:pPr>
      <w:spacing w:before="0" w:after="160" w:line="240" w:lineRule="exact"/>
      <w:jc w:val="left"/>
    </w:pPr>
    <w:rPr>
      <w:rFonts w:ascii="Arial" w:hAnsi="Arial" w:cs="Arial"/>
      <w:b w:val="0"/>
      <w:sz w:val="20"/>
      <w:szCs w:val="20"/>
      <w:lang w:val="en-US" w:eastAsia="en-US"/>
    </w:rPr>
  </w:style>
  <w:style w:type="paragraph" w:customStyle="1" w:styleId="CharCharChar4">
    <w:name w:val="Char Char Char4"/>
    <w:basedOn w:val="Normal"/>
    <w:uiPriority w:val="99"/>
    <w:rsid w:val="001725C5"/>
    <w:pPr>
      <w:spacing w:before="0" w:after="160" w:line="240" w:lineRule="exact"/>
      <w:jc w:val="left"/>
    </w:pPr>
    <w:rPr>
      <w:rFonts w:ascii="Arial" w:hAnsi="Arial" w:cs="Arial"/>
      <w:b w:val="0"/>
      <w:sz w:val="20"/>
      <w:szCs w:val="20"/>
      <w:lang w:val="en-US" w:eastAsia="en-US"/>
    </w:rPr>
  </w:style>
  <w:style w:type="paragraph" w:customStyle="1" w:styleId="CharCharChar40">
    <w:name w:val="Char Char Char Знак Знак4"/>
    <w:basedOn w:val="Normal"/>
    <w:uiPriority w:val="99"/>
    <w:rsid w:val="001725C5"/>
    <w:pPr>
      <w:spacing w:before="0" w:after="160" w:line="240" w:lineRule="exact"/>
      <w:jc w:val="left"/>
    </w:pPr>
    <w:rPr>
      <w:rFonts w:ascii="Arial" w:hAnsi="Arial" w:cs="Arial"/>
      <w:b w:val="0"/>
      <w:sz w:val="20"/>
      <w:szCs w:val="20"/>
      <w:lang w:val="en-US" w:eastAsia="en-US"/>
    </w:rPr>
  </w:style>
  <w:style w:type="paragraph" w:customStyle="1" w:styleId="CharCharCharCharChar40">
    <w:name w:val="Char Char Char Char Char Знак Знак4"/>
    <w:basedOn w:val="Normal"/>
    <w:uiPriority w:val="99"/>
    <w:rsid w:val="001725C5"/>
    <w:pPr>
      <w:spacing w:before="0" w:after="160" w:line="240" w:lineRule="exact"/>
      <w:jc w:val="left"/>
    </w:pPr>
    <w:rPr>
      <w:rFonts w:ascii="Arial" w:hAnsi="Arial" w:cs="Arial"/>
      <w:b w:val="0"/>
      <w:sz w:val="20"/>
      <w:szCs w:val="20"/>
      <w:lang w:val="en-US" w:eastAsia="en-US"/>
    </w:rPr>
  </w:style>
  <w:style w:type="paragraph" w:customStyle="1" w:styleId="7">
    <w:name w:val="Знак Знак7"/>
    <w:basedOn w:val="Normal"/>
    <w:rsid w:val="001725C5"/>
    <w:pPr>
      <w:spacing w:before="0" w:after="160" w:line="240" w:lineRule="exact"/>
      <w:jc w:val="left"/>
    </w:pPr>
    <w:rPr>
      <w:rFonts w:ascii="Arial" w:hAnsi="Arial" w:cs="Arial"/>
      <w:b w:val="0"/>
      <w:sz w:val="20"/>
      <w:szCs w:val="20"/>
      <w:lang w:val="en-US" w:eastAsia="en-US"/>
    </w:rPr>
  </w:style>
  <w:style w:type="numbering" w:customStyle="1" w:styleId="NoList127">
    <w:name w:val="No List127"/>
    <w:next w:val="NoList"/>
    <w:semiHidden/>
    <w:rsid w:val="001725C5"/>
  </w:style>
  <w:style w:type="paragraph" w:customStyle="1" w:styleId="CharCharCharCharCharCharCharCharCharCharCharCharCharCharChar7">
    <w:name w:val="Char Char Char Char Знак Char Знак Char Char Char Char Char Char Char Char Char Char7"/>
    <w:basedOn w:val="Normal"/>
    <w:uiPriority w:val="99"/>
    <w:rsid w:val="001725C5"/>
    <w:pPr>
      <w:tabs>
        <w:tab w:val="left" w:pos="709"/>
      </w:tabs>
      <w:spacing w:before="0" w:line="240" w:lineRule="auto"/>
      <w:jc w:val="left"/>
    </w:pPr>
    <w:rPr>
      <w:rFonts w:ascii="Tahoma" w:hAnsi="Tahoma"/>
      <w:b w:val="0"/>
      <w:sz w:val="24"/>
      <w:lang w:val="pl-PL" w:eastAsia="pl-PL"/>
    </w:rPr>
  </w:style>
  <w:style w:type="character" w:customStyle="1" w:styleId="CharChar164">
    <w:name w:val="Char Char164"/>
    <w:uiPriority w:val="99"/>
    <w:rsid w:val="001725C5"/>
    <w:rPr>
      <w:b/>
      <w:sz w:val="32"/>
      <w:lang w:val="en-GB" w:eastAsia="en-US" w:bidi="ar-SA"/>
    </w:rPr>
  </w:style>
  <w:style w:type="character" w:customStyle="1" w:styleId="CharChar143">
    <w:name w:val="Char Char143"/>
    <w:uiPriority w:val="99"/>
    <w:rsid w:val="001725C5"/>
    <w:rPr>
      <w:sz w:val="22"/>
      <w:lang w:val="en-GB" w:eastAsia="en-US" w:bidi="ar-SA"/>
    </w:rPr>
  </w:style>
  <w:style w:type="character" w:customStyle="1" w:styleId="CharChar153">
    <w:name w:val="Char Char153"/>
    <w:uiPriority w:val="99"/>
    <w:rsid w:val="001725C5"/>
    <w:rPr>
      <w:sz w:val="36"/>
      <w:lang w:val="en-GB" w:eastAsia="en-US" w:bidi="ar-SA"/>
    </w:rPr>
  </w:style>
  <w:style w:type="character" w:customStyle="1" w:styleId="CharChar133">
    <w:name w:val="Char Char133"/>
    <w:uiPriority w:val="99"/>
    <w:rsid w:val="001725C5"/>
    <w:rPr>
      <w:sz w:val="22"/>
      <w:lang w:val="en-GB" w:eastAsia="en-US" w:bidi="ar-SA"/>
    </w:rPr>
  </w:style>
  <w:style w:type="character" w:customStyle="1" w:styleId="CharChar124">
    <w:name w:val="Char Char124"/>
    <w:uiPriority w:val="99"/>
    <w:rsid w:val="001725C5"/>
    <w:rPr>
      <w:sz w:val="22"/>
      <w:lang w:val="en-GB" w:eastAsia="en-US" w:bidi="ar-SA"/>
    </w:rPr>
  </w:style>
  <w:style w:type="character" w:customStyle="1" w:styleId="CharChar114">
    <w:name w:val="Char Char114"/>
    <w:uiPriority w:val="99"/>
    <w:rsid w:val="001725C5"/>
    <w:rPr>
      <w:rFonts w:ascii="Times Armenian" w:hAnsi="Times Armenian"/>
      <w:b/>
      <w:bCs/>
      <w:sz w:val="32"/>
      <w:szCs w:val="24"/>
      <w:lang w:val="fr-FR" w:eastAsia="en-US" w:bidi="ar-SA"/>
    </w:rPr>
  </w:style>
  <w:style w:type="character" w:customStyle="1" w:styleId="CharChar103">
    <w:name w:val="Char Char103"/>
    <w:uiPriority w:val="99"/>
    <w:rsid w:val="001725C5"/>
    <w:rPr>
      <w:rFonts w:ascii="Times Armenian" w:hAnsi="Times Armenian"/>
      <w:color w:val="993300"/>
      <w:sz w:val="22"/>
      <w:szCs w:val="24"/>
      <w:lang w:val="hy-AM" w:eastAsia="en-US" w:bidi="ar-SA"/>
    </w:rPr>
  </w:style>
  <w:style w:type="character" w:customStyle="1" w:styleId="CharChar93">
    <w:name w:val="Char Char93"/>
    <w:uiPriority w:val="99"/>
    <w:rsid w:val="001725C5"/>
    <w:rPr>
      <w:rFonts w:ascii="Times Armenian" w:hAnsi="Times Armenian"/>
      <w:b/>
      <w:i/>
      <w:sz w:val="24"/>
      <w:u w:val="single"/>
      <w:lang w:val="hy-AM" w:eastAsia="en-US" w:bidi="ar-SA"/>
    </w:rPr>
  </w:style>
  <w:style w:type="numbering" w:customStyle="1" w:styleId="NoList210">
    <w:name w:val="No List210"/>
    <w:next w:val="NoList"/>
    <w:semiHidden/>
    <w:rsid w:val="001725C5"/>
  </w:style>
  <w:style w:type="numbering" w:customStyle="1" w:styleId="NoList49">
    <w:name w:val="No List49"/>
    <w:next w:val="NoList"/>
    <w:uiPriority w:val="99"/>
    <w:semiHidden/>
    <w:unhideWhenUsed/>
    <w:rsid w:val="002C0A36"/>
  </w:style>
  <w:style w:type="table" w:customStyle="1" w:styleId="TableGrid25">
    <w:name w:val="Table Grid25"/>
    <w:basedOn w:val="TableNormal"/>
    <w:next w:val="TableGrid"/>
    <w:uiPriority w:val="39"/>
    <w:rsid w:val="002C0A36"/>
    <w:rPr>
      <w:rFonts w:ascii="Calibri" w:eastAsia="Calibri" w:hAnsi="Calibri"/>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2C0A36"/>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6">
    <w:name w:val="Table Grid26"/>
    <w:basedOn w:val="TableNormal"/>
    <w:next w:val="TableGrid"/>
    <w:uiPriority w:val="39"/>
    <w:rsid w:val="00BA6B0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
    <w:name w:val="No List50"/>
    <w:next w:val="NoList"/>
    <w:uiPriority w:val="99"/>
    <w:semiHidden/>
    <w:unhideWhenUsed/>
    <w:rsid w:val="00B36A46"/>
  </w:style>
  <w:style w:type="numbering" w:customStyle="1" w:styleId="NoList128">
    <w:name w:val="No List128"/>
    <w:next w:val="NoList"/>
    <w:uiPriority w:val="99"/>
    <w:semiHidden/>
    <w:unhideWhenUsed/>
    <w:rsid w:val="00B36A46"/>
  </w:style>
  <w:style w:type="table" w:customStyle="1" w:styleId="TableGrid27">
    <w:name w:val="Table Grid27"/>
    <w:basedOn w:val="TableNormal"/>
    <w:next w:val="TableGrid"/>
    <w:rsid w:val="00B36A46"/>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semiHidden/>
    <w:unhideWhenUsed/>
    <w:rsid w:val="00B36A46"/>
  </w:style>
  <w:style w:type="numbering" w:customStyle="1" w:styleId="NoList11110">
    <w:name w:val="No List11110"/>
    <w:next w:val="NoList"/>
    <w:semiHidden/>
    <w:rsid w:val="00B36A46"/>
  </w:style>
  <w:style w:type="table" w:customStyle="1" w:styleId="TableGrid112">
    <w:name w:val="Table Grid112"/>
    <w:basedOn w:val="TableNormal"/>
    <w:next w:val="TableGrid"/>
    <w:rsid w:val="00B36A46"/>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semiHidden/>
    <w:rsid w:val="00B36A46"/>
  </w:style>
  <w:style w:type="numbering" w:customStyle="1" w:styleId="NoList214">
    <w:name w:val="No List214"/>
    <w:next w:val="NoList"/>
    <w:semiHidden/>
    <w:rsid w:val="00B36A46"/>
  </w:style>
  <w:style w:type="numbering" w:customStyle="1" w:styleId="NoList310">
    <w:name w:val="No List310"/>
    <w:next w:val="NoList"/>
    <w:semiHidden/>
    <w:unhideWhenUsed/>
    <w:rsid w:val="00B36A46"/>
  </w:style>
  <w:style w:type="table" w:customStyle="1" w:styleId="TableList77">
    <w:name w:val="Table List 77"/>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7">
    <w:name w:val="Table Web 37"/>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7">
    <w:name w:val="Table Elegant7"/>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7">
    <w:name w:val="Table Web 27"/>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7">
    <w:name w:val="Table Web 17"/>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7">
    <w:name w:val="Table Grid 87"/>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7">
    <w:name w:val="Table Contemporary7"/>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4">
    <w:name w:val="Light List - Accent 124"/>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7">
    <w:name w:val="Table Grid 77"/>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8">
    <w:name w:val="Colorful Grid - Accent 18"/>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9">
    <w:name w:val="Light List - Accent 59"/>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7">
    <w:name w:val="Table Simple 37"/>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7">
    <w:name w:val="Table Grid 57"/>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7">
    <w:name w:val="Table Grid 37"/>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70">
    <w:name w:val="Table Grid 17"/>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7">
    <w:name w:val="Table Columns 57"/>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0">
    <w:name w:val="Light List - Accent 1110"/>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80">
    <w:name w:val="Нет списка18"/>
    <w:next w:val="NoList"/>
    <w:semiHidden/>
    <w:unhideWhenUsed/>
    <w:rsid w:val="00B36A46"/>
  </w:style>
  <w:style w:type="table" w:customStyle="1" w:styleId="ColorfulGrid-Accent117">
    <w:name w:val="Colorful Grid - Accent 117"/>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7">
    <w:name w:val="Light List - Accent 517"/>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0">
    <w:name w:val="No List410"/>
    <w:next w:val="NoList"/>
    <w:semiHidden/>
    <w:rsid w:val="00B36A46"/>
  </w:style>
  <w:style w:type="table" w:customStyle="1" w:styleId="Table3Deffects37">
    <w:name w:val="Table 3D effects 37"/>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
    <w:name w:val="Нет списка117"/>
    <w:next w:val="NoList"/>
    <w:semiHidden/>
    <w:unhideWhenUsed/>
    <w:rsid w:val="00B36A46"/>
  </w:style>
  <w:style w:type="numbering" w:customStyle="1" w:styleId="NoList54">
    <w:name w:val="No List54"/>
    <w:next w:val="NoList"/>
    <w:uiPriority w:val="99"/>
    <w:semiHidden/>
    <w:unhideWhenUsed/>
    <w:rsid w:val="00B36A46"/>
  </w:style>
  <w:style w:type="numbering" w:customStyle="1" w:styleId="NoList129">
    <w:name w:val="No List129"/>
    <w:next w:val="NoList"/>
    <w:semiHidden/>
    <w:rsid w:val="00B36A46"/>
  </w:style>
  <w:style w:type="numbering" w:customStyle="1" w:styleId="NoList1124">
    <w:name w:val="No List1124"/>
    <w:next w:val="NoList"/>
    <w:semiHidden/>
    <w:rsid w:val="00B36A46"/>
  </w:style>
  <w:style w:type="numbering" w:customStyle="1" w:styleId="NoList111112">
    <w:name w:val="No List111112"/>
    <w:next w:val="NoList"/>
    <w:semiHidden/>
    <w:rsid w:val="00B36A46"/>
  </w:style>
  <w:style w:type="numbering" w:customStyle="1" w:styleId="NoList215">
    <w:name w:val="No List215"/>
    <w:next w:val="NoList"/>
    <w:semiHidden/>
    <w:rsid w:val="00B36A46"/>
  </w:style>
  <w:style w:type="table" w:customStyle="1" w:styleId="TableGrid28">
    <w:name w:val="Table Grid28"/>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B36A46"/>
  </w:style>
  <w:style w:type="numbering" w:customStyle="1" w:styleId="NoList62">
    <w:name w:val="No List62"/>
    <w:next w:val="NoList"/>
    <w:uiPriority w:val="99"/>
    <w:semiHidden/>
    <w:unhideWhenUsed/>
    <w:rsid w:val="00B36A46"/>
  </w:style>
  <w:style w:type="numbering" w:customStyle="1" w:styleId="NoList72">
    <w:name w:val="No List72"/>
    <w:next w:val="NoList"/>
    <w:uiPriority w:val="99"/>
    <w:semiHidden/>
    <w:unhideWhenUsed/>
    <w:rsid w:val="00B36A46"/>
  </w:style>
  <w:style w:type="table" w:customStyle="1" w:styleId="TableGrid320">
    <w:name w:val="Table Grid32"/>
    <w:basedOn w:val="TableNormal"/>
    <w:next w:val="TableGrid"/>
    <w:rsid w:val="00B36A46"/>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semiHidden/>
    <w:unhideWhenUsed/>
    <w:rsid w:val="00B36A46"/>
  </w:style>
  <w:style w:type="numbering" w:customStyle="1" w:styleId="NoList1132">
    <w:name w:val="No List1132"/>
    <w:next w:val="NoList"/>
    <w:semiHidden/>
    <w:rsid w:val="00B36A46"/>
  </w:style>
  <w:style w:type="table" w:customStyle="1" w:styleId="TableGrid113">
    <w:name w:val="Table Grid113"/>
    <w:basedOn w:val="TableNormal"/>
    <w:next w:val="TableGrid"/>
    <w:rsid w:val="00B36A46"/>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semiHidden/>
    <w:rsid w:val="00B36A46"/>
  </w:style>
  <w:style w:type="numbering" w:customStyle="1" w:styleId="NoList222">
    <w:name w:val="No List222"/>
    <w:next w:val="NoList"/>
    <w:semiHidden/>
    <w:rsid w:val="00B36A46"/>
  </w:style>
  <w:style w:type="numbering" w:customStyle="1" w:styleId="NoList322">
    <w:name w:val="No List322"/>
    <w:next w:val="NoList"/>
    <w:semiHidden/>
    <w:unhideWhenUsed/>
    <w:rsid w:val="00B36A46"/>
  </w:style>
  <w:style w:type="table" w:customStyle="1" w:styleId="TableList712">
    <w:name w:val="Table List 71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
    <w:name w:val="Table Web 31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
    <w:name w:val="Table Elegant1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2">
    <w:name w:val="Table Web 21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
    <w:name w:val="Table Web 11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
    <w:name w:val="Table Grid 81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
    <w:name w:val="Table Contemporary1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5">
    <w:name w:val="Light List - Accent 125"/>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
    <w:name w:val="Table Grid 71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2">
    <w:name w:val="Colorful Grid - Accent 122"/>
    <w:basedOn w:val="TableNormal"/>
    <w:next w:val="ColorfulGrid-Accent1"/>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
    <w:name w:val="Light List - Accent 522"/>
    <w:basedOn w:val="TableNormal"/>
    <w:next w:val="LightList-Accent5"/>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
    <w:name w:val="Table Simple 31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
    <w:name w:val="Table Grid 51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
    <w:name w:val="Table Grid 31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0">
    <w:name w:val="Table Grid 11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
    <w:name w:val="Table Columns 51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2">
    <w:name w:val="Light List - Accent 111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2">
    <w:name w:val="Нет списка122"/>
    <w:next w:val="NoList"/>
    <w:uiPriority w:val="99"/>
    <w:semiHidden/>
    <w:unhideWhenUsed/>
    <w:rsid w:val="00B36A46"/>
  </w:style>
  <w:style w:type="table" w:customStyle="1" w:styleId="ColorfulGrid-Accent1112">
    <w:name w:val="Colorful Grid - Accent 111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2">
    <w:name w:val="Light List - Accent 511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2">
    <w:name w:val="No List412"/>
    <w:next w:val="NoList"/>
    <w:semiHidden/>
    <w:rsid w:val="00B36A46"/>
  </w:style>
  <w:style w:type="table" w:customStyle="1" w:styleId="Table3Deffects312">
    <w:name w:val="Table 3D effects 31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
    <w:name w:val="Нет списка1112"/>
    <w:next w:val="NoList"/>
    <w:semiHidden/>
    <w:unhideWhenUsed/>
    <w:rsid w:val="00B36A46"/>
  </w:style>
  <w:style w:type="numbering" w:customStyle="1" w:styleId="NoList512">
    <w:name w:val="No List512"/>
    <w:next w:val="NoList"/>
    <w:uiPriority w:val="99"/>
    <w:semiHidden/>
    <w:unhideWhenUsed/>
    <w:rsid w:val="00B36A46"/>
  </w:style>
  <w:style w:type="numbering" w:customStyle="1" w:styleId="NoList1212">
    <w:name w:val="No List1212"/>
    <w:next w:val="NoList"/>
    <w:semiHidden/>
    <w:rsid w:val="00B36A46"/>
  </w:style>
  <w:style w:type="numbering" w:customStyle="1" w:styleId="NoList11212">
    <w:name w:val="No List11212"/>
    <w:next w:val="NoList"/>
    <w:semiHidden/>
    <w:rsid w:val="00B36A46"/>
  </w:style>
  <w:style w:type="numbering" w:customStyle="1" w:styleId="NoList1111112">
    <w:name w:val="No List1111112"/>
    <w:next w:val="NoList"/>
    <w:semiHidden/>
    <w:rsid w:val="00B36A46"/>
  </w:style>
  <w:style w:type="numbering" w:customStyle="1" w:styleId="NoList2112">
    <w:name w:val="No List2112"/>
    <w:next w:val="NoList"/>
    <w:semiHidden/>
    <w:rsid w:val="00B36A46"/>
  </w:style>
  <w:style w:type="table" w:customStyle="1" w:styleId="TableGrid212">
    <w:name w:val="Table Grid212"/>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
    <w:name w:val="No List3112"/>
    <w:next w:val="NoList"/>
    <w:uiPriority w:val="99"/>
    <w:semiHidden/>
    <w:unhideWhenUsed/>
    <w:rsid w:val="00B36A46"/>
  </w:style>
  <w:style w:type="numbering" w:customStyle="1" w:styleId="NoList82">
    <w:name w:val="No List82"/>
    <w:next w:val="NoList"/>
    <w:uiPriority w:val="99"/>
    <w:semiHidden/>
    <w:unhideWhenUsed/>
    <w:rsid w:val="00B36A46"/>
  </w:style>
  <w:style w:type="numbering" w:customStyle="1" w:styleId="NoList92">
    <w:name w:val="No List92"/>
    <w:next w:val="NoList"/>
    <w:uiPriority w:val="99"/>
    <w:semiHidden/>
    <w:unhideWhenUsed/>
    <w:rsid w:val="00B36A46"/>
  </w:style>
  <w:style w:type="table" w:customStyle="1" w:styleId="TableGrid42">
    <w:name w:val="Table Grid42"/>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2">
    <w:name w:val="Table List 72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2">
    <w:name w:val="Table Web 32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2">
    <w:name w:val="Table Elegant2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2">
    <w:name w:val="Table Web 12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2">
    <w:name w:val="Table Grid 82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2">
    <w:name w:val="Table Contemporary2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2">
    <w:name w:val="No List142"/>
    <w:next w:val="NoList"/>
    <w:semiHidden/>
    <w:unhideWhenUsed/>
    <w:rsid w:val="00B36A46"/>
  </w:style>
  <w:style w:type="numbering" w:customStyle="1" w:styleId="NoList232">
    <w:name w:val="No List232"/>
    <w:next w:val="NoList"/>
    <w:semiHidden/>
    <w:unhideWhenUsed/>
    <w:rsid w:val="00B36A46"/>
  </w:style>
  <w:style w:type="numbering" w:customStyle="1" w:styleId="NoList332">
    <w:name w:val="No List332"/>
    <w:next w:val="NoList"/>
    <w:semiHidden/>
    <w:unhideWhenUsed/>
    <w:rsid w:val="00B36A46"/>
  </w:style>
  <w:style w:type="table" w:customStyle="1" w:styleId="LightList-Accent132">
    <w:name w:val="Light List - Accent 132"/>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2">
    <w:name w:val="Table Grid 72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2">
    <w:name w:val="Colorful Grid - Accent 132"/>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2">
    <w:name w:val="Light List - Accent 532"/>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2">
    <w:name w:val="Table Simple 32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2">
    <w:name w:val="Table Grid 52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2">
    <w:name w:val="Table Grid 32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2">
    <w:name w:val="Table Grid 12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2">
    <w:name w:val="Table Columns 52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2">
    <w:name w:val="Light List - Accent 112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2">
    <w:name w:val="Нет списка132"/>
    <w:next w:val="NoList"/>
    <w:semiHidden/>
    <w:unhideWhenUsed/>
    <w:rsid w:val="00B36A46"/>
  </w:style>
  <w:style w:type="table" w:customStyle="1" w:styleId="ColorfulGrid-Accent1122">
    <w:name w:val="Colorful Grid - Accent 112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2">
    <w:name w:val="Light List - Accent 512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2">
    <w:name w:val="No List422"/>
    <w:next w:val="NoList"/>
    <w:semiHidden/>
    <w:rsid w:val="00B36A46"/>
  </w:style>
  <w:style w:type="numbering" w:customStyle="1" w:styleId="NoList1142">
    <w:name w:val="No List1142"/>
    <w:next w:val="NoList"/>
    <w:semiHidden/>
    <w:unhideWhenUsed/>
    <w:rsid w:val="00B36A46"/>
  </w:style>
  <w:style w:type="table" w:customStyle="1" w:styleId="Table3Deffects322">
    <w:name w:val="Table 3D effects 32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
    <w:name w:val="Нет списка1122"/>
    <w:next w:val="NoList"/>
    <w:semiHidden/>
    <w:unhideWhenUsed/>
    <w:rsid w:val="00B36A46"/>
  </w:style>
  <w:style w:type="numbering" w:customStyle="1" w:styleId="NoList102">
    <w:name w:val="No List102"/>
    <w:next w:val="NoList"/>
    <w:uiPriority w:val="99"/>
    <w:semiHidden/>
    <w:unhideWhenUsed/>
    <w:rsid w:val="00B36A46"/>
  </w:style>
  <w:style w:type="table" w:customStyle="1" w:styleId="TableGrid520">
    <w:name w:val="Table Grid52"/>
    <w:basedOn w:val="TableNormal"/>
    <w:next w:val="TableGrid"/>
    <w:rsid w:val="00B36A46"/>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semiHidden/>
    <w:unhideWhenUsed/>
    <w:rsid w:val="00B36A46"/>
  </w:style>
  <w:style w:type="numbering" w:customStyle="1" w:styleId="NoList1152">
    <w:name w:val="No List1152"/>
    <w:next w:val="NoList"/>
    <w:semiHidden/>
    <w:rsid w:val="00B36A46"/>
  </w:style>
  <w:style w:type="table" w:customStyle="1" w:styleId="TableGrid1220">
    <w:name w:val="Table Grid122"/>
    <w:basedOn w:val="TableNormal"/>
    <w:next w:val="TableGrid"/>
    <w:rsid w:val="00B36A46"/>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
    <w:name w:val="No List11132"/>
    <w:next w:val="NoList"/>
    <w:semiHidden/>
    <w:rsid w:val="00B36A46"/>
  </w:style>
  <w:style w:type="numbering" w:customStyle="1" w:styleId="NoList242">
    <w:name w:val="No List242"/>
    <w:next w:val="NoList"/>
    <w:semiHidden/>
    <w:rsid w:val="00B36A46"/>
  </w:style>
  <w:style w:type="numbering" w:customStyle="1" w:styleId="NoList342">
    <w:name w:val="No List342"/>
    <w:next w:val="NoList"/>
    <w:semiHidden/>
    <w:unhideWhenUsed/>
    <w:rsid w:val="00B36A46"/>
  </w:style>
  <w:style w:type="table" w:customStyle="1" w:styleId="TableList732">
    <w:name w:val="Table List 73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2">
    <w:name w:val="Table Web 33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2">
    <w:name w:val="Table Elegant3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2">
    <w:name w:val="Table Web 23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2">
    <w:name w:val="Table Web 13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2">
    <w:name w:val="Table Grid 83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2">
    <w:name w:val="Table Contemporary3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2">
    <w:name w:val="Light List - Accent 142"/>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2">
    <w:name w:val="Table Grid 73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2">
    <w:name w:val="Colorful Grid - Accent 142"/>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2">
    <w:name w:val="Light List - Accent 542"/>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2">
    <w:name w:val="Table Simple 33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2">
    <w:name w:val="Table Grid 53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2">
    <w:name w:val="Table Grid 33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2">
    <w:name w:val="Table Grid 13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2">
    <w:name w:val="Table Columns 53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2">
    <w:name w:val="Light List - Accent 113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2">
    <w:name w:val="Нет списка142"/>
    <w:next w:val="NoList"/>
    <w:semiHidden/>
    <w:unhideWhenUsed/>
    <w:rsid w:val="00B36A46"/>
  </w:style>
  <w:style w:type="table" w:customStyle="1" w:styleId="ColorfulGrid-Accent1132">
    <w:name w:val="Colorful Grid - Accent 113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2">
    <w:name w:val="Light List - Accent 513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2">
    <w:name w:val="No List432"/>
    <w:next w:val="NoList"/>
    <w:semiHidden/>
    <w:rsid w:val="00B36A46"/>
  </w:style>
  <w:style w:type="table" w:customStyle="1" w:styleId="Table3Deffects332">
    <w:name w:val="Table 3D effects 33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
    <w:name w:val="Нет списка1132"/>
    <w:next w:val="NoList"/>
    <w:semiHidden/>
    <w:unhideWhenUsed/>
    <w:rsid w:val="00B36A46"/>
  </w:style>
  <w:style w:type="numbering" w:customStyle="1" w:styleId="NoList522">
    <w:name w:val="No List522"/>
    <w:next w:val="NoList"/>
    <w:uiPriority w:val="99"/>
    <w:semiHidden/>
    <w:unhideWhenUsed/>
    <w:rsid w:val="00B36A46"/>
  </w:style>
  <w:style w:type="numbering" w:customStyle="1" w:styleId="NoList1222">
    <w:name w:val="No List1222"/>
    <w:next w:val="NoList"/>
    <w:semiHidden/>
    <w:rsid w:val="00B36A46"/>
  </w:style>
  <w:style w:type="numbering" w:customStyle="1" w:styleId="NoList11222">
    <w:name w:val="No List11222"/>
    <w:next w:val="NoList"/>
    <w:semiHidden/>
    <w:rsid w:val="00B36A46"/>
  </w:style>
  <w:style w:type="numbering" w:customStyle="1" w:styleId="NoList111122">
    <w:name w:val="No List111122"/>
    <w:next w:val="NoList"/>
    <w:semiHidden/>
    <w:rsid w:val="00B36A46"/>
  </w:style>
  <w:style w:type="numbering" w:customStyle="1" w:styleId="NoList2122">
    <w:name w:val="No List2122"/>
    <w:next w:val="NoList"/>
    <w:semiHidden/>
    <w:rsid w:val="00B36A46"/>
  </w:style>
  <w:style w:type="table" w:customStyle="1" w:styleId="TableGrid222">
    <w:name w:val="Table Grid222"/>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2">
    <w:name w:val="No List3122"/>
    <w:next w:val="NoList"/>
    <w:uiPriority w:val="99"/>
    <w:semiHidden/>
    <w:unhideWhenUsed/>
    <w:rsid w:val="00B36A46"/>
  </w:style>
  <w:style w:type="table" w:customStyle="1" w:styleId="LightShading-Accent113">
    <w:name w:val="Light Shading - Accent 113"/>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3">
    <w:name w:val="Medium Grid 2 - Accent 113"/>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3">
    <w:name w:val="Medium List 2 - Accent 513"/>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3">
    <w:name w:val="Light List - Accent 153"/>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3">
    <w:name w:val="Medium Grid 3 - Accent 513"/>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3">
    <w:name w:val="Light Shading - Accent 513"/>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3">
    <w:name w:val="Medium Grid 2 - Accent 513"/>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3">
    <w:name w:val="Light Grid - Accent 113"/>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4">
    <w:name w:val="Table List 44"/>
    <w:basedOn w:val="TableNormal"/>
    <w:next w:val="TableList4"/>
    <w:rsid w:val="00B36A46"/>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3">
    <w:name w:val="Table List 413"/>
    <w:basedOn w:val="TableNormal"/>
    <w:next w:val="TableList4"/>
    <w:rsid w:val="00B36A46"/>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2">
    <w:name w:val="Table Theme2"/>
    <w:basedOn w:val="TableNormal"/>
    <w:next w:val="TableTheme"/>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2">
    <w:name w:val="Table Professional2"/>
    <w:basedOn w:val="TableNormal"/>
    <w:next w:val="TableProfessional"/>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2">
    <w:name w:val="Table Grid 62"/>
    <w:basedOn w:val="TableNormal"/>
    <w:next w:val="TableGrid6"/>
    <w:rsid w:val="00B36A4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2">
    <w:name w:val="Table List 422"/>
    <w:basedOn w:val="TableNormal"/>
    <w:next w:val="TableList4"/>
    <w:rsid w:val="00B36A46"/>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2">
    <w:name w:val="Table List 4112"/>
    <w:basedOn w:val="TableNormal"/>
    <w:next w:val="TableList4"/>
    <w:rsid w:val="00B36A46"/>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6">
    <w:name w:val="Style116"/>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7">
    <w:name w:val="Style217"/>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6">
    <w:name w:val="Style2116"/>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2">
    <w:name w:val="No List162"/>
    <w:next w:val="NoList"/>
    <w:uiPriority w:val="99"/>
    <w:semiHidden/>
    <w:unhideWhenUsed/>
    <w:rsid w:val="00B36A46"/>
  </w:style>
  <w:style w:type="table" w:customStyle="1" w:styleId="TableGrid620">
    <w:name w:val="Table Grid62"/>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B36A46"/>
  </w:style>
  <w:style w:type="numbering" w:customStyle="1" w:styleId="NoList1162">
    <w:name w:val="No List1162"/>
    <w:next w:val="NoList"/>
    <w:semiHidden/>
    <w:rsid w:val="00B36A46"/>
  </w:style>
  <w:style w:type="table" w:customStyle="1" w:styleId="TableGrid1320">
    <w:name w:val="Table Grid132"/>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3">
    <w:name w:val="Light List - Accent 163"/>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1">
    <w:name w:val="Light Shading - Accent 12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21">
    <w:name w:val="Medium Grid 2 - Accent 12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21">
    <w:name w:val="Medium List 2 - Accent 52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71">
    <w:name w:val="Light List - Accent 17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21">
    <w:name w:val="Medium Grid 3 - Accent 52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1">
    <w:name w:val="Light Shading - Accent 52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21">
    <w:name w:val="Medium Grid 2 - Accent 52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21">
    <w:name w:val="Light Grid - Accent 12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81">
    <w:name w:val="No List181"/>
    <w:next w:val="NoList"/>
    <w:uiPriority w:val="99"/>
    <w:semiHidden/>
    <w:unhideWhenUsed/>
    <w:rsid w:val="00B36A46"/>
  </w:style>
  <w:style w:type="table" w:customStyle="1" w:styleId="TableGrid710">
    <w:name w:val="Table Grid7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1">
    <w:name w:val="Table List 74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1">
    <w:name w:val="Table Web 34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1">
    <w:name w:val="Table Elegant4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1">
    <w:name w:val="Table Web 24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1">
    <w:name w:val="Table Web 14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1">
    <w:name w:val="Table Grid 84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1">
    <w:name w:val="Table Contemporary4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1">
    <w:name w:val="No List191"/>
    <w:next w:val="NoList"/>
    <w:semiHidden/>
    <w:unhideWhenUsed/>
    <w:rsid w:val="00B36A46"/>
  </w:style>
  <w:style w:type="numbering" w:customStyle="1" w:styleId="NoList251">
    <w:name w:val="No List251"/>
    <w:next w:val="NoList"/>
    <w:semiHidden/>
    <w:unhideWhenUsed/>
    <w:rsid w:val="00B36A46"/>
  </w:style>
  <w:style w:type="numbering" w:customStyle="1" w:styleId="NoList351">
    <w:name w:val="No List351"/>
    <w:next w:val="NoList"/>
    <w:semiHidden/>
    <w:unhideWhenUsed/>
    <w:rsid w:val="00B36A46"/>
  </w:style>
  <w:style w:type="table" w:customStyle="1" w:styleId="LightList-Accent181">
    <w:name w:val="Light List - Accent 18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1">
    <w:name w:val="Table Grid 74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1">
    <w:name w:val="Colorful Grid - Accent 15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1">
    <w:name w:val="Light List - Accent 55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1">
    <w:name w:val="Table Simple 34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1">
    <w:name w:val="Table Grid 54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1">
    <w:name w:val="Table Grid 34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1">
    <w:name w:val="Table Grid 14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1">
    <w:name w:val="Table Columns 54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1">
    <w:name w:val="Light List - Accent 114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1">
    <w:name w:val="Нет списка151"/>
    <w:next w:val="NoList"/>
    <w:semiHidden/>
    <w:unhideWhenUsed/>
    <w:rsid w:val="00B36A46"/>
  </w:style>
  <w:style w:type="table" w:customStyle="1" w:styleId="ColorfulGrid-Accent1141">
    <w:name w:val="Colorful Grid - Accent 114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1">
    <w:name w:val="Light List - Accent 514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1">
    <w:name w:val="No List441"/>
    <w:next w:val="NoList"/>
    <w:semiHidden/>
    <w:rsid w:val="00B36A46"/>
  </w:style>
  <w:style w:type="numbering" w:customStyle="1" w:styleId="NoList1171">
    <w:name w:val="No List1171"/>
    <w:next w:val="NoList"/>
    <w:semiHidden/>
    <w:unhideWhenUsed/>
    <w:rsid w:val="00B36A46"/>
  </w:style>
  <w:style w:type="table" w:customStyle="1" w:styleId="Table3Deffects341">
    <w:name w:val="Table 3D effects 34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
    <w:name w:val="Нет списка1141"/>
    <w:next w:val="NoList"/>
    <w:semiHidden/>
    <w:unhideWhenUsed/>
    <w:rsid w:val="00B36A46"/>
  </w:style>
  <w:style w:type="table" w:customStyle="1" w:styleId="Style1111">
    <w:name w:val="Style111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1">
    <w:name w:val="Style212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1">
    <w:name w:val="Style2111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1">
    <w:name w:val="Style112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1">
    <w:name w:val="Style213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1">
    <w:name w:val="Style2112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1">
    <w:name w:val="No List201"/>
    <w:next w:val="NoList"/>
    <w:uiPriority w:val="99"/>
    <w:semiHidden/>
    <w:unhideWhenUsed/>
    <w:rsid w:val="00B36A46"/>
  </w:style>
  <w:style w:type="numbering" w:customStyle="1" w:styleId="NoList1101">
    <w:name w:val="No List1101"/>
    <w:next w:val="NoList"/>
    <w:uiPriority w:val="99"/>
    <w:semiHidden/>
    <w:unhideWhenUsed/>
    <w:rsid w:val="00B36A46"/>
  </w:style>
  <w:style w:type="table" w:customStyle="1" w:styleId="TableGrid810">
    <w:name w:val="Table Grid81"/>
    <w:basedOn w:val="TableNormal"/>
    <w:next w:val="TableGrid"/>
    <w:uiPriority w:val="39"/>
    <w:rsid w:val="00B36A46"/>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semiHidden/>
    <w:unhideWhenUsed/>
    <w:rsid w:val="00B36A46"/>
  </w:style>
  <w:style w:type="numbering" w:customStyle="1" w:styleId="NoList11141">
    <w:name w:val="No List11141"/>
    <w:next w:val="NoList"/>
    <w:semiHidden/>
    <w:rsid w:val="00B36A46"/>
  </w:style>
  <w:style w:type="table" w:customStyle="1" w:styleId="TableGrid1410">
    <w:name w:val="Table Grid141"/>
    <w:basedOn w:val="TableNormal"/>
    <w:next w:val="TableGrid"/>
    <w:uiPriority w:val="39"/>
    <w:rsid w:val="00B36A46"/>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
    <w:name w:val="No List111131"/>
    <w:next w:val="NoList"/>
    <w:semiHidden/>
    <w:rsid w:val="00B36A46"/>
  </w:style>
  <w:style w:type="numbering" w:customStyle="1" w:styleId="NoList261">
    <w:name w:val="No List261"/>
    <w:next w:val="NoList"/>
    <w:semiHidden/>
    <w:rsid w:val="00B36A46"/>
  </w:style>
  <w:style w:type="numbering" w:customStyle="1" w:styleId="NoList361">
    <w:name w:val="No List361"/>
    <w:next w:val="NoList"/>
    <w:semiHidden/>
    <w:unhideWhenUsed/>
    <w:rsid w:val="00B36A46"/>
  </w:style>
  <w:style w:type="table" w:customStyle="1" w:styleId="TableList751">
    <w:name w:val="Table List 75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1">
    <w:name w:val="Table Web 35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1">
    <w:name w:val="Table Elegant5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1">
    <w:name w:val="Table Web 25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1">
    <w:name w:val="Table Web 15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1">
    <w:name w:val="Table Grid 85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1">
    <w:name w:val="Table Contemporary5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1">
    <w:name w:val="Light List - Accent 19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1">
    <w:name w:val="Table Grid 75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1">
    <w:name w:val="Colorful Grid - Accent 16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1">
    <w:name w:val="Light List - Accent 56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1">
    <w:name w:val="Table Simple 35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1">
    <w:name w:val="Table Grid 55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1">
    <w:name w:val="Table Grid 35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1">
    <w:name w:val="Table Grid 15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1">
    <w:name w:val="Table Columns 55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1">
    <w:name w:val="Light List - Accent 115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1">
    <w:name w:val="Нет списка161"/>
    <w:next w:val="NoList"/>
    <w:semiHidden/>
    <w:unhideWhenUsed/>
    <w:rsid w:val="00B36A46"/>
  </w:style>
  <w:style w:type="table" w:customStyle="1" w:styleId="ColorfulGrid-Accent1151">
    <w:name w:val="Colorful Grid - Accent 115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1">
    <w:name w:val="Light List - Accent 515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1">
    <w:name w:val="No List451"/>
    <w:next w:val="NoList"/>
    <w:semiHidden/>
    <w:rsid w:val="00B36A46"/>
  </w:style>
  <w:style w:type="table" w:customStyle="1" w:styleId="Table3Deffects351">
    <w:name w:val="Table 3D effects 35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NoList"/>
    <w:semiHidden/>
    <w:unhideWhenUsed/>
    <w:rsid w:val="00B36A46"/>
  </w:style>
  <w:style w:type="numbering" w:customStyle="1" w:styleId="NoList531">
    <w:name w:val="No List531"/>
    <w:next w:val="NoList"/>
    <w:uiPriority w:val="99"/>
    <w:semiHidden/>
    <w:unhideWhenUsed/>
    <w:rsid w:val="00B36A46"/>
  </w:style>
  <w:style w:type="numbering" w:customStyle="1" w:styleId="NoList1231">
    <w:name w:val="No List1231"/>
    <w:next w:val="NoList"/>
    <w:semiHidden/>
    <w:rsid w:val="00B36A46"/>
  </w:style>
  <w:style w:type="numbering" w:customStyle="1" w:styleId="NoList11231">
    <w:name w:val="No List11231"/>
    <w:next w:val="NoList"/>
    <w:semiHidden/>
    <w:rsid w:val="00B36A46"/>
  </w:style>
  <w:style w:type="numbering" w:customStyle="1" w:styleId="NoList11111111">
    <w:name w:val="No List11111111"/>
    <w:next w:val="NoList"/>
    <w:semiHidden/>
    <w:rsid w:val="00B36A46"/>
  </w:style>
  <w:style w:type="numbering" w:customStyle="1" w:styleId="NoList2131">
    <w:name w:val="No List2131"/>
    <w:next w:val="NoList"/>
    <w:semiHidden/>
    <w:rsid w:val="00B36A46"/>
  </w:style>
  <w:style w:type="table" w:customStyle="1" w:styleId="TableGrid231">
    <w:name w:val="Table Grid23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1">
    <w:name w:val="No List3131"/>
    <w:next w:val="NoList"/>
    <w:uiPriority w:val="99"/>
    <w:semiHidden/>
    <w:unhideWhenUsed/>
    <w:rsid w:val="00B36A46"/>
  </w:style>
  <w:style w:type="numbering" w:customStyle="1" w:styleId="NoList611">
    <w:name w:val="No List611"/>
    <w:next w:val="NoList"/>
    <w:uiPriority w:val="99"/>
    <w:semiHidden/>
    <w:unhideWhenUsed/>
    <w:rsid w:val="00B36A46"/>
  </w:style>
  <w:style w:type="numbering" w:customStyle="1" w:styleId="NoList711">
    <w:name w:val="No List711"/>
    <w:next w:val="NoList"/>
    <w:uiPriority w:val="99"/>
    <w:semiHidden/>
    <w:unhideWhenUsed/>
    <w:rsid w:val="00B36A46"/>
  </w:style>
  <w:style w:type="table" w:customStyle="1" w:styleId="TableGrid3110">
    <w:name w:val="Table Grid311"/>
    <w:basedOn w:val="TableNormal"/>
    <w:next w:val="TableGrid"/>
    <w:rsid w:val="00B36A46"/>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semiHidden/>
    <w:unhideWhenUsed/>
    <w:rsid w:val="00B36A46"/>
  </w:style>
  <w:style w:type="numbering" w:customStyle="1" w:styleId="NoList11311">
    <w:name w:val="No List11311"/>
    <w:next w:val="NoList"/>
    <w:semiHidden/>
    <w:rsid w:val="00B36A46"/>
  </w:style>
  <w:style w:type="table" w:customStyle="1" w:styleId="TableGrid1111">
    <w:name w:val="Table Grid1111"/>
    <w:basedOn w:val="TableNormal"/>
    <w:next w:val="TableGrid"/>
    <w:uiPriority w:val="39"/>
    <w:rsid w:val="00B36A46"/>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semiHidden/>
    <w:rsid w:val="00B36A46"/>
  </w:style>
  <w:style w:type="numbering" w:customStyle="1" w:styleId="NoList2211">
    <w:name w:val="No List2211"/>
    <w:next w:val="NoList"/>
    <w:semiHidden/>
    <w:rsid w:val="00B36A46"/>
  </w:style>
  <w:style w:type="numbering" w:customStyle="1" w:styleId="NoList3211">
    <w:name w:val="No List3211"/>
    <w:next w:val="NoList"/>
    <w:semiHidden/>
    <w:unhideWhenUsed/>
    <w:rsid w:val="00B36A46"/>
  </w:style>
  <w:style w:type="table" w:customStyle="1" w:styleId="TableList7111">
    <w:name w:val="Table List 71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1">
    <w:name w:val="Table Web 31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1">
    <w:name w:val="Table Elegant1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1">
    <w:name w:val="Table Web 21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
    <w:name w:val="Table Web 11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
    <w:name w:val="Table Grid 81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
    <w:name w:val="Table Contemporary1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1">
    <w:name w:val="Light List - Accent 12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1">
    <w:name w:val="Table Grid 71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1">
    <w:name w:val="Colorful Grid - Accent 1211"/>
    <w:basedOn w:val="TableNormal"/>
    <w:next w:val="ColorfulGrid-Accent1"/>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
    <w:name w:val="Light List - Accent 5211"/>
    <w:basedOn w:val="TableNormal"/>
    <w:next w:val="LightList-Accent5"/>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1">
    <w:name w:val="Table Simple 31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1">
    <w:name w:val="Table Grid 51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1">
    <w:name w:val="Table Grid 31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10">
    <w:name w:val="Table Grid 11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1">
    <w:name w:val="Table Columns 51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1">
    <w:name w:val="Light List - Accent 111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1">
    <w:name w:val="Нет списка1211"/>
    <w:next w:val="NoList"/>
    <w:uiPriority w:val="99"/>
    <w:semiHidden/>
    <w:unhideWhenUsed/>
    <w:rsid w:val="00B36A46"/>
  </w:style>
  <w:style w:type="table" w:customStyle="1" w:styleId="ColorfulGrid-Accent11111">
    <w:name w:val="Colorful Grid - Accent 111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1">
    <w:name w:val="Light List - Accent 511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1">
    <w:name w:val="No List4111"/>
    <w:next w:val="NoList"/>
    <w:semiHidden/>
    <w:rsid w:val="00B36A46"/>
  </w:style>
  <w:style w:type="table" w:customStyle="1" w:styleId="Table3Deffects3111">
    <w:name w:val="Table 3D effects 31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
    <w:name w:val="Нет списка11111"/>
    <w:next w:val="NoList"/>
    <w:semiHidden/>
    <w:unhideWhenUsed/>
    <w:rsid w:val="00B36A46"/>
  </w:style>
  <w:style w:type="numbering" w:customStyle="1" w:styleId="NoList5111">
    <w:name w:val="No List5111"/>
    <w:next w:val="NoList"/>
    <w:uiPriority w:val="99"/>
    <w:semiHidden/>
    <w:unhideWhenUsed/>
    <w:rsid w:val="00B36A46"/>
  </w:style>
  <w:style w:type="numbering" w:customStyle="1" w:styleId="NoList12111">
    <w:name w:val="No List12111"/>
    <w:next w:val="NoList"/>
    <w:semiHidden/>
    <w:rsid w:val="00B36A46"/>
  </w:style>
  <w:style w:type="numbering" w:customStyle="1" w:styleId="NoList112111">
    <w:name w:val="No List112111"/>
    <w:next w:val="NoList"/>
    <w:semiHidden/>
    <w:rsid w:val="00B36A46"/>
  </w:style>
  <w:style w:type="numbering" w:customStyle="1" w:styleId="NoList111111111">
    <w:name w:val="No List111111111"/>
    <w:next w:val="NoList"/>
    <w:semiHidden/>
    <w:rsid w:val="00B36A46"/>
  </w:style>
  <w:style w:type="numbering" w:customStyle="1" w:styleId="NoList21111">
    <w:name w:val="No List21111"/>
    <w:next w:val="NoList"/>
    <w:semiHidden/>
    <w:rsid w:val="00B36A46"/>
  </w:style>
  <w:style w:type="table" w:customStyle="1" w:styleId="TableGrid2111">
    <w:name w:val="Table Grid211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
    <w:name w:val="No List31111"/>
    <w:next w:val="NoList"/>
    <w:uiPriority w:val="99"/>
    <w:semiHidden/>
    <w:unhideWhenUsed/>
    <w:rsid w:val="00B36A46"/>
  </w:style>
  <w:style w:type="numbering" w:customStyle="1" w:styleId="NoList811">
    <w:name w:val="No List811"/>
    <w:next w:val="NoList"/>
    <w:uiPriority w:val="99"/>
    <w:semiHidden/>
    <w:unhideWhenUsed/>
    <w:rsid w:val="00B36A46"/>
  </w:style>
  <w:style w:type="numbering" w:customStyle="1" w:styleId="NoList911">
    <w:name w:val="No List911"/>
    <w:next w:val="NoList"/>
    <w:uiPriority w:val="99"/>
    <w:semiHidden/>
    <w:unhideWhenUsed/>
    <w:rsid w:val="00B36A46"/>
  </w:style>
  <w:style w:type="table" w:customStyle="1" w:styleId="TableGrid411">
    <w:name w:val="Table Grid41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1">
    <w:name w:val="Table List 72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1">
    <w:name w:val="Table Web 32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1">
    <w:name w:val="Table Elegant2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1">
    <w:name w:val="Table Web 12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1">
    <w:name w:val="Table Grid 82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1">
    <w:name w:val="Table Contemporary2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1">
    <w:name w:val="No List1411"/>
    <w:next w:val="NoList"/>
    <w:semiHidden/>
    <w:unhideWhenUsed/>
    <w:rsid w:val="00B36A46"/>
  </w:style>
  <w:style w:type="numbering" w:customStyle="1" w:styleId="NoList2311">
    <w:name w:val="No List2311"/>
    <w:next w:val="NoList"/>
    <w:semiHidden/>
    <w:unhideWhenUsed/>
    <w:rsid w:val="00B36A46"/>
  </w:style>
  <w:style w:type="numbering" w:customStyle="1" w:styleId="NoList3311">
    <w:name w:val="No List3311"/>
    <w:next w:val="NoList"/>
    <w:semiHidden/>
    <w:unhideWhenUsed/>
    <w:rsid w:val="00B36A46"/>
  </w:style>
  <w:style w:type="table" w:customStyle="1" w:styleId="LightList-Accent1311">
    <w:name w:val="Light List - Accent 13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1">
    <w:name w:val="Table Grid 72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1">
    <w:name w:val="Colorful Grid - Accent 131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1">
    <w:name w:val="Light List - Accent 531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1">
    <w:name w:val="Table Simple 32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1">
    <w:name w:val="Table Grid 52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1">
    <w:name w:val="Table Grid 32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1">
    <w:name w:val="Table Grid 12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1">
    <w:name w:val="Table Columns 52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1">
    <w:name w:val="Light List - Accent 112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1">
    <w:name w:val="Нет списка1311"/>
    <w:next w:val="NoList"/>
    <w:semiHidden/>
    <w:unhideWhenUsed/>
    <w:rsid w:val="00B36A46"/>
  </w:style>
  <w:style w:type="table" w:customStyle="1" w:styleId="ColorfulGrid-Accent11211">
    <w:name w:val="Colorful Grid - Accent 112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1">
    <w:name w:val="Light List - Accent 512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1">
    <w:name w:val="No List4211"/>
    <w:next w:val="NoList"/>
    <w:semiHidden/>
    <w:rsid w:val="00B36A46"/>
  </w:style>
  <w:style w:type="numbering" w:customStyle="1" w:styleId="NoList11411">
    <w:name w:val="No List11411"/>
    <w:next w:val="NoList"/>
    <w:semiHidden/>
    <w:unhideWhenUsed/>
    <w:rsid w:val="00B36A46"/>
  </w:style>
  <w:style w:type="table" w:customStyle="1" w:styleId="Table3Deffects3211">
    <w:name w:val="Table 3D effects 32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
    <w:name w:val="Нет списка11211"/>
    <w:next w:val="NoList"/>
    <w:semiHidden/>
    <w:unhideWhenUsed/>
    <w:rsid w:val="00B36A46"/>
  </w:style>
  <w:style w:type="numbering" w:customStyle="1" w:styleId="NoList1011">
    <w:name w:val="No List1011"/>
    <w:next w:val="NoList"/>
    <w:uiPriority w:val="99"/>
    <w:semiHidden/>
    <w:unhideWhenUsed/>
    <w:rsid w:val="00B36A46"/>
  </w:style>
  <w:style w:type="table" w:customStyle="1" w:styleId="TableGrid5110">
    <w:name w:val="Table Grid511"/>
    <w:basedOn w:val="TableNormal"/>
    <w:next w:val="TableGrid"/>
    <w:rsid w:val="00B36A46"/>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semiHidden/>
    <w:unhideWhenUsed/>
    <w:rsid w:val="00B36A46"/>
  </w:style>
  <w:style w:type="numbering" w:customStyle="1" w:styleId="NoList11511">
    <w:name w:val="No List11511"/>
    <w:next w:val="NoList"/>
    <w:semiHidden/>
    <w:rsid w:val="00B36A46"/>
  </w:style>
  <w:style w:type="table" w:customStyle="1" w:styleId="TableGrid12110">
    <w:name w:val="Table Grid1211"/>
    <w:basedOn w:val="TableNormal"/>
    <w:next w:val="TableGrid"/>
    <w:rsid w:val="00B36A46"/>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1">
    <w:name w:val="No List111311"/>
    <w:next w:val="NoList"/>
    <w:semiHidden/>
    <w:rsid w:val="00B36A46"/>
  </w:style>
  <w:style w:type="numbering" w:customStyle="1" w:styleId="NoList2411">
    <w:name w:val="No List2411"/>
    <w:next w:val="NoList"/>
    <w:semiHidden/>
    <w:rsid w:val="00B36A46"/>
  </w:style>
  <w:style w:type="numbering" w:customStyle="1" w:styleId="NoList3411">
    <w:name w:val="No List3411"/>
    <w:next w:val="NoList"/>
    <w:semiHidden/>
    <w:unhideWhenUsed/>
    <w:rsid w:val="00B36A46"/>
  </w:style>
  <w:style w:type="table" w:customStyle="1" w:styleId="TableList7311">
    <w:name w:val="Table List 73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1">
    <w:name w:val="Table Web 33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1">
    <w:name w:val="Table Elegant3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1">
    <w:name w:val="Table Web 23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1">
    <w:name w:val="Table Web 13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1">
    <w:name w:val="Table Grid 83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1">
    <w:name w:val="Table Contemporary3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1">
    <w:name w:val="Light List - Accent 14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1">
    <w:name w:val="Table Grid 73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1">
    <w:name w:val="Colorful Grid - Accent 141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1">
    <w:name w:val="Light List - Accent 541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1">
    <w:name w:val="Table Simple 33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1">
    <w:name w:val="Table Grid 53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1">
    <w:name w:val="Table Grid 33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1">
    <w:name w:val="Table Grid 13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1">
    <w:name w:val="Table Columns 53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1">
    <w:name w:val="Light List - Accent 113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1">
    <w:name w:val="Нет списка1411"/>
    <w:next w:val="NoList"/>
    <w:semiHidden/>
    <w:unhideWhenUsed/>
    <w:rsid w:val="00B36A46"/>
  </w:style>
  <w:style w:type="table" w:customStyle="1" w:styleId="ColorfulGrid-Accent11311">
    <w:name w:val="Colorful Grid - Accent 113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1">
    <w:name w:val="Light List - Accent 513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1">
    <w:name w:val="No List4311"/>
    <w:next w:val="NoList"/>
    <w:semiHidden/>
    <w:rsid w:val="00B36A46"/>
  </w:style>
  <w:style w:type="table" w:customStyle="1" w:styleId="Table3Deffects3311">
    <w:name w:val="Table 3D effects 33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
    <w:name w:val="Нет списка11311"/>
    <w:next w:val="NoList"/>
    <w:semiHidden/>
    <w:unhideWhenUsed/>
    <w:rsid w:val="00B36A46"/>
  </w:style>
  <w:style w:type="numbering" w:customStyle="1" w:styleId="NoList5211">
    <w:name w:val="No List5211"/>
    <w:next w:val="NoList"/>
    <w:uiPriority w:val="99"/>
    <w:semiHidden/>
    <w:unhideWhenUsed/>
    <w:rsid w:val="00B36A46"/>
  </w:style>
  <w:style w:type="numbering" w:customStyle="1" w:styleId="NoList12211">
    <w:name w:val="No List12211"/>
    <w:next w:val="NoList"/>
    <w:semiHidden/>
    <w:rsid w:val="00B36A46"/>
  </w:style>
  <w:style w:type="numbering" w:customStyle="1" w:styleId="NoList112211">
    <w:name w:val="No List112211"/>
    <w:next w:val="NoList"/>
    <w:semiHidden/>
    <w:rsid w:val="00B36A46"/>
  </w:style>
  <w:style w:type="numbering" w:customStyle="1" w:styleId="NoList1111211">
    <w:name w:val="No List1111211"/>
    <w:next w:val="NoList"/>
    <w:semiHidden/>
    <w:rsid w:val="00B36A46"/>
  </w:style>
  <w:style w:type="numbering" w:customStyle="1" w:styleId="NoList21211">
    <w:name w:val="No List21211"/>
    <w:next w:val="NoList"/>
    <w:semiHidden/>
    <w:rsid w:val="00B36A46"/>
  </w:style>
  <w:style w:type="table" w:customStyle="1" w:styleId="TableGrid2211">
    <w:name w:val="Table Grid221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1">
    <w:name w:val="No List31211"/>
    <w:next w:val="NoList"/>
    <w:uiPriority w:val="99"/>
    <w:semiHidden/>
    <w:unhideWhenUsed/>
    <w:rsid w:val="00B36A46"/>
  </w:style>
  <w:style w:type="table" w:customStyle="1" w:styleId="LightShading-Accent1111">
    <w:name w:val="Light Shading - Accent 111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1">
    <w:name w:val="Medium Grid 2 - Accent 111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1">
    <w:name w:val="Medium List 2 - Accent 511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1">
    <w:name w:val="Light List - Accent 151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1">
    <w:name w:val="Medium Grid 3 - Accent 511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1">
    <w:name w:val="Light Shading - Accent 511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1">
    <w:name w:val="Medium Grid 2 - Accent 511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1">
    <w:name w:val="Light Grid - Accent 111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1">
    <w:name w:val="Table List 431"/>
    <w:basedOn w:val="TableNormal"/>
    <w:next w:val="TableList4"/>
    <w:rsid w:val="00B36A46"/>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1">
    <w:name w:val="Table List 4121"/>
    <w:basedOn w:val="TableNormal"/>
    <w:next w:val="TableList4"/>
    <w:rsid w:val="00B36A46"/>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1">
    <w:name w:val="Table Theme11"/>
    <w:basedOn w:val="TableNormal"/>
    <w:next w:val="TableTheme"/>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1">
    <w:name w:val="Table Professional11"/>
    <w:basedOn w:val="TableNormal"/>
    <w:next w:val="TableProfessional"/>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1">
    <w:name w:val="Table Grid 611"/>
    <w:basedOn w:val="TableNormal"/>
    <w:next w:val="TableGrid6"/>
    <w:rsid w:val="00B36A4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1">
    <w:name w:val="Table List 4211"/>
    <w:basedOn w:val="TableNormal"/>
    <w:next w:val="TableList4"/>
    <w:rsid w:val="00B36A46"/>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1">
    <w:name w:val="Table List 41111"/>
    <w:basedOn w:val="TableNormal"/>
    <w:next w:val="TableList4"/>
    <w:rsid w:val="00B36A46"/>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1">
    <w:name w:val="Style113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1">
    <w:name w:val="Style214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1">
    <w:name w:val="Style2113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1">
    <w:name w:val="No List1611"/>
    <w:next w:val="NoList"/>
    <w:uiPriority w:val="99"/>
    <w:semiHidden/>
    <w:unhideWhenUsed/>
    <w:rsid w:val="00B36A46"/>
  </w:style>
  <w:style w:type="table" w:customStyle="1" w:styleId="TableGrid6110">
    <w:name w:val="Table Grid61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
    <w:name w:val="No List1711"/>
    <w:next w:val="NoList"/>
    <w:uiPriority w:val="99"/>
    <w:semiHidden/>
    <w:unhideWhenUsed/>
    <w:rsid w:val="00B36A46"/>
  </w:style>
  <w:style w:type="numbering" w:customStyle="1" w:styleId="NoList11611">
    <w:name w:val="No List11611"/>
    <w:next w:val="NoList"/>
    <w:semiHidden/>
    <w:rsid w:val="00B36A46"/>
  </w:style>
  <w:style w:type="table" w:customStyle="1" w:styleId="TableGrid13110">
    <w:name w:val="Table Grid131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1">
    <w:name w:val="Light List - Accent 161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
    <w:name w:val="Light Shading - Accent 131"/>
    <w:basedOn w:val="TableNormal"/>
    <w:next w:val="LightShading-Accent1"/>
    <w:uiPriority w:val="60"/>
    <w:semiHidden/>
    <w:unhideWhenUsed/>
    <w:rsid w:val="00B36A4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1">
    <w:name w:val="Medium Grid 2 - Accent 131"/>
    <w:basedOn w:val="TableNormal"/>
    <w:next w:val="MediumGrid2-Accent1"/>
    <w:uiPriority w:val="68"/>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1">
    <w:name w:val="Medium List 2 - Accent 531"/>
    <w:basedOn w:val="TableNormal"/>
    <w:next w:val="MediumList2-Accent5"/>
    <w:uiPriority w:val="66"/>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1">
    <w:name w:val="Medium Grid 3 - Accent 531"/>
    <w:basedOn w:val="TableNormal"/>
    <w:next w:val="MediumGrid3-Accent5"/>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1">
    <w:name w:val="Light Shading - Accent 531"/>
    <w:basedOn w:val="TableNormal"/>
    <w:next w:val="LightShading-Accent5"/>
    <w:uiPriority w:val="60"/>
    <w:semiHidden/>
    <w:unhideWhenUsed/>
    <w:rsid w:val="00B36A4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1">
    <w:name w:val="Medium Grid 2 - Accent 531"/>
    <w:basedOn w:val="TableNormal"/>
    <w:next w:val="MediumGrid2-Accent5"/>
    <w:uiPriority w:val="68"/>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1">
    <w:name w:val="Light Grid - Accent 131"/>
    <w:basedOn w:val="TableNormal"/>
    <w:next w:val="LightGrid-Accent1"/>
    <w:uiPriority w:val="62"/>
    <w:semiHidden/>
    <w:unhideWhenUsed/>
    <w:rsid w:val="00B36A4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1">
    <w:name w:val="Light Shading - Accent 14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41">
    <w:name w:val="Medium Grid 2 - Accent 14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41">
    <w:name w:val="Medium List 2 - Accent 54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01">
    <w:name w:val="Light List - Accent 110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41">
    <w:name w:val="Medium Grid 3 - Accent 54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41">
    <w:name w:val="Light Shading - Accent 54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41">
    <w:name w:val="Medium Grid 2 - Accent 54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1">
    <w:name w:val="Light Grid - Accent 14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51">
    <w:name w:val="Light Shading - Accent 15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51">
    <w:name w:val="Medium Grid 2 - Accent 15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51">
    <w:name w:val="Medium List 2 - Accent 55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61">
    <w:name w:val="Light List - Accent 116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51">
    <w:name w:val="Medium Grid 3 - Accent 55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51">
    <w:name w:val="Light Shading - Accent 55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51">
    <w:name w:val="Medium Grid 2 - Accent 55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51">
    <w:name w:val="Light Grid - Accent 15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71">
    <w:name w:val="No List271"/>
    <w:next w:val="NoList"/>
    <w:uiPriority w:val="99"/>
    <w:semiHidden/>
    <w:unhideWhenUsed/>
    <w:rsid w:val="00B36A46"/>
  </w:style>
  <w:style w:type="table" w:customStyle="1" w:styleId="TableGrid91">
    <w:name w:val="Table Grid9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1">
    <w:name w:val="Table List 76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1">
    <w:name w:val="Table Web 36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1">
    <w:name w:val="Table Elegant6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1">
    <w:name w:val="Table Web 26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1">
    <w:name w:val="Table Web 16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1">
    <w:name w:val="Table Grid 86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1">
    <w:name w:val="Table Contemporary6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1">
    <w:name w:val="No List1191"/>
    <w:next w:val="NoList"/>
    <w:semiHidden/>
    <w:unhideWhenUsed/>
    <w:rsid w:val="00B36A46"/>
  </w:style>
  <w:style w:type="numbering" w:customStyle="1" w:styleId="NoList281">
    <w:name w:val="No List281"/>
    <w:next w:val="NoList"/>
    <w:semiHidden/>
    <w:unhideWhenUsed/>
    <w:rsid w:val="00B36A46"/>
  </w:style>
  <w:style w:type="numbering" w:customStyle="1" w:styleId="NoList371">
    <w:name w:val="No List371"/>
    <w:next w:val="NoList"/>
    <w:semiHidden/>
    <w:unhideWhenUsed/>
    <w:rsid w:val="00B36A46"/>
  </w:style>
  <w:style w:type="table" w:customStyle="1" w:styleId="LightList-Accent1171">
    <w:name w:val="Light List - Accent 117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1">
    <w:name w:val="Table Grid 76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1">
    <w:name w:val="Colorful Grid - Accent 17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1">
    <w:name w:val="Light List - Accent 57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1">
    <w:name w:val="Table Simple 36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1">
    <w:name w:val="Table Grid 56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1">
    <w:name w:val="Table Grid 36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1">
    <w:name w:val="Table Grid 16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1">
    <w:name w:val="Table Columns 56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1">
    <w:name w:val="Light List - Accent 118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1">
    <w:name w:val="Нет списка171"/>
    <w:next w:val="NoList"/>
    <w:semiHidden/>
    <w:unhideWhenUsed/>
    <w:rsid w:val="00B36A46"/>
  </w:style>
  <w:style w:type="table" w:customStyle="1" w:styleId="ColorfulGrid-Accent1161">
    <w:name w:val="Colorful Grid - Accent 116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1">
    <w:name w:val="Light List - Accent 516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1">
    <w:name w:val="No List461"/>
    <w:next w:val="NoList"/>
    <w:semiHidden/>
    <w:rsid w:val="00B36A46"/>
  </w:style>
  <w:style w:type="numbering" w:customStyle="1" w:styleId="NoList11101">
    <w:name w:val="No List11101"/>
    <w:next w:val="NoList"/>
    <w:semiHidden/>
    <w:unhideWhenUsed/>
    <w:rsid w:val="00B36A46"/>
  </w:style>
  <w:style w:type="table" w:customStyle="1" w:styleId="Table3Deffects361">
    <w:name w:val="Table 3D effects 36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
    <w:name w:val="Нет списка1161"/>
    <w:next w:val="NoList"/>
    <w:semiHidden/>
    <w:unhideWhenUsed/>
    <w:rsid w:val="00B36A46"/>
  </w:style>
  <w:style w:type="table" w:customStyle="1" w:styleId="LightShading-Accent161">
    <w:name w:val="Light Shading - Accent 16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1">
    <w:name w:val="Medium Grid 2 - Accent 16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1">
    <w:name w:val="Medium List 2 - Accent 56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1">
    <w:name w:val="Light List - Accent 15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1">
    <w:name w:val="Medium Grid 3 - Accent 56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1">
    <w:name w:val="Light Shading - Accent 56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1">
    <w:name w:val="Medium Grid 2 - Accent 56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1">
    <w:name w:val="Light Grid - Accent 16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Unicode" w:eastAsia="Times New Roman" w:hAnsi="Time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Unicode" w:eastAsia="Times New Roman" w:hAnsi="Time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Unicode" w:eastAsia="Times New Roman" w:hAnsi="Times Unicode" w:cs="Times New Roman"/>
        <w:b/>
        <w:bCs/>
      </w:rPr>
    </w:tblStylePr>
    <w:tblStylePr w:type="lastCol">
      <w:rPr>
        <w:rFonts w:ascii="Times Unicode" w:eastAsia="Times New Roman" w:hAnsi="Time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1">
    <w:name w:val="Style114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1">
    <w:name w:val="Style215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1">
    <w:name w:val="Style2114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1">
    <w:name w:val="Light Shading - Accent 112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1">
    <w:name w:val="Medium Grid 2 - Accent 112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1">
    <w:name w:val="Medium List 2 - Accent 512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1">
    <w:name w:val="Light List - Accent 16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1">
    <w:name w:val="Medium Grid 3 - Accent 512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1">
    <w:name w:val="Light Shading - Accent 512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1">
    <w:name w:val="Medium Grid 2 - Accent 512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1">
    <w:name w:val="Light Grid - Accent 112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Unicode" w:eastAsia="Times New Roman" w:hAnsi="Time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Unicode" w:eastAsia="Times New Roman" w:hAnsi="Time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Unicode" w:eastAsia="Times New Roman" w:hAnsi="Times Unicode" w:cs="Times New Roman"/>
        <w:b/>
        <w:bCs/>
      </w:rPr>
    </w:tblStylePr>
    <w:tblStylePr w:type="lastCol">
      <w:rPr>
        <w:rFonts w:ascii="Times Unicode" w:eastAsia="Times New Roman" w:hAnsi="Time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1">
    <w:name w:val="No List291"/>
    <w:next w:val="NoList"/>
    <w:uiPriority w:val="99"/>
    <w:semiHidden/>
    <w:unhideWhenUsed/>
    <w:rsid w:val="00B36A46"/>
  </w:style>
  <w:style w:type="table" w:customStyle="1" w:styleId="TableGrid101">
    <w:name w:val="Table Grid10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B36A46"/>
  </w:style>
  <w:style w:type="numbering" w:customStyle="1" w:styleId="NoList11151">
    <w:name w:val="No List11151"/>
    <w:next w:val="NoList"/>
    <w:semiHidden/>
    <w:rsid w:val="00B36A46"/>
  </w:style>
  <w:style w:type="table" w:customStyle="1" w:styleId="TableGrid1510">
    <w:name w:val="Table Grid15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B36A46"/>
  </w:style>
  <w:style w:type="table" w:customStyle="1" w:styleId="LightShading-Accent171">
    <w:name w:val="Light Shading - Accent 17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71">
    <w:name w:val="Medium Grid 2 - Accent 17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71">
    <w:name w:val="Medium List 2 - Accent 57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91">
    <w:name w:val="Light List - Accent 119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71">
    <w:name w:val="Medium Grid 3 - Accent 57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71">
    <w:name w:val="Light Shading - Accent 57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71">
    <w:name w:val="Medium Grid 2 - Accent 57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71">
    <w:name w:val="Light Grid - Accent 17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81">
    <w:name w:val="No List381"/>
    <w:next w:val="NoList"/>
    <w:uiPriority w:val="99"/>
    <w:semiHidden/>
    <w:unhideWhenUsed/>
    <w:rsid w:val="00B36A46"/>
  </w:style>
  <w:style w:type="table" w:customStyle="1" w:styleId="TableGrid1610">
    <w:name w:val="Table Grid16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B36A46"/>
  </w:style>
  <w:style w:type="numbering" w:customStyle="1" w:styleId="NoList11161">
    <w:name w:val="No List11161"/>
    <w:next w:val="NoList"/>
    <w:semiHidden/>
    <w:rsid w:val="00B36A46"/>
  </w:style>
  <w:style w:type="table" w:customStyle="1" w:styleId="TableGrid171">
    <w:name w:val="Table Grid17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1">
    <w:name w:val="Light Shading - Accent 18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81">
    <w:name w:val="Medium Grid 2 - Accent 18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81">
    <w:name w:val="Medium List 2 - Accent 58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01">
    <w:name w:val="Light List - Accent 120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81">
    <w:name w:val="Medium Grid 3 - Accent 58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81">
    <w:name w:val="Light Shading - Accent 58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81">
    <w:name w:val="Medium Grid 2 - Accent 58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81">
    <w:name w:val="Light Grid - Accent 18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91">
    <w:name w:val="Light Shading - Accent 19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91">
    <w:name w:val="Medium Grid 2 - Accent 19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91">
    <w:name w:val="Medium List 2 - Accent 59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21">
    <w:name w:val="Light List - Accent 12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91">
    <w:name w:val="Medium Grid 3 - Accent 59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91">
    <w:name w:val="Light Shading - Accent 59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91">
    <w:name w:val="Medium Grid 2 - Accent 59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91">
    <w:name w:val="Light Grid - Accent 19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52">
    <w:name w:val="Style1152"/>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1">
    <w:name w:val="Style2115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1">
    <w:name w:val="No List391"/>
    <w:next w:val="NoList"/>
    <w:uiPriority w:val="99"/>
    <w:semiHidden/>
    <w:unhideWhenUsed/>
    <w:rsid w:val="00B36A46"/>
  </w:style>
  <w:style w:type="table" w:customStyle="1" w:styleId="TableGrid181">
    <w:name w:val="Table Grid18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B36A46"/>
  </w:style>
  <w:style w:type="numbering" w:customStyle="1" w:styleId="NoList11171">
    <w:name w:val="No List11171"/>
    <w:next w:val="NoList"/>
    <w:semiHidden/>
    <w:rsid w:val="00B36A46"/>
  </w:style>
  <w:style w:type="table" w:customStyle="1" w:styleId="TableGrid191">
    <w:name w:val="Table Grid19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1">
    <w:name w:val="Style1151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1">
    <w:name w:val="Style216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1">
    <w:name w:val="No List401"/>
    <w:next w:val="NoList"/>
    <w:uiPriority w:val="99"/>
    <w:semiHidden/>
    <w:unhideWhenUsed/>
    <w:rsid w:val="00B36A46"/>
  </w:style>
  <w:style w:type="table" w:customStyle="1" w:styleId="TableGrid201">
    <w:name w:val="Table Grid201"/>
    <w:basedOn w:val="TableNormal"/>
    <w:next w:val="TableGrid"/>
    <w:uiPriority w:val="59"/>
    <w:rsid w:val="00B36A4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1">
    <w:name w:val="Light Shading - Accent 110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81">
    <w:name w:val="Light List - Accent 581"/>
    <w:basedOn w:val="TableNormal"/>
    <w:next w:val="LightList-Accent5"/>
    <w:uiPriority w:val="61"/>
    <w:rsid w:val="00B36A46"/>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11">
    <w:name w:val="Medium List 2 - Accent 11"/>
    <w:basedOn w:val="TableNormal"/>
    <w:next w:val="MediumList2-Accent1"/>
    <w:uiPriority w:val="66"/>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01">
    <w:name w:val="Medium Grid 2 - Accent 110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61">
    <w:name w:val="Medium Grid 3 - Accent 61"/>
    <w:basedOn w:val="TableNormal"/>
    <w:next w:val="MediumGrid3-Accent6"/>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2-Accent5101">
    <w:name w:val="Medium List 2 - Accent 510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1">
    <w:name w:val="Light List - Accent 123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51">
    <w:name w:val="Medium List 1 - Accent 51"/>
    <w:basedOn w:val="TableNormal"/>
    <w:next w:val="MediumList1-Accent5"/>
    <w:uiPriority w:val="65"/>
    <w:rsid w:val="00B36A46"/>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3-Accent5101">
    <w:name w:val="Medium Grid 3 - Accent 510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01">
    <w:name w:val="Light Shading - Accent 510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01">
    <w:name w:val="Medium Grid 2 - Accent 510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31">
    <w:name w:val="Light List - Accent 31"/>
    <w:basedOn w:val="TableNormal"/>
    <w:next w:val="LightList-Accent3"/>
    <w:uiPriority w:val="61"/>
    <w:rsid w:val="00B36A46"/>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
    <w:name w:val="Medium List 2 - Accent 31"/>
    <w:basedOn w:val="TableNormal"/>
    <w:next w:val="MediumList2-Accent3"/>
    <w:uiPriority w:val="66"/>
    <w:rsid w:val="00B36A46"/>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B36A46"/>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Grid-Accent1101">
    <w:name w:val="Light Grid - Accent 110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71">
    <w:name w:val="No List471"/>
    <w:next w:val="NoList"/>
    <w:uiPriority w:val="99"/>
    <w:semiHidden/>
    <w:unhideWhenUsed/>
    <w:rsid w:val="00B36A46"/>
  </w:style>
  <w:style w:type="table" w:customStyle="1" w:styleId="TableGrid241">
    <w:name w:val="Table Grid24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B36A46"/>
  </w:style>
  <w:style w:type="numbering" w:customStyle="1" w:styleId="NoList11181">
    <w:name w:val="No List11181"/>
    <w:next w:val="NoList"/>
    <w:semiHidden/>
    <w:rsid w:val="00B36A46"/>
  </w:style>
  <w:style w:type="table" w:customStyle="1" w:styleId="TableGrid1101">
    <w:name w:val="Table Grid110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
    <w:name w:val="Light Shading - Accent 114"/>
    <w:basedOn w:val="TableNormal"/>
    <w:next w:val="LightShading-Accent1"/>
    <w:uiPriority w:val="60"/>
    <w:semiHidden/>
    <w:unhideWhenUsed/>
    <w:rsid w:val="00B36A4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14">
    <w:name w:val="Medium Grid 2 - Accent 114"/>
    <w:basedOn w:val="TableNormal"/>
    <w:next w:val="MediumGrid2-Accent1"/>
    <w:uiPriority w:val="68"/>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14">
    <w:name w:val="Medium List 2 - Accent 514"/>
    <w:basedOn w:val="TableNormal"/>
    <w:next w:val="MediumList2-Accent5"/>
    <w:uiPriority w:val="66"/>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14">
    <w:name w:val="Medium Grid 3 - Accent 514"/>
    <w:basedOn w:val="TableNormal"/>
    <w:next w:val="MediumGrid3-Accent5"/>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14">
    <w:name w:val="Light Shading - Accent 514"/>
    <w:basedOn w:val="TableNormal"/>
    <w:next w:val="LightShading-Accent5"/>
    <w:uiPriority w:val="60"/>
    <w:semiHidden/>
    <w:unhideWhenUsed/>
    <w:rsid w:val="00B36A4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14">
    <w:name w:val="Medium Grid 2 - Accent 514"/>
    <w:basedOn w:val="TableNormal"/>
    <w:next w:val="MediumGrid2-Accent5"/>
    <w:uiPriority w:val="68"/>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14">
    <w:name w:val="Light Grid - Accent 114"/>
    <w:basedOn w:val="TableNormal"/>
    <w:next w:val="LightGrid-Accent1"/>
    <w:uiPriority w:val="62"/>
    <w:semiHidden/>
    <w:unhideWhenUsed/>
    <w:rsid w:val="00B36A4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2-Accent12">
    <w:name w:val="Medium List 2 - Accent 12"/>
    <w:basedOn w:val="TableNormal"/>
    <w:next w:val="MediumList2-Accent1"/>
    <w:uiPriority w:val="66"/>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Grid3-Accent62">
    <w:name w:val="Medium Grid 3 - Accent 62"/>
    <w:basedOn w:val="TableNormal"/>
    <w:next w:val="MediumGrid3-Accent6"/>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Accent52">
    <w:name w:val="Medium List 1 - Accent 52"/>
    <w:basedOn w:val="TableNormal"/>
    <w:next w:val="MediumList1-Accent5"/>
    <w:uiPriority w:val="65"/>
    <w:semiHidden/>
    <w:unhideWhenUsed/>
    <w:rsid w:val="00B36A46"/>
    <w:rPr>
      <w:rFonts w:ascii="Calibri" w:eastAsia="Calibri" w:hAnsi="Calibri"/>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Accent32">
    <w:name w:val="Light List - Accent 32"/>
    <w:basedOn w:val="TableNormal"/>
    <w:next w:val="LightList-Accent3"/>
    <w:uiPriority w:val="61"/>
    <w:semiHidden/>
    <w:unhideWhenUsed/>
    <w:rsid w:val="00B36A46"/>
    <w:rPr>
      <w:rFonts w:ascii="Calibri" w:eastAsia="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List2-Accent32">
    <w:name w:val="Medium List 2 - Accent 32"/>
    <w:basedOn w:val="TableNormal"/>
    <w:next w:val="MediumList2-Accent3"/>
    <w:uiPriority w:val="66"/>
    <w:semiHidden/>
    <w:unhideWhenUsed/>
    <w:rsid w:val="00B36A46"/>
    <w:rPr>
      <w:rFonts w:ascii="Calibri Light"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semiHidden/>
    <w:unhideWhenUsed/>
    <w:rsid w:val="00B36A46"/>
    <w:rPr>
      <w:rFonts w:ascii="Calibri Light" w:hAnsi="Calibri Light"/>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numbering" w:customStyle="1" w:styleId="NoList55">
    <w:name w:val="No List55"/>
    <w:next w:val="NoList"/>
    <w:uiPriority w:val="99"/>
    <w:semiHidden/>
    <w:unhideWhenUsed/>
    <w:rsid w:val="005150E5"/>
  </w:style>
  <w:style w:type="table" w:customStyle="1" w:styleId="TableGrid29">
    <w:name w:val="Table Grid29"/>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5150E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customStyle="1" w:styleId="Side1">
    <w:name w:val="Side1"/>
    <w:basedOn w:val="Normal"/>
    <w:next w:val="Normal"/>
    <w:unhideWhenUsed/>
    <w:qFormat/>
    <w:rsid w:val="005150E5"/>
    <w:pPr>
      <w:spacing w:before="200" w:line="312" w:lineRule="auto"/>
      <w:outlineLvl w:val="4"/>
    </w:pPr>
    <w:rPr>
      <w:rFonts w:ascii="Cambria" w:hAnsi="Cambria"/>
      <w:bCs/>
      <w:color w:val="7F7F7F"/>
      <w:szCs w:val="22"/>
      <w:lang w:val="en-US" w:eastAsia="en-US"/>
    </w:rPr>
  </w:style>
  <w:style w:type="paragraph" w:customStyle="1" w:styleId="Heading61">
    <w:name w:val="Heading 61"/>
    <w:basedOn w:val="Normal"/>
    <w:next w:val="Normal"/>
    <w:unhideWhenUsed/>
    <w:qFormat/>
    <w:rsid w:val="005150E5"/>
    <w:pPr>
      <w:spacing w:before="40" w:line="271" w:lineRule="auto"/>
      <w:outlineLvl w:val="5"/>
    </w:pPr>
    <w:rPr>
      <w:rFonts w:ascii="Cambria" w:hAnsi="Cambria"/>
      <w:bCs/>
      <w:i/>
      <w:iCs/>
      <w:color w:val="7F7F7F"/>
      <w:szCs w:val="22"/>
      <w:lang w:val="en-US" w:eastAsia="en-US"/>
    </w:rPr>
  </w:style>
  <w:style w:type="paragraph" w:customStyle="1" w:styleId="Heading71">
    <w:name w:val="Heading 71"/>
    <w:basedOn w:val="Normal"/>
    <w:next w:val="Normal"/>
    <w:unhideWhenUsed/>
    <w:qFormat/>
    <w:rsid w:val="005150E5"/>
    <w:pPr>
      <w:spacing w:before="40" w:line="312" w:lineRule="auto"/>
      <w:outlineLvl w:val="6"/>
    </w:pPr>
    <w:rPr>
      <w:rFonts w:ascii="Cambria" w:hAnsi="Cambria"/>
      <w:b w:val="0"/>
      <w:i/>
      <w:iCs/>
      <w:szCs w:val="22"/>
      <w:lang w:val="en-US" w:eastAsia="en-US"/>
    </w:rPr>
  </w:style>
  <w:style w:type="paragraph" w:customStyle="1" w:styleId="Heading81">
    <w:name w:val="Heading 81"/>
    <w:basedOn w:val="Normal"/>
    <w:next w:val="Normal"/>
    <w:unhideWhenUsed/>
    <w:qFormat/>
    <w:rsid w:val="005150E5"/>
    <w:pPr>
      <w:spacing w:before="40" w:line="312" w:lineRule="auto"/>
      <w:outlineLvl w:val="7"/>
    </w:pPr>
    <w:rPr>
      <w:rFonts w:ascii="Cambria" w:hAnsi="Cambria"/>
      <w:b w:val="0"/>
      <w:sz w:val="20"/>
      <w:szCs w:val="20"/>
      <w:lang w:val="en-US" w:eastAsia="en-US"/>
    </w:rPr>
  </w:style>
  <w:style w:type="paragraph" w:customStyle="1" w:styleId="Heading91">
    <w:name w:val="Heading 91"/>
    <w:basedOn w:val="Normal"/>
    <w:next w:val="Normal"/>
    <w:unhideWhenUsed/>
    <w:qFormat/>
    <w:rsid w:val="005150E5"/>
    <w:pPr>
      <w:spacing w:before="40" w:line="312" w:lineRule="auto"/>
      <w:outlineLvl w:val="8"/>
    </w:pPr>
    <w:rPr>
      <w:rFonts w:ascii="Cambria" w:hAnsi="Cambria"/>
      <w:b w:val="0"/>
      <w:i/>
      <w:iCs/>
      <w:spacing w:val="5"/>
      <w:sz w:val="20"/>
      <w:szCs w:val="20"/>
      <w:lang w:val="en-US" w:eastAsia="en-US"/>
    </w:rPr>
  </w:style>
  <w:style w:type="numbering" w:customStyle="1" w:styleId="NoList130">
    <w:name w:val="No List130"/>
    <w:next w:val="NoList"/>
    <w:uiPriority w:val="99"/>
    <w:semiHidden/>
    <w:unhideWhenUsed/>
    <w:rsid w:val="005150E5"/>
  </w:style>
  <w:style w:type="paragraph" w:customStyle="1" w:styleId="BodyTextMaintext1">
    <w:name w:val="Body Text (Main text)1"/>
    <w:basedOn w:val="Normal"/>
    <w:next w:val="BodyText"/>
    <w:rsid w:val="005150E5"/>
    <w:pPr>
      <w:spacing w:before="40" w:after="120" w:line="312" w:lineRule="auto"/>
    </w:pPr>
    <w:rPr>
      <w:rFonts w:eastAsia="Calibri"/>
      <w:b w:val="0"/>
      <w:szCs w:val="22"/>
      <w:lang w:val="en-US" w:eastAsia="en-US"/>
    </w:rPr>
  </w:style>
  <w:style w:type="paragraph" w:customStyle="1" w:styleId="BodyTextIndent31">
    <w:name w:val="Body Text Indent 31"/>
    <w:basedOn w:val="Normal"/>
    <w:next w:val="BodyTextIndent3"/>
    <w:rsid w:val="005150E5"/>
    <w:pPr>
      <w:spacing w:before="40" w:after="60" w:line="312" w:lineRule="auto"/>
    </w:pPr>
    <w:rPr>
      <w:rFonts w:ascii="Arial Armenian" w:eastAsia="Calibri" w:hAnsi="Arial Armenian"/>
      <w:b w:val="0"/>
      <w:noProof/>
      <w:sz w:val="20"/>
      <w:szCs w:val="20"/>
      <w:lang w:val="en-US" w:eastAsia="en-US"/>
    </w:rPr>
  </w:style>
  <w:style w:type="paragraph" w:customStyle="1" w:styleId="BodyTextIndent21">
    <w:name w:val="Body Text Indent 21"/>
    <w:basedOn w:val="Normal"/>
    <w:next w:val="BodyTextIndent2"/>
    <w:link w:val="BodyTextIndent2Char1"/>
    <w:rsid w:val="005150E5"/>
    <w:pPr>
      <w:widowControl w:val="0"/>
      <w:spacing w:before="40" w:after="120" w:line="312" w:lineRule="auto"/>
      <w:ind w:left="720" w:firstLine="720"/>
    </w:pPr>
    <w:rPr>
      <w:rFonts w:ascii="Arial Armenian" w:hAnsi="Arial Armenian"/>
      <w:b w:val="0"/>
      <w:sz w:val="20"/>
      <w:szCs w:val="20"/>
      <w:lang w:val="en-GB" w:eastAsia="en-US"/>
    </w:rPr>
  </w:style>
  <w:style w:type="paragraph" w:customStyle="1" w:styleId="1Text1">
    <w:name w:val="1Text1"/>
    <w:basedOn w:val="Normal"/>
    <w:next w:val="BodyText2"/>
    <w:link w:val="BodyText2Char1"/>
    <w:qFormat/>
    <w:rsid w:val="005150E5"/>
    <w:pPr>
      <w:spacing w:before="40" w:after="120" w:line="480" w:lineRule="auto"/>
    </w:pPr>
    <w:rPr>
      <w:rFonts w:ascii="Times New Roman" w:hAnsi="Times New Roman"/>
      <w:b w:val="0"/>
      <w:sz w:val="20"/>
      <w:szCs w:val="20"/>
      <w:lang w:val="en-US" w:eastAsia="en-US"/>
    </w:rPr>
  </w:style>
  <w:style w:type="paragraph" w:customStyle="1" w:styleId="BodyText31">
    <w:name w:val="Body Text 31"/>
    <w:basedOn w:val="Normal"/>
    <w:next w:val="BodyText3"/>
    <w:link w:val="BodyText3Char1"/>
    <w:rsid w:val="005150E5"/>
    <w:pPr>
      <w:spacing w:before="40" w:after="120" w:line="312" w:lineRule="auto"/>
    </w:pPr>
    <w:rPr>
      <w:rFonts w:ascii="Times New Roman" w:hAnsi="Times New Roman"/>
      <w:b w:val="0"/>
      <w:sz w:val="16"/>
      <w:szCs w:val="16"/>
    </w:rPr>
  </w:style>
  <w:style w:type="paragraph" w:customStyle="1" w:styleId="ListBullet1">
    <w:name w:val="List Bullet1"/>
    <w:basedOn w:val="Normal"/>
    <w:next w:val="ListBullet"/>
    <w:autoRedefine/>
    <w:qFormat/>
    <w:rsid w:val="005150E5"/>
    <w:pPr>
      <w:tabs>
        <w:tab w:val="num" w:pos="360"/>
      </w:tabs>
      <w:overflowPunct w:val="0"/>
      <w:autoSpaceDE w:val="0"/>
      <w:autoSpaceDN w:val="0"/>
      <w:adjustRightInd w:val="0"/>
      <w:spacing w:before="130" w:after="60" w:line="312" w:lineRule="auto"/>
      <w:ind w:left="360" w:hanging="360"/>
      <w:textAlignment w:val="baseline"/>
    </w:pPr>
    <w:rPr>
      <w:b w:val="0"/>
      <w:szCs w:val="22"/>
      <w:lang w:val="en-GB" w:eastAsia="en-US"/>
    </w:rPr>
  </w:style>
  <w:style w:type="paragraph" w:customStyle="1" w:styleId="EndnoteText1">
    <w:name w:val="Endnote Text1"/>
    <w:basedOn w:val="Normal"/>
    <w:next w:val="EndnoteText"/>
    <w:rsid w:val="005150E5"/>
    <w:pPr>
      <w:spacing w:before="40" w:after="60" w:line="312" w:lineRule="auto"/>
    </w:pPr>
    <w:rPr>
      <w:rFonts w:eastAsia="Calibri"/>
      <w:b w:val="0"/>
      <w:sz w:val="20"/>
      <w:szCs w:val="20"/>
      <w:lang w:val="en-GB" w:eastAsia="en-US"/>
    </w:rPr>
  </w:style>
  <w:style w:type="table" w:customStyle="1" w:styleId="TableGrid114">
    <w:name w:val="Table Grid114"/>
    <w:basedOn w:val="TableNormal"/>
    <w:next w:val="TableGrid"/>
    <w:uiPriority w:val="39"/>
    <w:rsid w:val="005150E5"/>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Text1">
    <w:name w:val="Block Text1"/>
    <w:basedOn w:val="Normal"/>
    <w:next w:val="BlockText"/>
    <w:rsid w:val="005150E5"/>
    <w:pPr>
      <w:spacing w:before="40" w:after="60"/>
      <w:ind w:left="-709" w:right="-483"/>
    </w:pPr>
    <w:rPr>
      <w:rFonts w:ascii="Times Armenian" w:hAnsi="Times Armenian"/>
      <w:b w:val="0"/>
      <w:szCs w:val="20"/>
      <w:lang w:val="en-US" w:eastAsia="en-US"/>
    </w:rPr>
  </w:style>
  <w:style w:type="paragraph" w:customStyle="1" w:styleId="TOC41">
    <w:name w:val="TOC 41"/>
    <w:basedOn w:val="Normal"/>
    <w:next w:val="Normal"/>
    <w:autoRedefine/>
    <w:uiPriority w:val="39"/>
    <w:rsid w:val="005150E5"/>
    <w:pPr>
      <w:spacing w:before="0" w:line="312" w:lineRule="auto"/>
      <w:ind w:left="660"/>
      <w:jc w:val="left"/>
    </w:pPr>
    <w:rPr>
      <w:rFonts w:ascii="Calibri" w:hAnsi="Calibri" w:cs="Calibri"/>
      <w:b w:val="0"/>
      <w:sz w:val="20"/>
      <w:szCs w:val="20"/>
      <w:lang w:val="en-US" w:eastAsia="en-US"/>
    </w:rPr>
  </w:style>
  <w:style w:type="paragraph" w:customStyle="1" w:styleId="TOC51">
    <w:name w:val="TOC 51"/>
    <w:basedOn w:val="Normal"/>
    <w:next w:val="Normal"/>
    <w:autoRedefine/>
    <w:uiPriority w:val="39"/>
    <w:rsid w:val="005150E5"/>
    <w:pPr>
      <w:spacing w:before="0" w:line="312" w:lineRule="auto"/>
      <w:ind w:left="880"/>
      <w:jc w:val="left"/>
    </w:pPr>
    <w:rPr>
      <w:rFonts w:ascii="Calibri" w:hAnsi="Calibri" w:cs="Calibri"/>
      <w:b w:val="0"/>
      <w:sz w:val="20"/>
      <w:szCs w:val="20"/>
      <w:lang w:val="en-US" w:eastAsia="en-US"/>
    </w:rPr>
  </w:style>
  <w:style w:type="paragraph" w:customStyle="1" w:styleId="Title10">
    <w:name w:val="Title1"/>
    <w:basedOn w:val="Normal"/>
    <w:next w:val="Normal"/>
    <w:qFormat/>
    <w:rsid w:val="005150E5"/>
    <w:pPr>
      <w:pBdr>
        <w:bottom w:val="single" w:sz="4" w:space="1" w:color="auto"/>
      </w:pBdr>
      <w:spacing w:before="40" w:after="60" w:line="240" w:lineRule="auto"/>
    </w:pPr>
    <w:rPr>
      <w:rFonts w:ascii="Cambria" w:hAnsi="Cambria"/>
      <w:b w:val="0"/>
      <w:spacing w:val="5"/>
      <w:sz w:val="52"/>
      <w:szCs w:val="52"/>
      <w:lang w:val="en-US" w:eastAsia="en-US"/>
    </w:rPr>
  </w:style>
  <w:style w:type="paragraph" w:customStyle="1" w:styleId="PlainText1">
    <w:name w:val="Plain Text1"/>
    <w:basedOn w:val="Normal"/>
    <w:next w:val="PlainText"/>
    <w:rsid w:val="005150E5"/>
    <w:pPr>
      <w:spacing w:after="60" w:line="312" w:lineRule="auto"/>
    </w:pPr>
    <w:rPr>
      <w:rFonts w:ascii="Courier New" w:eastAsia="Calibri" w:hAnsi="Courier New"/>
      <w:b w:val="0"/>
      <w:sz w:val="20"/>
      <w:szCs w:val="20"/>
      <w:lang w:val="en-US" w:eastAsia="en-US"/>
    </w:rPr>
  </w:style>
  <w:style w:type="paragraph" w:customStyle="1" w:styleId="TOC61">
    <w:name w:val="TOC 61"/>
    <w:basedOn w:val="Normal"/>
    <w:next w:val="Normal"/>
    <w:autoRedefine/>
    <w:uiPriority w:val="39"/>
    <w:rsid w:val="005150E5"/>
    <w:pPr>
      <w:spacing w:before="0" w:line="312" w:lineRule="auto"/>
      <w:ind w:left="1100"/>
      <w:jc w:val="left"/>
    </w:pPr>
    <w:rPr>
      <w:rFonts w:ascii="Calibri" w:hAnsi="Calibri" w:cs="Calibri"/>
      <w:b w:val="0"/>
      <w:sz w:val="20"/>
      <w:szCs w:val="20"/>
      <w:lang w:val="en-US" w:eastAsia="en-US"/>
    </w:rPr>
  </w:style>
  <w:style w:type="paragraph" w:customStyle="1" w:styleId="TOC71">
    <w:name w:val="TOC 71"/>
    <w:basedOn w:val="Normal"/>
    <w:next w:val="Normal"/>
    <w:autoRedefine/>
    <w:uiPriority w:val="39"/>
    <w:rsid w:val="005150E5"/>
    <w:pPr>
      <w:spacing w:before="0" w:line="312" w:lineRule="auto"/>
      <w:ind w:left="1320"/>
      <w:jc w:val="left"/>
    </w:pPr>
    <w:rPr>
      <w:rFonts w:ascii="Calibri" w:hAnsi="Calibri" w:cs="Calibri"/>
      <w:b w:val="0"/>
      <w:sz w:val="20"/>
      <w:szCs w:val="20"/>
      <w:lang w:val="en-US" w:eastAsia="en-US"/>
    </w:rPr>
  </w:style>
  <w:style w:type="paragraph" w:customStyle="1" w:styleId="TOC81">
    <w:name w:val="TOC 81"/>
    <w:basedOn w:val="Normal"/>
    <w:next w:val="Normal"/>
    <w:autoRedefine/>
    <w:uiPriority w:val="39"/>
    <w:rsid w:val="005150E5"/>
    <w:pPr>
      <w:spacing w:before="0" w:line="312" w:lineRule="auto"/>
      <w:ind w:left="1540"/>
      <w:jc w:val="left"/>
    </w:pPr>
    <w:rPr>
      <w:rFonts w:ascii="Calibri" w:hAnsi="Calibri" w:cs="Calibri"/>
      <w:b w:val="0"/>
      <w:sz w:val="20"/>
      <w:szCs w:val="20"/>
      <w:lang w:val="en-US" w:eastAsia="en-US"/>
    </w:rPr>
  </w:style>
  <w:style w:type="paragraph" w:customStyle="1" w:styleId="TOC91">
    <w:name w:val="TOC 91"/>
    <w:basedOn w:val="Normal"/>
    <w:next w:val="Normal"/>
    <w:autoRedefine/>
    <w:uiPriority w:val="39"/>
    <w:rsid w:val="005150E5"/>
    <w:pPr>
      <w:spacing w:before="0" w:line="312" w:lineRule="auto"/>
      <w:ind w:left="1760"/>
      <w:jc w:val="left"/>
    </w:pPr>
    <w:rPr>
      <w:rFonts w:ascii="Calibri" w:hAnsi="Calibri" w:cs="Calibri"/>
      <w:b w:val="0"/>
      <w:sz w:val="20"/>
      <w:szCs w:val="20"/>
      <w:lang w:val="en-US" w:eastAsia="en-US"/>
    </w:rPr>
  </w:style>
  <w:style w:type="table" w:customStyle="1" w:styleId="TableList713">
    <w:name w:val="Table List 713"/>
    <w:basedOn w:val="TableNormal"/>
    <w:next w:val="TableList7"/>
    <w:rsid w:val="005150E5"/>
    <w:pPr>
      <w:spacing w:after="200"/>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
    <w:name w:val="Table Web 313"/>
    <w:basedOn w:val="TableNormal"/>
    <w:next w:val="TableWeb3"/>
    <w:rsid w:val="005150E5"/>
    <w:pPr>
      <w:spacing w:after="200"/>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
    <w:name w:val="Table Elegant13"/>
    <w:basedOn w:val="TableNormal"/>
    <w:next w:val="TableElegant"/>
    <w:rsid w:val="005150E5"/>
    <w:pPr>
      <w:spacing w:after="200"/>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1">
    <w:name w:val="Table of Figures1"/>
    <w:basedOn w:val="Normal"/>
    <w:next w:val="Normal"/>
    <w:rsid w:val="005150E5"/>
    <w:pPr>
      <w:spacing w:before="40" w:after="60" w:line="312" w:lineRule="auto"/>
      <w:ind w:left="480" w:hanging="480"/>
    </w:pPr>
    <w:rPr>
      <w:b w:val="0"/>
      <w:sz w:val="20"/>
      <w:szCs w:val="22"/>
      <w:lang w:val="en-US" w:eastAsia="en-US"/>
    </w:rPr>
  </w:style>
  <w:style w:type="paragraph" w:customStyle="1" w:styleId="Subtitle1">
    <w:name w:val="Subtitle1"/>
    <w:basedOn w:val="Normal"/>
    <w:next w:val="Normal"/>
    <w:qFormat/>
    <w:rsid w:val="005150E5"/>
    <w:pPr>
      <w:spacing w:before="40" w:after="600" w:line="312" w:lineRule="auto"/>
    </w:pPr>
    <w:rPr>
      <w:rFonts w:ascii="Cambria" w:hAnsi="Cambria"/>
      <w:b w:val="0"/>
      <w:i/>
      <w:iCs/>
      <w:spacing w:val="13"/>
      <w:sz w:val="24"/>
      <w:lang w:val="en-US" w:eastAsia="en-US"/>
    </w:rPr>
  </w:style>
  <w:style w:type="paragraph" w:customStyle="1" w:styleId="Index11">
    <w:name w:val="Index 11"/>
    <w:basedOn w:val="Normal"/>
    <w:next w:val="Normal"/>
    <w:autoRedefine/>
    <w:rsid w:val="005150E5"/>
    <w:pPr>
      <w:spacing w:before="40" w:after="60" w:line="312" w:lineRule="auto"/>
      <w:ind w:left="240" w:hanging="240"/>
    </w:pPr>
    <w:rPr>
      <w:b w:val="0"/>
      <w:szCs w:val="22"/>
      <w:lang w:val="en-US" w:eastAsia="en-US"/>
    </w:rPr>
  </w:style>
  <w:style w:type="paragraph" w:customStyle="1" w:styleId="Index21">
    <w:name w:val="Index 21"/>
    <w:basedOn w:val="Normal"/>
    <w:next w:val="Normal"/>
    <w:autoRedefine/>
    <w:rsid w:val="005150E5"/>
    <w:pPr>
      <w:spacing w:before="40" w:after="60" w:line="312" w:lineRule="auto"/>
      <w:ind w:left="480" w:hanging="240"/>
    </w:pPr>
    <w:rPr>
      <w:b w:val="0"/>
      <w:szCs w:val="22"/>
      <w:lang w:val="en-US" w:eastAsia="en-US"/>
    </w:rPr>
  </w:style>
  <w:style w:type="paragraph" w:customStyle="1" w:styleId="Index31">
    <w:name w:val="Index 31"/>
    <w:basedOn w:val="Normal"/>
    <w:next w:val="Normal"/>
    <w:autoRedefine/>
    <w:rsid w:val="005150E5"/>
    <w:pPr>
      <w:spacing w:before="40" w:after="60" w:line="312" w:lineRule="auto"/>
      <w:ind w:left="720" w:hanging="240"/>
    </w:pPr>
    <w:rPr>
      <w:b w:val="0"/>
      <w:szCs w:val="22"/>
      <w:lang w:val="en-US" w:eastAsia="en-US"/>
    </w:rPr>
  </w:style>
  <w:style w:type="paragraph" w:customStyle="1" w:styleId="Index41">
    <w:name w:val="Index 41"/>
    <w:basedOn w:val="Normal"/>
    <w:next w:val="Normal"/>
    <w:autoRedefine/>
    <w:rsid w:val="005150E5"/>
    <w:pPr>
      <w:spacing w:before="40" w:after="60" w:line="312" w:lineRule="auto"/>
      <w:ind w:left="960" w:hanging="240"/>
    </w:pPr>
    <w:rPr>
      <w:b w:val="0"/>
      <w:szCs w:val="22"/>
      <w:lang w:val="en-US" w:eastAsia="en-US"/>
    </w:rPr>
  </w:style>
  <w:style w:type="paragraph" w:customStyle="1" w:styleId="Index51">
    <w:name w:val="Index 51"/>
    <w:basedOn w:val="Normal"/>
    <w:next w:val="Normal"/>
    <w:autoRedefine/>
    <w:rsid w:val="005150E5"/>
    <w:pPr>
      <w:spacing w:before="40" w:after="60" w:line="312" w:lineRule="auto"/>
      <w:ind w:left="1200" w:hanging="240"/>
    </w:pPr>
    <w:rPr>
      <w:b w:val="0"/>
      <w:szCs w:val="22"/>
      <w:lang w:val="en-US" w:eastAsia="en-US"/>
    </w:rPr>
  </w:style>
  <w:style w:type="paragraph" w:customStyle="1" w:styleId="Index61">
    <w:name w:val="Index 61"/>
    <w:basedOn w:val="Normal"/>
    <w:next w:val="Normal"/>
    <w:autoRedefine/>
    <w:rsid w:val="005150E5"/>
    <w:pPr>
      <w:spacing w:before="40" w:after="60" w:line="312" w:lineRule="auto"/>
      <w:ind w:left="1440" w:hanging="240"/>
    </w:pPr>
    <w:rPr>
      <w:b w:val="0"/>
      <w:szCs w:val="22"/>
      <w:lang w:val="en-US" w:eastAsia="en-US"/>
    </w:rPr>
  </w:style>
  <w:style w:type="paragraph" w:customStyle="1" w:styleId="Index71">
    <w:name w:val="Index 71"/>
    <w:basedOn w:val="Normal"/>
    <w:next w:val="Normal"/>
    <w:autoRedefine/>
    <w:rsid w:val="005150E5"/>
    <w:pPr>
      <w:spacing w:before="40" w:after="60" w:line="312" w:lineRule="auto"/>
      <w:ind w:left="1680" w:hanging="240"/>
    </w:pPr>
    <w:rPr>
      <w:b w:val="0"/>
      <w:szCs w:val="22"/>
      <w:lang w:val="en-US" w:eastAsia="en-US"/>
    </w:rPr>
  </w:style>
  <w:style w:type="paragraph" w:customStyle="1" w:styleId="Index81">
    <w:name w:val="Index 81"/>
    <w:basedOn w:val="Normal"/>
    <w:next w:val="Normal"/>
    <w:autoRedefine/>
    <w:rsid w:val="005150E5"/>
    <w:pPr>
      <w:spacing w:before="40" w:after="60" w:line="312" w:lineRule="auto"/>
      <w:ind w:left="1920" w:hanging="240"/>
    </w:pPr>
    <w:rPr>
      <w:b w:val="0"/>
      <w:szCs w:val="22"/>
      <w:lang w:val="en-US" w:eastAsia="en-US"/>
    </w:rPr>
  </w:style>
  <w:style w:type="paragraph" w:customStyle="1" w:styleId="Index91">
    <w:name w:val="Index 91"/>
    <w:basedOn w:val="Normal"/>
    <w:next w:val="Normal"/>
    <w:autoRedefine/>
    <w:rsid w:val="005150E5"/>
    <w:pPr>
      <w:spacing w:before="40" w:after="60" w:line="312" w:lineRule="auto"/>
      <w:ind w:left="2160" w:hanging="240"/>
    </w:pPr>
    <w:rPr>
      <w:b w:val="0"/>
      <w:szCs w:val="22"/>
      <w:lang w:val="en-US" w:eastAsia="en-US"/>
    </w:rPr>
  </w:style>
  <w:style w:type="paragraph" w:customStyle="1" w:styleId="IndexHeading1">
    <w:name w:val="Index Heading1"/>
    <w:basedOn w:val="Normal"/>
    <w:next w:val="Index1"/>
    <w:rsid w:val="005150E5"/>
    <w:pPr>
      <w:spacing w:before="40" w:after="60" w:line="312" w:lineRule="auto"/>
    </w:pPr>
    <w:rPr>
      <w:b w:val="0"/>
      <w:szCs w:val="22"/>
      <w:lang w:val="en-US" w:eastAsia="en-US"/>
    </w:rPr>
  </w:style>
  <w:style w:type="paragraph" w:customStyle="1" w:styleId="NormalIndent1">
    <w:name w:val="Normal Indent1"/>
    <w:basedOn w:val="Normal"/>
    <w:next w:val="NormalIndent"/>
    <w:rsid w:val="005150E5"/>
    <w:pPr>
      <w:tabs>
        <w:tab w:val="left" w:pos="1134"/>
        <w:tab w:val="left" w:pos="1701"/>
        <w:tab w:val="left" w:pos="2835"/>
        <w:tab w:val="left" w:pos="5103"/>
        <w:tab w:val="left" w:pos="7371"/>
        <w:tab w:val="right" w:pos="9639"/>
      </w:tabs>
      <w:spacing w:before="40" w:after="60" w:line="312" w:lineRule="auto"/>
      <w:ind w:left="1134"/>
    </w:pPr>
    <w:rPr>
      <w:b w:val="0"/>
      <w:szCs w:val="22"/>
      <w:lang w:val="en-GB" w:eastAsia="en-US"/>
    </w:rPr>
  </w:style>
  <w:style w:type="paragraph" w:customStyle="1" w:styleId="webb1">
    <w:name w:val="webb1"/>
    <w:basedOn w:val="Normal"/>
    <w:next w:val="NormalWeb"/>
    <w:uiPriority w:val="99"/>
    <w:qFormat/>
    <w:rsid w:val="005150E5"/>
    <w:pPr>
      <w:spacing w:before="100" w:after="100" w:line="312" w:lineRule="auto"/>
    </w:pPr>
    <w:rPr>
      <w:b w:val="0"/>
      <w:szCs w:val="20"/>
      <w:lang w:val="en-US" w:eastAsia="en-US"/>
    </w:rPr>
  </w:style>
  <w:style w:type="table" w:customStyle="1" w:styleId="TableWeb213">
    <w:name w:val="Table Web 213"/>
    <w:basedOn w:val="TableNormal"/>
    <w:next w:val="TableWeb2"/>
    <w:rsid w:val="005150E5"/>
    <w:pPr>
      <w:spacing w:after="200"/>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
    <w:name w:val="Table Web 113"/>
    <w:basedOn w:val="TableNormal"/>
    <w:next w:val="TableWeb1"/>
    <w:rsid w:val="005150E5"/>
    <w:pPr>
      <w:spacing w:after="200"/>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istBullet21">
    <w:name w:val="List Bullet 21"/>
    <w:basedOn w:val="Normal"/>
    <w:next w:val="ListBullet2"/>
    <w:autoRedefine/>
    <w:rsid w:val="005150E5"/>
    <w:pPr>
      <w:spacing w:before="40" w:after="60" w:line="312" w:lineRule="auto"/>
      <w:ind w:left="720" w:hanging="360"/>
    </w:pPr>
    <w:rPr>
      <w:b w:val="0"/>
      <w:szCs w:val="22"/>
      <w:lang w:val="en-US" w:eastAsia="en-US"/>
    </w:rPr>
  </w:style>
  <w:style w:type="paragraph" w:customStyle="1" w:styleId="BodyTextFirstIndent1">
    <w:name w:val="Body Text First Indent1"/>
    <w:basedOn w:val="BodyText"/>
    <w:next w:val="BodyTextFirstIndent"/>
    <w:rsid w:val="005150E5"/>
    <w:pPr>
      <w:spacing w:before="40" w:after="120" w:line="312" w:lineRule="auto"/>
      <w:ind w:firstLine="210"/>
      <w:jc w:val="both"/>
    </w:pPr>
    <w:rPr>
      <w:rFonts w:ascii="GHEA Grapalat" w:eastAsia="Calibri" w:hAnsi="GHEA Grapalat"/>
      <w:b w:val="0"/>
      <w:sz w:val="22"/>
      <w:szCs w:val="22"/>
    </w:rPr>
  </w:style>
  <w:style w:type="table" w:customStyle="1" w:styleId="TableGrid813">
    <w:name w:val="Table Grid 813"/>
    <w:basedOn w:val="TableNormal"/>
    <w:next w:val="TableGrid8"/>
    <w:rsid w:val="005150E5"/>
    <w:pPr>
      <w:spacing w:after="200"/>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
    <w:name w:val="Table Contemporary13"/>
    <w:basedOn w:val="TableNormal"/>
    <w:next w:val="TableContemporary"/>
    <w:rsid w:val="005150E5"/>
    <w:pPr>
      <w:spacing w:after="200"/>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60">
    <w:name w:val="Знак Знак6"/>
    <w:basedOn w:val="Normal"/>
    <w:link w:val="Char31"/>
    <w:rsid w:val="005150E5"/>
    <w:pPr>
      <w:spacing w:before="40" w:after="60" w:line="240" w:lineRule="exact"/>
    </w:pPr>
    <w:rPr>
      <w:rFonts w:ascii="Arial" w:hAnsi="Arial" w:cs="Arial"/>
      <w:b w:val="0"/>
      <w:sz w:val="20"/>
      <w:szCs w:val="20"/>
      <w:lang w:val="en-GB" w:eastAsia="en-US"/>
    </w:rPr>
  </w:style>
  <w:style w:type="character" w:customStyle="1" w:styleId="Char31">
    <w:name w:val="Знак Знак Char3"/>
    <w:link w:val="60"/>
    <w:rsid w:val="005150E5"/>
    <w:rPr>
      <w:rFonts w:ascii="Arial" w:hAnsi="Arial" w:cs="Arial"/>
      <w:lang w:val="en-GB"/>
    </w:rPr>
  </w:style>
  <w:style w:type="paragraph" w:customStyle="1" w:styleId="DocumentMap1">
    <w:name w:val="Document Map1"/>
    <w:basedOn w:val="Normal"/>
    <w:next w:val="DocumentMap"/>
    <w:link w:val="DocumentMapChar1"/>
    <w:uiPriority w:val="99"/>
    <w:rsid w:val="005150E5"/>
    <w:pPr>
      <w:shd w:val="clear" w:color="auto" w:fill="000080"/>
      <w:overflowPunct w:val="0"/>
      <w:autoSpaceDE w:val="0"/>
      <w:autoSpaceDN w:val="0"/>
      <w:adjustRightInd w:val="0"/>
      <w:spacing w:before="40" w:after="60" w:line="312" w:lineRule="auto"/>
      <w:textAlignment w:val="baseline"/>
    </w:pPr>
    <w:rPr>
      <w:rFonts w:ascii="Tahoma" w:hAnsi="Tahoma"/>
      <w:b w:val="0"/>
      <w:sz w:val="24"/>
      <w:szCs w:val="20"/>
      <w:lang w:val="en-GB"/>
    </w:rPr>
  </w:style>
  <w:style w:type="paragraph" w:customStyle="1" w:styleId="CharChar39">
    <w:name w:val="Char Char39"/>
    <w:basedOn w:val="Normal"/>
    <w:rsid w:val="005150E5"/>
    <w:pPr>
      <w:spacing w:before="40" w:after="60" w:line="240" w:lineRule="exact"/>
    </w:pPr>
    <w:rPr>
      <w:rFonts w:ascii="Arial" w:hAnsi="Arial" w:cs="Arial"/>
      <w:b w:val="0"/>
      <w:sz w:val="20"/>
      <w:szCs w:val="20"/>
      <w:lang w:val="en-US" w:eastAsia="en-US"/>
    </w:rPr>
  </w:style>
  <w:style w:type="paragraph" w:customStyle="1" w:styleId="CharCharChar30">
    <w:name w:val="Char Char Char3"/>
    <w:basedOn w:val="Normal"/>
    <w:rsid w:val="005150E5"/>
    <w:pPr>
      <w:spacing w:before="40" w:after="60" w:line="240" w:lineRule="exact"/>
    </w:pPr>
    <w:rPr>
      <w:rFonts w:ascii="Arial" w:hAnsi="Arial" w:cs="Arial"/>
      <w:b w:val="0"/>
      <w:sz w:val="20"/>
      <w:szCs w:val="20"/>
      <w:lang w:val="en-US" w:eastAsia="en-US"/>
    </w:rPr>
  </w:style>
  <w:style w:type="paragraph" w:customStyle="1" w:styleId="Znak3">
    <w:name w:val="Znak3"/>
    <w:basedOn w:val="Normal"/>
    <w:rsid w:val="005150E5"/>
    <w:pPr>
      <w:tabs>
        <w:tab w:val="left" w:pos="709"/>
      </w:tabs>
      <w:spacing w:before="40" w:after="60" w:line="312" w:lineRule="auto"/>
    </w:pPr>
    <w:rPr>
      <w:rFonts w:ascii="Tahoma" w:hAnsi="Tahoma"/>
      <w:b w:val="0"/>
      <w:szCs w:val="22"/>
      <w:lang w:val="pl-PL" w:eastAsia="pl-PL"/>
    </w:rPr>
  </w:style>
  <w:style w:type="paragraph" w:customStyle="1" w:styleId="CharCharCharCharCharCharCharCharCharCharCharCharChar3">
    <w:name w:val="Char Char Char Char Char Char Char Char Char Char Char Char Char3"/>
    <w:basedOn w:val="Normal"/>
    <w:rsid w:val="005150E5"/>
    <w:pPr>
      <w:spacing w:before="40" w:after="60" w:line="240" w:lineRule="exact"/>
    </w:pPr>
    <w:rPr>
      <w:rFonts w:ascii="Arial" w:hAnsi="Arial" w:cs="Arial"/>
      <w:b w:val="0"/>
      <w:sz w:val="20"/>
      <w:szCs w:val="20"/>
      <w:lang w:val="en-US" w:eastAsia="en-US"/>
    </w:rPr>
  </w:style>
  <w:style w:type="paragraph" w:customStyle="1" w:styleId="Char32">
    <w:name w:val="Знак Знак Знак Знак Знак Знак Знак Знак Знак Знак Знак Знак Знак Знак Знак Знак Знак Знак Char Знак Знак3"/>
    <w:basedOn w:val="Normal"/>
    <w:autoRedefine/>
    <w:rsid w:val="005150E5"/>
    <w:pPr>
      <w:spacing w:before="40" w:after="60" w:line="240" w:lineRule="exact"/>
    </w:pPr>
    <w:rPr>
      <w:b w:val="0"/>
      <w:sz w:val="28"/>
      <w:szCs w:val="20"/>
      <w:lang w:val="en-US" w:eastAsia="en-US"/>
    </w:rPr>
  </w:style>
  <w:style w:type="paragraph" w:customStyle="1" w:styleId="CharCharChar31">
    <w:name w:val="Char Char Char Знак3"/>
    <w:basedOn w:val="Normal"/>
    <w:next w:val="Normal"/>
    <w:rsid w:val="005150E5"/>
    <w:pPr>
      <w:spacing w:before="40" w:after="60" w:line="240" w:lineRule="exact"/>
    </w:pPr>
    <w:rPr>
      <w:rFonts w:ascii="Tahoma" w:hAnsi="Tahoma"/>
      <w:b w:val="0"/>
      <w:szCs w:val="20"/>
      <w:lang w:val="en-US" w:eastAsia="en-US"/>
    </w:rPr>
  </w:style>
  <w:style w:type="paragraph" w:customStyle="1" w:styleId="ListContinue21">
    <w:name w:val="List Continue 21"/>
    <w:basedOn w:val="Normal"/>
    <w:next w:val="ListContinue2"/>
    <w:rsid w:val="005150E5"/>
    <w:pPr>
      <w:spacing w:before="40" w:after="120" w:line="312" w:lineRule="auto"/>
      <w:ind w:left="720"/>
    </w:pPr>
    <w:rPr>
      <w:b w:val="0"/>
      <w:szCs w:val="22"/>
      <w:lang w:val="en-US" w:eastAsia="en-US"/>
    </w:rPr>
  </w:style>
  <w:style w:type="paragraph" w:customStyle="1" w:styleId="CharCharCharCharCharCharCharChar3">
    <w:name w:val="Char Char Char Char Char Char Char Char3"/>
    <w:basedOn w:val="Normal"/>
    <w:rsid w:val="005150E5"/>
    <w:pPr>
      <w:spacing w:before="40" w:after="60" w:line="240" w:lineRule="exact"/>
    </w:pPr>
    <w:rPr>
      <w:rFonts w:ascii="Arial" w:hAnsi="Arial" w:cs="Arial"/>
      <w:b w:val="0"/>
      <w:sz w:val="20"/>
      <w:szCs w:val="20"/>
      <w:lang w:val="en-US" w:eastAsia="en-US"/>
    </w:rPr>
  </w:style>
  <w:style w:type="paragraph" w:customStyle="1" w:styleId="CharCharCharCharCharCharCharCharCharCharCharCharCharCharChar6">
    <w:name w:val="Char Char Char Char Знак Char Знак Char Char Char Char Char Char Char Char Char Char6"/>
    <w:basedOn w:val="Normal"/>
    <w:rsid w:val="005150E5"/>
    <w:pPr>
      <w:tabs>
        <w:tab w:val="left" w:pos="709"/>
      </w:tabs>
      <w:spacing w:before="40" w:after="60" w:line="312" w:lineRule="auto"/>
    </w:pPr>
    <w:rPr>
      <w:rFonts w:ascii="Tahoma" w:hAnsi="Tahoma"/>
      <w:b w:val="0"/>
      <w:szCs w:val="22"/>
      <w:lang w:val="pl-PL" w:eastAsia="pl-PL"/>
    </w:rPr>
  </w:style>
  <w:style w:type="paragraph" w:customStyle="1" w:styleId="CharCharCharCharCharCharChar3">
    <w:name w:val="Char Char Char Char Char Char Char3"/>
    <w:basedOn w:val="Normal"/>
    <w:rsid w:val="005150E5"/>
    <w:pPr>
      <w:spacing w:before="40" w:after="60" w:line="240" w:lineRule="exact"/>
    </w:pPr>
    <w:rPr>
      <w:rFonts w:ascii="Arial" w:hAnsi="Arial" w:cs="Arial"/>
      <w:b w:val="0"/>
      <w:sz w:val="20"/>
      <w:szCs w:val="20"/>
      <w:lang w:val="en-US" w:eastAsia="en-US"/>
    </w:rPr>
  </w:style>
  <w:style w:type="paragraph" w:customStyle="1" w:styleId="CharCharChar32">
    <w:name w:val="Char Char Char Знак Знак3"/>
    <w:basedOn w:val="Normal"/>
    <w:rsid w:val="005150E5"/>
    <w:pPr>
      <w:spacing w:before="40" w:after="60" w:line="240" w:lineRule="exact"/>
    </w:pPr>
    <w:rPr>
      <w:rFonts w:ascii="Arial" w:hAnsi="Arial" w:cs="Arial"/>
      <w:b w:val="0"/>
      <w:sz w:val="20"/>
      <w:szCs w:val="20"/>
      <w:lang w:val="en-US" w:eastAsia="en-US"/>
    </w:rPr>
  </w:style>
  <w:style w:type="paragraph" w:customStyle="1" w:styleId="CharCharCharCharCharCharCharCharCharChar3">
    <w:name w:val="Char Char Char Char Char Char Char Char Char Char3"/>
    <w:basedOn w:val="Normal"/>
    <w:rsid w:val="005150E5"/>
    <w:pPr>
      <w:spacing w:before="40" w:after="60" w:line="240" w:lineRule="exact"/>
    </w:pPr>
    <w:rPr>
      <w:rFonts w:ascii="Arial" w:hAnsi="Arial" w:cs="Arial"/>
      <w:b w:val="0"/>
      <w:sz w:val="20"/>
      <w:szCs w:val="20"/>
      <w:lang w:val="en-US" w:eastAsia="en-US"/>
    </w:rPr>
  </w:style>
  <w:style w:type="paragraph" w:customStyle="1" w:styleId="1CharChar3">
    <w:name w:val="Знак Знак1 Char Char Знак Знак3"/>
    <w:basedOn w:val="Normal"/>
    <w:rsid w:val="005150E5"/>
    <w:pPr>
      <w:tabs>
        <w:tab w:val="num" w:pos="840"/>
      </w:tabs>
      <w:spacing w:before="40" w:after="60" w:line="240" w:lineRule="exact"/>
      <w:ind w:left="840" w:hanging="360"/>
    </w:pPr>
    <w:rPr>
      <w:rFonts w:ascii="Verdana" w:hAnsi="Verdana"/>
      <w:b w:val="0"/>
      <w:sz w:val="20"/>
      <w:szCs w:val="20"/>
      <w:lang w:eastAsia="en-US"/>
    </w:rPr>
  </w:style>
  <w:style w:type="paragraph" w:customStyle="1" w:styleId="CharCharCharChar3">
    <w:name w:val="Знак Знак Char Char Знак Знак Char Char Знак Знак3"/>
    <w:basedOn w:val="Normal"/>
    <w:autoRedefine/>
    <w:rsid w:val="005150E5"/>
    <w:pPr>
      <w:spacing w:before="40" w:after="60" w:line="240" w:lineRule="exact"/>
    </w:pPr>
    <w:rPr>
      <w:b w:val="0"/>
      <w:sz w:val="28"/>
      <w:szCs w:val="20"/>
      <w:lang w:val="en-US" w:eastAsia="en-US"/>
    </w:rPr>
  </w:style>
  <w:style w:type="paragraph" w:customStyle="1" w:styleId="CharCharChar1Char3">
    <w:name w:val="Char Char Char1 Char3"/>
    <w:basedOn w:val="Normal"/>
    <w:rsid w:val="005150E5"/>
    <w:pPr>
      <w:spacing w:before="40" w:after="60" w:line="240" w:lineRule="exact"/>
    </w:pPr>
    <w:rPr>
      <w:rFonts w:ascii="Arial" w:hAnsi="Arial" w:cs="Arial"/>
      <w:b w:val="0"/>
      <w:sz w:val="20"/>
      <w:szCs w:val="20"/>
      <w:lang w:val="en-US" w:eastAsia="en-US"/>
    </w:rPr>
  </w:style>
  <w:style w:type="paragraph" w:customStyle="1" w:styleId="133">
    <w:name w:val="Знак Знак13"/>
    <w:basedOn w:val="Normal"/>
    <w:rsid w:val="005150E5"/>
    <w:pPr>
      <w:spacing w:before="40" w:after="60" w:line="240" w:lineRule="exact"/>
    </w:pPr>
    <w:rPr>
      <w:rFonts w:ascii="Arial" w:eastAsia="MS Mincho" w:hAnsi="Arial" w:cs="Arial"/>
      <w:b w:val="0"/>
      <w:sz w:val="20"/>
      <w:szCs w:val="20"/>
      <w:lang w:val="en-US" w:eastAsia="en-US"/>
    </w:rPr>
  </w:style>
  <w:style w:type="paragraph" w:customStyle="1" w:styleId="CharCharCharCharChar30">
    <w:name w:val="Char Char Char Char Char Знак Знак3"/>
    <w:basedOn w:val="Normal"/>
    <w:rsid w:val="005150E5"/>
    <w:pPr>
      <w:spacing w:before="40" w:after="60" w:line="240" w:lineRule="exact"/>
    </w:pPr>
    <w:rPr>
      <w:rFonts w:ascii="Arial" w:hAnsi="Arial" w:cs="Arial"/>
      <w:b w:val="0"/>
      <w:sz w:val="20"/>
      <w:szCs w:val="20"/>
      <w:lang w:val="en-US" w:eastAsia="en-US"/>
    </w:rPr>
  </w:style>
  <w:style w:type="paragraph" w:customStyle="1" w:styleId="CharChar1CharCharChar1Char3">
    <w:name w:val="Char Char1 Char Char Char1 Char3"/>
    <w:basedOn w:val="Normal"/>
    <w:autoRedefine/>
    <w:rsid w:val="005150E5"/>
    <w:pPr>
      <w:spacing w:before="40" w:after="60" w:line="312" w:lineRule="auto"/>
    </w:pPr>
    <w:rPr>
      <w:rFonts w:eastAsia="SimSun"/>
      <w:b w:val="0"/>
      <w:sz w:val="20"/>
      <w:szCs w:val="20"/>
      <w:lang w:val="en-US"/>
    </w:rPr>
  </w:style>
  <w:style w:type="paragraph" w:customStyle="1" w:styleId="430">
    <w:name w:val="Знак Знак43"/>
    <w:basedOn w:val="Normal"/>
    <w:rsid w:val="005150E5"/>
    <w:pPr>
      <w:tabs>
        <w:tab w:val="left" w:pos="709"/>
      </w:tabs>
      <w:spacing w:before="40" w:after="60" w:line="312" w:lineRule="auto"/>
    </w:pPr>
    <w:rPr>
      <w:rFonts w:ascii="Tahoma" w:hAnsi="Tahoma"/>
      <w:b w:val="0"/>
      <w:szCs w:val="22"/>
      <w:lang w:val="pl-PL" w:eastAsia="pl-PL"/>
    </w:rPr>
  </w:style>
  <w:style w:type="paragraph" w:customStyle="1" w:styleId="Char33">
    <w:name w:val="Знак Char Знак3"/>
    <w:basedOn w:val="Normal"/>
    <w:rsid w:val="005150E5"/>
    <w:pPr>
      <w:spacing w:before="40" w:after="60" w:line="240" w:lineRule="exact"/>
    </w:pPr>
    <w:rPr>
      <w:rFonts w:ascii="Arial" w:eastAsia="Batang" w:hAnsi="Arial" w:cs="Arial"/>
      <w:b w:val="0"/>
      <w:sz w:val="20"/>
      <w:szCs w:val="20"/>
      <w:lang w:val="en-US" w:eastAsia="en-US"/>
    </w:rPr>
  </w:style>
  <w:style w:type="paragraph" w:customStyle="1" w:styleId="CharCharCharCharCharChar3">
    <w:name w:val="Знак Знак Char Char Знак Знак Char Char Знак Знак Char Char3"/>
    <w:basedOn w:val="Normal"/>
    <w:autoRedefine/>
    <w:rsid w:val="005150E5"/>
    <w:pPr>
      <w:spacing w:before="40" w:after="60" w:line="240" w:lineRule="exact"/>
    </w:pPr>
    <w:rPr>
      <w:b w:val="0"/>
      <w:sz w:val="28"/>
      <w:szCs w:val="20"/>
      <w:lang w:val="en-US" w:eastAsia="en-US"/>
    </w:rPr>
  </w:style>
  <w:style w:type="paragraph" w:customStyle="1" w:styleId="230">
    <w:name w:val="Знак Знак23"/>
    <w:basedOn w:val="Normal"/>
    <w:rsid w:val="005150E5"/>
    <w:pPr>
      <w:spacing w:before="40" w:after="60" w:line="240" w:lineRule="exact"/>
    </w:pPr>
    <w:rPr>
      <w:rFonts w:ascii="Arial" w:hAnsi="Arial" w:cs="Arial"/>
      <w:b w:val="0"/>
      <w:sz w:val="20"/>
      <w:szCs w:val="20"/>
      <w:lang w:val="en-US" w:eastAsia="en-US"/>
    </w:rPr>
  </w:style>
  <w:style w:type="paragraph" w:customStyle="1" w:styleId="CharCharCharCharChar31">
    <w:name w:val="Char Char Char Char Char3"/>
    <w:basedOn w:val="Normal"/>
    <w:rsid w:val="005150E5"/>
    <w:pPr>
      <w:spacing w:before="40" w:after="60" w:line="240" w:lineRule="exact"/>
    </w:pPr>
    <w:rPr>
      <w:rFonts w:ascii="Arial" w:hAnsi="Arial" w:cs="Arial"/>
      <w:b w:val="0"/>
      <w:sz w:val="20"/>
      <w:szCs w:val="20"/>
      <w:lang w:val="en-US" w:eastAsia="en-US"/>
    </w:rPr>
  </w:style>
  <w:style w:type="numbering" w:customStyle="1" w:styleId="NoList1120">
    <w:name w:val="No List1120"/>
    <w:next w:val="NoList"/>
    <w:semiHidden/>
    <w:unhideWhenUsed/>
    <w:rsid w:val="005150E5"/>
  </w:style>
  <w:style w:type="numbering" w:customStyle="1" w:styleId="NoList216">
    <w:name w:val="No List216"/>
    <w:next w:val="NoList"/>
    <w:semiHidden/>
    <w:unhideWhenUsed/>
    <w:rsid w:val="005150E5"/>
  </w:style>
  <w:style w:type="numbering" w:customStyle="1" w:styleId="NoList315">
    <w:name w:val="No List315"/>
    <w:next w:val="NoList"/>
    <w:semiHidden/>
    <w:unhideWhenUsed/>
    <w:rsid w:val="005150E5"/>
  </w:style>
  <w:style w:type="paragraph" w:customStyle="1" w:styleId="ListNumber1">
    <w:name w:val="List Number1"/>
    <w:basedOn w:val="Normal"/>
    <w:next w:val="ListNumber"/>
    <w:rsid w:val="005150E5"/>
    <w:pPr>
      <w:spacing w:before="40" w:after="60" w:line="312" w:lineRule="auto"/>
      <w:ind w:left="720" w:hanging="360"/>
    </w:pPr>
    <w:rPr>
      <w:b w:val="0"/>
      <w:szCs w:val="22"/>
      <w:lang w:val="en-US" w:eastAsia="en-US"/>
    </w:rPr>
  </w:style>
  <w:style w:type="paragraph" w:customStyle="1" w:styleId="CharChar113">
    <w:name w:val="Char Char113"/>
    <w:basedOn w:val="Normal"/>
    <w:rsid w:val="005150E5"/>
    <w:pPr>
      <w:spacing w:before="40" w:after="60" w:line="240" w:lineRule="exact"/>
    </w:pPr>
    <w:rPr>
      <w:rFonts w:ascii="Arial" w:hAnsi="Arial" w:cs="Arial"/>
      <w:b w:val="0"/>
      <w:sz w:val="20"/>
      <w:szCs w:val="20"/>
      <w:lang w:val="en-US" w:eastAsia="en-US"/>
    </w:rPr>
  </w:style>
  <w:style w:type="character" w:customStyle="1" w:styleId="CharChar163">
    <w:name w:val="Char Char163"/>
    <w:uiPriority w:val="99"/>
    <w:rsid w:val="005150E5"/>
    <w:rPr>
      <w:rFonts w:ascii="Times New Roman" w:hAnsi="Times New Roman"/>
      <w:b/>
      <w:sz w:val="20"/>
      <w:lang w:val="en-GB"/>
    </w:rPr>
  </w:style>
  <w:style w:type="character" w:customStyle="1" w:styleId="CharChar53">
    <w:name w:val="Char Char53"/>
    <w:uiPriority w:val="99"/>
    <w:rsid w:val="005150E5"/>
    <w:rPr>
      <w:rFonts w:ascii="Times New Roman" w:hAnsi="Times New Roman"/>
      <w:sz w:val="20"/>
      <w:lang w:val="en-GB"/>
    </w:rPr>
  </w:style>
  <w:style w:type="paragraph" w:customStyle="1" w:styleId="CharCharCharCharCharChar2">
    <w:name w:val="Char Char Char Char Char Char2"/>
    <w:basedOn w:val="Normal"/>
    <w:rsid w:val="005150E5"/>
    <w:pPr>
      <w:spacing w:before="40" w:after="60" w:line="240" w:lineRule="exact"/>
    </w:pPr>
    <w:rPr>
      <w:rFonts w:ascii="Arial" w:eastAsia="Calibri" w:hAnsi="Arial" w:cs="Arial"/>
      <w:b w:val="0"/>
      <w:sz w:val="20"/>
      <w:szCs w:val="20"/>
      <w:lang w:val="en-US" w:eastAsia="en-US"/>
    </w:rPr>
  </w:style>
  <w:style w:type="paragraph" w:customStyle="1" w:styleId="3a">
    <w:name w:val="Знак3"/>
    <w:basedOn w:val="Normal"/>
    <w:rsid w:val="005150E5"/>
    <w:pPr>
      <w:spacing w:before="40" w:after="60" w:line="240" w:lineRule="exact"/>
    </w:pPr>
    <w:rPr>
      <w:rFonts w:ascii="Arial" w:eastAsia="Calibri" w:hAnsi="Arial" w:cs="Arial"/>
      <w:b w:val="0"/>
      <w:sz w:val="20"/>
      <w:szCs w:val="20"/>
      <w:lang w:val="en-GB" w:eastAsia="en-US"/>
    </w:rPr>
  </w:style>
  <w:style w:type="paragraph" w:customStyle="1" w:styleId="BodyText11">
    <w:name w:val="Body Text11"/>
    <w:basedOn w:val="Normal"/>
    <w:rsid w:val="005150E5"/>
    <w:pPr>
      <w:tabs>
        <w:tab w:val="num" w:pos="0"/>
      </w:tabs>
      <w:spacing w:before="40" w:after="240" w:line="312" w:lineRule="auto"/>
    </w:pPr>
    <w:rPr>
      <w:rFonts w:ascii="Times Armenian" w:hAnsi="Times Armenian"/>
      <w:b w:val="0"/>
      <w:szCs w:val="22"/>
      <w:lang w:val="en-US"/>
    </w:rPr>
  </w:style>
  <w:style w:type="table" w:customStyle="1" w:styleId="LightList-Accent1113">
    <w:name w:val="Light List - Accent 1113"/>
    <w:basedOn w:val="TableNormal"/>
    <w:next w:val="LightList-Accent1"/>
    <w:uiPriority w:val="61"/>
    <w:rsid w:val="005150E5"/>
    <w:pPr>
      <w:spacing w:after="200"/>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3">
    <w:name w:val="Table Grid 713"/>
    <w:basedOn w:val="TableNormal"/>
    <w:next w:val="TableGrid7"/>
    <w:rsid w:val="005150E5"/>
    <w:pPr>
      <w:spacing w:after="200"/>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8">
    <w:name w:val="Colorful Grid - Accent 118"/>
    <w:basedOn w:val="TableNormal"/>
    <w:next w:val="ColorfulGrid-Accent1"/>
    <w:rsid w:val="005150E5"/>
    <w:pPr>
      <w:spacing w:after="200"/>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8">
    <w:name w:val="Light List - Accent 518"/>
    <w:basedOn w:val="TableNormal"/>
    <w:next w:val="LightList-Accent5"/>
    <w:rsid w:val="005150E5"/>
    <w:pPr>
      <w:spacing w:after="200"/>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3">
    <w:name w:val="Table Simple 313"/>
    <w:basedOn w:val="TableNormal"/>
    <w:next w:val="TableSimple3"/>
    <w:rsid w:val="005150E5"/>
    <w:pPr>
      <w:spacing w:after="200"/>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
    <w:name w:val="Table Grid 513"/>
    <w:basedOn w:val="TableNormal"/>
    <w:next w:val="TableGrid5"/>
    <w:rsid w:val="005150E5"/>
    <w:pPr>
      <w:spacing w:after="200"/>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
    <w:name w:val="Table Grid 313"/>
    <w:basedOn w:val="TableNormal"/>
    <w:next w:val="TableGrid3"/>
    <w:rsid w:val="005150E5"/>
    <w:pPr>
      <w:spacing w:after="200"/>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0">
    <w:name w:val="Table Grid 113"/>
    <w:basedOn w:val="TableNormal"/>
    <w:next w:val="TableGrid10"/>
    <w:rsid w:val="005150E5"/>
    <w:pPr>
      <w:spacing w:after="200"/>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
    <w:name w:val="Table Columns 513"/>
    <w:basedOn w:val="TableNormal"/>
    <w:next w:val="TableColumns5"/>
    <w:rsid w:val="005150E5"/>
    <w:pPr>
      <w:spacing w:after="200"/>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90">
    <w:name w:val="Нет списка19"/>
    <w:next w:val="NoList"/>
    <w:semiHidden/>
    <w:unhideWhenUsed/>
    <w:rsid w:val="005150E5"/>
  </w:style>
  <w:style w:type="paragraph" w:customStyle="1" w:styleId="List1">
    <w:name w:val="List1"/>
    <w:basedOn w:val="BodyText"/>
    <w:next w:val="List"/>
    <w:rsid w:val="005150E5"/>
    <w:pPr>
      <w:suppressAutoHyphens/>
      <w:spacing w:before="40" w:after="120" w:line="288" w:lineRule="auto"/>
      <w:jc w:val="both"/>
    </w:pPr>
    <w:rPr>
      <w:rFonts w:ascii="GHEA Grapalat" w:hAnsi="GHEA Grapalat" w:cs="GHEA Grapalat"/>
      <w:b w:val="0"/>
      <w:kern w:val="1"/>
      <w:sz w:val="22"/>
      <w:szCs w:val="22"/>
      <w:lang w:val="en-US" w:eastAsia="en-US"/>
    </w:rPr>
  </w:style>
  <w:style w:type="character" w:customStyle="1" w:styleId="CharChar123">
    <w:name w:val="Char Char123"/>
    <w:rsid w:val="005150E5"/>
    <w:rPr>
      <w:sz w:val="22"/>
      <w:lang w:val="en-GB" w:eastAsia="en-US" w:bidi="ar-SA"/>
    </w:rPr>
  </w:style>
  <w:style w:type="paragraph" w:customStyle="1" w:styleId="IntenseQuote1">
    <w:name w:val="Intense Quote1"/>
    <w:basedOn w:val="Normal"/>
    <w:next w:val="Normal"/>
    <w:qFormat/>
    <w:rsid w:val="005150E5"/>
    <w:pPr>
      <w:pBdr>
        <w:bottom w:val="single" w:sz="4" w:space="1" w:color="auto"/>
      </w:pBdr>
      <w:spacing w:before="200" w:after="280" w:line="312" w:lineRule="auto"/>
      <w:ind w:left="1008" w:right="1152"/>
    </w:pPr>
    <w:rPr>
      <w:bCs/>
      <w:i/>
      <w:iCs/>
      <w:szCs w:val="22"/>
      <w:lang w:val="en-US" w:eastAsia="en-US"/>
    </w:rPr>
  </w:style>
  <w:style w:type="character" w:customStyle="1" w:styleId="CharChar213">
    <w:name w:val="Char Char213"/>
    <w:locked/>
    <w:rsid w:val="005150E5"/>
    <w:rPr>
      <w:sz w:val="22"/>
      <w:lang w:val="en-GB" w:eastAsia="en-US"/>
    </w:rPr>
  </w:style>
  <w:style w:type="character" w:customStyle="1" w:styleId="CharChar222">
    <w:name w:val="Char Char222"/>
    <w:rsid w:val="005150E5"/>
    <w:rPr>
      <w:rFonts w:cs="Times New Roman"/>
      <w:lang w:val="ru-RU" w:eastAsia="ru-RU" w:bidi="ar-SA"/>
    </w:rPr>
  </w:style>
  <w:style w:type="numbering" w:customStyle="1" w:styleId="NoList413">
    <w:name w:val="No List413"/>
    <w:next w:val="NoList"/>
    <w:semiHidden/>
    <w:rsid w:val="005150E5"/>
  </w:style>
  <w:style w:type="character" w:customStyle="1" w:styleId="CharChar182">
    <w:name w:val="Char Char182"/>
    <w:rsid w:val="005150E5"/>
    <w:rPr>
      <w:rFonts w:ascii="Arial Armenian" w:eastAsia="Times New Roman" w:hAnsi="Arial Armenian"/>
      <w:i/>
      <w:sz w:val="22"/>
      <w:u w:val="single"/>
      <w:lang w:val="en-GB"/>
    </w:rPr>
  </w:style>
  <w:style w:type="character" w:customStyle="1" w:styleId="CharChar192">
    <w:name w:val="Char Char192"/>
    <w:rsid w:val="005150E5"/>
    <w:rPr>
      <w:b/>
      <w:sz w:val="32"/>
      <w:lang w:val="en-GB" w:eastAsia="en-US" w:bidi="ar-SA"/>
    </w:rPr>
  </w:style>
  <w:style w:type="character" w:customStyle="1" w:styleId="CharChar202">
    <w:name w:val="Char Char202"/>
    <w:rsid w:val="005150E5"/>
    <w:rPr>
      <w:rFonts w:ascii="Garamond" w:hAnsi="Garamond"/>
      <w:i/>
      <w:spacing w:val="-5"/>
      <w:sz w:val="28"/>
      <w:lang w:val="en-GB" w:eastAsia="en-US" w:bidi="ar-SA"/>
    </w:rPr>
  </w:style>
  <w:style w:type="numbering" w:customStyle="1" w:styleId="NoList11115">
    <w:name w:val="No List11115"/>
    <w:next w:val="NoList"/>
    <w:semiHidden/>
    <w:unhideWhenUsed/>
    <w:rsid w:val="005150E5"/>
  </w:style>
  <w:style w:type="character" w:customStyle="1" w:styleId="CharChar172">
    <w:name w:val="Char Char172"/>
    <w:rsid w:val="005150E5"/>
    <w:rPr>
      <w:rFonts w:ascii="Arial Armenian" w:hAnsi="Arial Armenian"/>
      <w:i/>
      <w:sz w:val="22"/>
      <w:u w:val="single"/>
      <w:lang w:val="en-GB" w:eastAsia="en-US" w:bidi="ar-SA"/>
    </w:rPr>
  </w:style>
  <w:style w:type="character" w:customStyle="1" w:styleId="CharChar282">
    <w:name w:val="Char Char282"/>
    <w:rsid w:val="005150E5"/>
    <w:rPr>
      <w:rFonts w:ascii="Arial Armenian" w:hAnsi="Arial Armenian"/>
      <w:i/>
      <w:sz w:val="22"/>
      <w:u w:val="single"/>
      <w:lang w:val="en-GB"/>
    </w:rPr>
  </w:style>
  <w:style w:type="character" w:customStyle="1" w:styleId="CharChar272">
    <w:name w:val="Char Char272"/>
    <w:rsid w:val="005150E5"/>
    <w:rPr>
      <w:rFonts w:ascii="Garamond" w:hAnsi="Garamond"/>
      <w:i/>
      <w:spacing w:val="-5"/>
      <w:sz w:val="28"/>
      <w:shd w:val="pct5" w:color="auto" w:fill="auto"/>
      <w:lang w:val="en-GB"/>
    </w:rPr>
  </w:style>
  <w:style w:type="character" w:customStyle="1" w:styleId="CharChar262">
    <w:name w:val="Char Char262"/>
    <w:rsid w:val="005150E5"/>
    <w:rPr>
      <w:rFonts w:ascii="Arial Black" w:hAnsi="Arial Black"/>
      <w:caps/>
      <w:spacing w:val="60"/>
      <w:position w:val="4"/>
      <w:sz w:val="14"/>
      <w:lang w:val="en-GB"/>
    </w:rPr>
  </w:style>
  <w:style w:type="character" w:customStyle="1" w:styleId="CharChar252">
    <w:name w:val="Char Char252"/>
    <w:rsid w:val="005150E5"/>
    <w:rPr>
      <w:rFonts w:ascii="Garamond" w:hAnsi="Garamond"/>
      <w:b/>
      <w:i/>
      <w:kern w:val="28"/>
      <w:lang w:val="en-GB"/>
    </w:rPr>
  </w:style>
  <w:style w:type="character" w:customStyle="1" w:styleId="CharChar242">
    <w:name w:val="Char Char242"/>
    <w:rsid w:val="005150E5"/>
    <w:rPr>
      <w:rFonts w:ascii="Arial Armenian" w:hAnsi="Arial Armenian"/>
      <w:noProof/>
      <w:lang w:val="en-US" w:eastAsia="en-US" w:bidi="ar-SA"/>
    </w:rPr>
  </w:style>
  <w:style w:type="character" w:customStyle="1" w:styleId="CharChar232">
    <w:name w:val="Char Char232"/>
    <w:rsid w:val="005150E5"/>
    <w:rPr>
      <w:rFonts w:ascii="Arial Armenian" w:hAnsi="Arial Armenian"/>
      <w:lang w:val="en-GB" w:eastAsia="en-US" w:bidi="ar-SA"/>
    </w:rPr>
  </w:style>
  <w:style w:type="character" w:customStyle="1" w:styleId="CharChar312">
    <w:name w:val="Char Char312"/>
    <w:rsid w:val="005150E5"/>
    <w:rPr>
      <w:rFonts w:ascii="Arial Armenian" w:hAnsi="Arial Armenian"/>
      <w:noProof/>
      <w:lang w:val="en-US" w:eastAsia="en-US" w:bidi="ar-SA"/>
    </w:rPr>
  </w:style>
  <w:style w:type="table" w:customStyle="1" w:styleId="Table3Deffects313">
    <w:name w:val="Table 3D effects 313"/>
    <w:basedOn w:val="TableNormal"/>
    <w:next w:val="Table3Deffects3"/>
    <w:rsid w:val="005150E5"/>
    <w:pPr>
      <w:spacing w:after="200"/>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TopofForm1">
    <w:name w:val="z-Top of Form1"/>
    <w:basedOn w:val="Normal"/>
    <w:next w:val="Normal"/>
    <w:hidden/>
    <w:uiPriority w:val="99"/>
    <w:unhideWhenUsed/>
    <w:rsid w:val="005150E5"/>
    <w:pPr>
      <w:pBdr>
        <w:bottom w:val="single" w:sz="6" w:space="1" w:color="auto"/>
      </w:pBdr>
      <w:spacing w:before="40" w:after="60" w:line="312" w:lineRule="auto"/>
      <w:jc w:val="center"/>
    </w:pPr>
    <w:rPr>
      <w:rFonts w:ascii="Arial" w:hAnsi="Arial"/>
      <w:b w:val="0"/>
      <w:vanish/>
      <w:sz w:val="16"/>
      <w:szCs w:val="16"/>
      <w:lang w:val="en-US" w:eastAsia="en-US"/>
    </w:rPr>
  </w:style>
  <w:style w:type="paragraph" w:customStyle="1" w:styleId="z-BottomofForm1">
    <w:name w:val="z-Bottom of Form1"/>
    <w:basedOn w:val="Normal"/>
    <w:next w:val="Normal"/>
    <w:hidden/>
    <w:uiPriority w:val="99"/>
    <w:unhideWhenUsed/>
    <w:rsid w:val="005150E5"/>
    <w:pPr>
      <w:pBdr>
        <w:top w:val="single" w:sz="6" w:space="1" w:color="auto"/>
      </w:pBdr>
      <w:spacing w:before="40" w:after="60" w:line="312" w:lineRule="auto"/>
      <w:jc w:val="center"/>
    </w:pPr>
    <w:rPr>
      <w:rFonts w:ascii="Arial" w:hAnsi="Arial"/>
      <w:b w:val="0"/>
      <w:vanish/>
      <w:sz w:val="16"/>
      <w:szCs w:val="16"/>
      <w:lang w:val="en-US" w:eastAsia="en-US"/>
    </w:rPr>
  </w:style>
  <w:style w:type="paragraph" w:customStyle="1" w:styleId="HTMLPreformatted1">
    <w:name w:val="HTML Preformatted1"/>
    <w:basedOn w:val="Normal"/>
    <w:next w:val="HTMLPreformatted"/>
    <w:uiPriority w:val="99"/>
    <w:unhideWhenUsed/>
    <w:rsid w:val="00515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60" w:line="312" w:lineRule="auto"/>
    </w:pPr>
    <w:rPr>
      <w:rFonts w:ascii="Arial Unicode" w:eastAsia="Calibri" w:hAnsi="Arial Unicode"/>
      <w:b w:val="0"/>
      <w:sz w:val="20"/>
      <w:szCs w:val="20"/>
      <w:lang w:val="en-US" w:eastAsia="en-US"/>
    </w:rPr>
  </w:style>
  <w:style w:type="numbering" w:customStyle="1" w:styleId="118">
    <w:name w:val="Нет списка118"/>
    <w:next w:val="NoList"/>
    <w:semiHidden/>
    <w:unhideWhenUsed/>
    <w:rsid w:val="005150E5"/>
  </w:style>
  <w:style w:type="character" w:customStyle="1" w:styleId="CharChar352">
    <w:name w:val="Char Char352"/>
    <w:rsid w:val="005150E5"/>
    <w:rPr>
      <w:rFonts w:ascii="Arial Armenian" w:hAnsi="Arial Armenian"/>
      <w:i/>
      <w:sz w:val="22"/>
      <w:u w:val="single"/>
      <w:lang w:val="en-GB"/>
    </w:rPr>
  </w:style>
  <w:style w:type="character" w:customStyle="1" w:styleId="CharChar342">
    <w:name w:val="Char Char342"/>
    <w:rsid w:val="005150E5"/>
    <w:rPr>
      <w:rFonts w:ascii="Garamond" w:hAnsi="Garamond"/>
      <w:i/>
      <w:spacing w:val="-5"/>
      <w:sz w:val="28"/>
      <w:shd w:val="pct5" w:color="auto" w:fill="auto"/>
      <w:lang w:val="en-GB"/>
    </w:rPr>
  </w:style>
  <w:style w:type="character" w:customStyle="1" w:styleId="CharChar332">
    <w:name w:val="Char Char332"/>
    <w:rsid w:val="005150E5"/>
    <w:rPr>
      <w:rFonts w:ascii="Arial Black" w:hAnsi="Arial Black"/>
      <w:caps/>
      <w:spacing w:val="60"/>
      <w:position w:val="4"/>
      <w:sz w:val="14"/>
      <w:lang w:val="en-GB"/>
    </w:rPr>
  </w:style>
  <w:style w:type="character" w:customStyle="1" w:styleId="CharChar322">
    <w:name w:val="Char Char322"/>
    <w:rsid w:val="005150E5"/>
    <w:rPr>
      <w:rFonts w:ascii="Garamond" w:hAnsi="Garamond"/>
      <w:b/>
      <w:i/>
      <w:kern w:val="28"/>
      <w:lang w:val="en-GB"/>
    </w:rPr>
  </w:style>
  <w:style w:type="character" w:customStyle="1" w:styleId="CharChar302">
    <w:name w:val="Char Char302"/>
    <w:rsid w:val="005150E5"/>
    <w:rPr>
      <w:rFonts w:ascii="Arial Armenian" w:hAnsi="Arial Armenian"/>
      <w:lang w:val="en-GB" w:eastAsia="en-US" w:bidi="ar-SA"/>
    </w:rPr>
  </w:style>
  <w:style w:type="character" w:customStyle="1" w:styleId="CharChar292">
    <w:name w:val="Char Char292"/>
    <w:rsid w:val="005150E5"/>
    <w:rPr>
      <w:rFonts w:ascii="Arial Armenian" w:hAnsi="Arial Armenian"/>
      <w:lang w:val="ru-RU" w:eastAsia="ru-RU" w:bidi="ar-SA"/>
    </w:rPr>
  </w:style>
  <w:style w:type="paragraph" w:customStyle="1" w:styleId="textbox">
    <w:name w:val="textbox"/>
    <w:basedOn w:val="Normal"/>
    <w:rsid w:val="005150E5"/>
    <w:pPr>
      <w:spacing w:before="40" w:after="60" w:line="160" w:lineRule="exact"/>
    </w:pPr>
    <w:rPr>
      <w:b w:val="0"/>
      <w:smallCaps/>
      <w:sz w:val="16"/>
      <w:szCs w:val="20"/>
      <w:lang w:val="hy-AM" w:eastAsia="en-US"/>
    </w:rPr>
  </w:style>
  <w:style w:type="character" w:customStyle="1" w:styleId="t121">
    <w:name w:val="t121"/>
    <w:rsid w:val="005150E5"/>
    <w:rPr>
      <w:b/>
      <w:bCs/>
      <w:color w:val="191970"/>
    </w:rPr>
  </w:style>
  <w:style w:type="character" w:customStyle="1" w:styleId="t61">
    <w:name w:val="t61"/>
    <w:rsid w:val="005150E5"/>
    <w:rPr>
      <w:b/>
      <w:bCs/>
      <w:color w:val="191970"/>
    </w:rPr>
  </w:style>
  <w:style w:type="table" w:customStyle="1" w:styleId="TableGrid115">
    <w:name w:val="Table Grid115"/>
    <w:basedOn w:val="TableNormal"/>
    <w:next w:val="TableGrid"/>
    <w:rsid w:val="005150E5"/>
    <w:pPr>
      <w:spacing w:after="200"/>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Char4">
    <w:name w:val="Char Char Char Char Знак Char Знак Char Char Char Char Char Char Char Char Char Char4"/>
    <w:basedOn w:val="Normal"/>
    <w:rsid w:val="005150E5"/>
    <w:pPr>
      <w:tabs>
        <w:tab w:val="left" w:pos="709"/>
      </w:tabs>
      <w:spacing w:before="40" w:after="60" w:line="312" w:lineRule="auto"/>
    </w:pPr>
    <w:rPr>
      <w:rFonts w:ascii="Tahoma" w:hAnsi="Tahoma" w:cs="Tahoma"/>
      <w:b w:val="0"/>
      <w:szCs w:val="22"/>
      <w:lang w:val="pl-PL" w:eastAsia="pl-PL"/>
    </w:rPr>
  </w:style>
  <w:style w:type="character" w:customStyle="1" w:styleId="CharChar62">
    <w:name w:val="Char Char62"/>
    <w:locked/>
    <w:rsid w:val="005150E5"/>
    <w:rPr>
      <w:rFonts w:ascii="Times LatArm" w:eastAsia="Calibri" w:hAnsi="Times LatArm" w:cs="Times LatArm"/>
      <w:sz w:val="22"/>
      <w:szCs w:val="22"/>
      <w:lang w:val="en-GB" w:eastAsia="en-US" w:bidi="ar-SA"/>
    </w:rPr>
  </w:style>
  <w:style w:type="character" w:customStyle="1" w:styleId="CentredCharChar">
    <w:name w:val="Centred Char Char"/>
    <w:locked/>
    <w:rsid w:val="005150E5"/>
    <w:rPr>
      <w:rFonts w:eastAsia="Calibri"/>
      <w:b/>
      <w:bCs/>
      <w:i/>
      <w:iCs/>
      <w:sz w:val="24"/>
      <w:szCs w:val="24"/>
      <w:lang w:val="en-GB" w:eastAsia="en-US" w:bidi="ar-SA"/>
    </w:rPr>
  </w:style>
  <w:style w:type="character" w:customStyle="1" w:styleId="SideCharChar">
    <w:name w:val="Side Char Char"/>
    <w:locked/>
    <w:rsid w:val="005150E5"/>
    <w:rPr>
      <w:rFonts w:eastAsia="Calibri"/>
      <w:sz w:val="22"/>
      <w:szCs w:val="22"/>
      <w:lang w:val="en-GB" w:eastAsia="en-US" w:bidi="ar-SA"/>
    </w:rPr>
  </w:style>
  <w:style w:type="character" w:customStyle="1" w:styleId="CharChar80">
    <w:name w:val="Char Char8"/>
    <w:locked/>
    <w:rsid w:val="005150E5"/>
    <w:rPr>
      <w:rFonts w:ascii="Times Armenian" w:eastAsia="Calibri" w:hAnsi="Times Armenian" w:cs="Times Armenian"/>
      <w:color w:val="993300"/>
      <w:sz w:val="22"/>
      <w:szCs w:val="22"/>
      <w:lang w:val="hy-AM" w:eastAsia="en-US" w:bidi="ar-SA"/>
    </w:rPr>
  </w:style>
  <w:style w:type="character" w:customStyle="1" w:styleId="CharChar42">
    <w:name w:val="Char Char42"/>
    <w:locked/>
    <w:rsid w:val="005150E5"/>
    <w:rPr>
      <w:rFonts w:eastAsia="Calibri"/>
      <w:sz w:val="22"/>
      <w:szCs w:val="22"/>
      <w:lang w:val="en-GB" w:eastAsia="en-US" w:bidi="ar-SA"/>
    </w:rPr>
  </w:style>
  <w:style w:type="character" w:customStyle="1" w:styleId="CharChar38">
    <w:name w:val="Char Char38"/>
    <w:uiPriority w:val="99"/>
    <w:locked/>
    <w:rsid w:val="005150E5"/>
    <w:rPr>
      <w:rFonts w:eastAsia="Calibri"/>
      <w:sz w:val="22"/>
      <w:szCs w:val="22"/>
      <w:lang w:val="en-GB" w:eastAsia="en-US" w:bidi="ar-SA"/>
    </w:rPr>
  </w:style>
  <w:style w:type="character" w:customStyle="1" w:styleId="CharChar212">
    <w:name w:val="Char Char212"/>
    <w:locked/>
    <w:rsid w:val="005150E5"/>
    <w:rPr>
      <w:rFonts w:ascii="Times Armenian" w:eastAsia="Calibri" w:hAnsi="Times Armenian" w:cs="Times Armenian"/>
      <w:b/>
      <w:bCs/>
      <w:sz w:val="22"/>
      <w:szCs w:val="22"/>
      <w:lang w:val="en-US" w:eastAsia="en-US" w:bidi="ar-SA"/>
    </w:rPr>
  </w:style>
  <w:style w:type="numbering" w:customStyle="1" w:styleId="NoList56">
    <w:name w:val="No List56"/>
    <w:next w:val="NoList"/>
    <w:uiPriority w:val="99"/>
    <w:semiHidden/>
    <w:rsid w:val="005150E5"/>
  </w:style>
  <w:style w:type="numbering" w:customStyle="1" w:styleId="NoList63">
    <w:name w:val="No List63"/>
    <w:next w:val="NoList"/>
    <w:uiPriority w:val="99"/>
    <w:semiHidden/>
    <w:unhideWhenUsed/>
    <w:rsid w:val="005150E5"/>
  </w:style>
  <w:style w:type="table" w:customStyle="1" w:styleId="TableGrid210">
    <w:name w:val="Table Grid210"/>
    <w:basedOn w:val="TableNormal"/>
    <w:next w:val="TableGrid"/>
    <w:rsid w:val="005150E5"/>
    <w:pPr>
      <w:spacing w:after="200"/>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mak">
    <w:name w:val="namak Знак"/>
    <w:link w:val="namak0"/>
    <w:locked/>
    <w:rsid w:val="005150E5"/>
    <w:rPr>
      <w:rFonts w:ascii="GHEA Grapalat" w:hAnsi="GHEA Grapalat"/>
      <w:spacing w:val="-4"/>
      <w:sz w:val="24"/>
      <w:szCs w:val="24"/>
    </w:rPr>
  </w:style>
  <w:style w:type="paragraph" w:customStyle="1" w:styleId="namak0">
    <w:name w:val="namak"/>
    <w:basedOn w:val="Normal"/>
    <w:link w:val="namak"/>
    <w:rsid w:val="005150E5"/>
    <w:pPr>
      <w:spacing w:before="40" w:after="60" w:line="400" w:lineRule="exact"/>
      <w:ind w:firstLine="397"/>
    </w:pPr>
    <w:rPr>
      <w:b w:val="0"/>
      <w:spacing w:val="-4"/>
      <w:sz w:val="24"/>
      <w:lang w:val="en-US" w:eastAsia="en-US"/>
    </w:rPr>
  </w:style>
  <w:style w:type="numbering" w:customStyle="1" w:styleId="NoList73">
    <w:name w:val="No List73"/>
    <w:next w:val="NoList"/>
    <w:uiPriority w:val="99"/>
    <w:semiHidden/>
    <w:unhideWhenUsed/>
    <w:rsid w:val="005150E5"/>
  </w:style>
  <w:style w:type="numbering" w:customStyle="1" w:styleId="NoList1210">
    <w:name w:val="No List1210"/>
    <w:next w:val="NoList"/>
    <w:uiPriority w:val="99"/>
    <w:semiHidden/>
    <w:unhideWhenUsed/>
    <w:rsid w:val="005150E5"/>
  </w:style>
  <w:style w:type="table" w:customStyle="1" w:styleId="TableGrid330">
    <w:name w:val="Table Grid33"/>
    <w:basedOn w:val="TableNormal"/>
    <w:next w:val="TableGrid"/>
    <w:rsid w:val="005150E5"/>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
    <w:name w:val="Colorful Grid - Accent 123"/>
    <w:basedOn w:val="TableNormal"/>
    <w:next w:val="ColorfulGrid-Accent1"/>
    <w:uiPriority w:val="73"/>
    <w:rsid w:val="005150E5"/>
    <w:pPr>
      <w:spacing w:after="200"/>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
    <w:name w:val="Light List - Accent 523"/>
    <w:basedOn w:val="TableNormal"/>
    <w:next w:val="LightList-Accent5"/>
    <w:uiPriority w:val="61"/>
    <w:rsid w:val="005150E5"/>
    <w:pPr>
      <w:spacing w:after="200"/>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harChar5CharCharCharCharCharChar2">
    <w:name w:val="Char Char5 Char Char Char Char Char Char2"/>
    <w:basedOn w:val="Normal"/>
    <w:rsid w:val="005150E5"/>
    <w:pPr>
      <w:tabs>
        <w:tab w:val="left" w:pos="709"/>
      </w:tabs>
      <w:spacing w:before="40" w:after="60" w:line="312" w:lineRule="auto"/>
    </w:pPr>
    <w:rPr>
      <w:rFonts w:ascii="Tahoma" w:hAnsi="Tahoma"/>
      <w:b w:val="0"/>
      <w:szCs w:val="22"/>
      <w:lang w:val="pl-PL" w:eastAsia="pl-PL"/>
    </w:rPr>
  </w:style>
  <w:style w:type="paragraph" w:customStyle="1" w:styleId="CharChar5CharCharCharChar2">
    <w:name w:val="Char Char5 Char Char Char Char2"/>
    <w:basedOn w:val="Normal"/>
    <w:rsid w:val="005150E5"/>
    <w:pPr>
      <w:tabs>
        <w:tab w:val="left" w:pos="709"/>
      </w:tabs>
      <w:spacing w:before="40" w:after="60" w:line="312" w:lineRule="auto"/>
    </w:pPr>
    <w:rPr>
      <w:rFonts w:ascii="Tahoma" w:hAnsi="Tahoma"/>
      <w:b w:val="0"/>
      <w:szCs w:val="22"/>
      <w:lang w:val="pl-PL" w:eastAsia="pl-PL"/>
    </w:rPr>
  </w:style>
  <w:style w:type="paragraph" w:customStyle="1" w:styleId="CharChar5CharChar2">
    <w:name w:val="Char Char5 Char Char2"/>
    <w:basedOn w:val="Normal"/>
    <w:rsid w:val="005150E5"/>
    <w:pPr>
      <w:tabs>
        <w:tab w:val="left" w:pos="709"/>
      </w:tabs>
      <w:spacing w:before="40" w:after="60" w:line="312" w:lineRule="auto"/>
    </w:pPr>
    <w:rPr>
      <w:rFonts w:ascii="Tahoma" w:hAnsi="Tahoma"/>
      <w:b w:val="0"/>
      <w:szCs w:val="22"/>
      <w:lang w:val="pl-PL" w:eastAsia="pl-PL"/>
    </w:rPr>
  </w:style>
  <w:style w:type="numbering" w:customStyle="1" w:styleId="NoList83">
    <w:name w:val="No List83"/>
    <w:next w:val="NoList"/>
    <w:uiPriority w:val="99"/>
    <w:semiHidden/>
    <w:unhideWhenUsed/>
    <w:rsid w:val="005150E5"/>
  </w:style>
  <w:style w:type="numbering" w:customStyle="1" w:styleId="123">
    <w:name w:val="Нет списка123"/>
    <w:next w:val="NoList"/>
    <w:semiHidden/>
    <w:unhideWhenUsed/>
    <w:rsid w:val="005150E5"/>
  </w:style>
  <w:style w:type="numbering" w:customStyle="1" w:styleId="NoList133">
    <w:name w:val="No List133"/>
    <w:next w:val="NoList"/>
    <w:semiHidden/>
    <w:unhideWhenUsed/>
    <w:rsid w:val="005150E5"/>
  </w:style>
  <w:style w:type="numbering" w:customStyle="1" w:styleId="NoList217">
    <w:name w:val="No List217"/>
    <w:next w:val="NoList"/>
    <w:semiHidden/>
    <w:unhideWhenUsed/>
    <w:rsid w:val="005150E5"/>
  </w:style>
  <w:style w:type="numbering" w:customStyle="1" w:styleId="NoList316">
    <w:name w:val="No List316"/>
    <w:next w:val="NoList"/>
    <w:semiHidden/>
    <w:unhideWhenUsed/>
    <w:rsid w:val="005150E5"/>
  </w:style>
  <w:style w:type="numbering" w:customStyle="1" w:styleId="1113">
    <w:name w:val="Нет списка1113"/>
    <w:next w:val="NoList"/>
    <w:semiHidden/>
    <w:unhideWhenUsed/>
    <w:rsid w:val="005150E5"/>
  </w:style>
  <w:style w:type="numbering" w:customStyle="1" w:styleId="NoList414">
    <w:name w:val="No List414"/>
    <w:next w:val="NoList"/>
    <w:semiHidden/>
    <w:rsid w:val="005150E5"/>
  </w:style>
  <w:style w:type="numbering" w:customStyle="1" w:styleId="NoList11116">
    <w:name w:val="No List11116"/>
    <w:next w:val="NoList"/>
    <w:semiHidden/>
    <w:unhideWhenUsed/>
    <w:rsid w:val="005150E5"/>
  </w:style>
  <w:style w:type="numbering" w:customStyle="1" w:styleId="11112">
    <w:name w:val="Нет списка11112"/>
    <w:next w:val="NoList"/>
    <w:semiHidden/>
    <w:unhideWhenUsed/>
    <w:rsid w:val="005150E5"/>
  </w:style>
  <w:style w:type="numbering" w:customStyle="1" w:styleId="NoList93">
    <w:name w:val="No List93"/>
    <w:next w:val="NoList"/>
    <w:uiPriority w:val="99"/>
    <w:semiHidden/>
    <w:unhideWhenUsed/>
    <w:rsid w:val="005150E5"/>
  </w:style>
  <w:style w:type="character" w:customStyle="1" w:styleId="newstext">
    <w:name w:val="news_text"/>
    <w:rsid w:val="005150E5"/>
  </w:style>
  <w:style w:type="table" w:customStyle="1" w:styleId="TableGrid43">
    <w:name w:val="Table Grid43"/>
    <w:basedOn w:val="TableNormal"/>
    <w:next w:val="TableGrid"/>
    <w:rsid w:val="005150E5"/>
    <w:pPr>
      <w:spacing w:after="200"/>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5150E5"/>
    <w:rPr>
      <w:rFonts w:ascii="Sylfaen" w:hAnsi="Sylfaen" w:cs="Sylfaen"/>
      <w:color w:val="000000"/>
      <w:sz w:val="24"/>
      <w:szCs w:val="24"/>
    </w:rPr>
  </w:style>
  <w:style w:type="table" w:customStyle="1" w:styleId="GridTable1Light-Accent51">
    <w:name w:val="Grid Table 1 Light - Accent 51"/>
    <w:basedOn w:val="TableNormal"/>
    <w:uiPriority w:val="46"/>
    <w:rsid w:val="005150E5"/>
    <w:pPr>
      <w:spacing w:after="200"/>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5150E5"/>
    <w:pPr>
      <w:spacing w:after="200"/>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
    <w:name w:val="Grid Table 4 - Accent 111"/>
    <w:basedOn w:val="TableNormal"/>
    <w:uiPriority w:val="49"/>
    <w:rsid w:val="005150E5"/>
    <w:pPr>
      <w:spacing w:after="200"/>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lid-translation">
    <w:name w:val="tlid-translation"/>
    <w:rsid w:val="005150E5"/>
  </w:style>
  <w:style w:type="numbering" w:customStyle="1" w:styleId="NoList103">
    <w:name w:val="No List103"/>
    <w:next w:val="NoList"/>
    <w:uiPriority w:val="99"/>
    <w:semiHidden/>
    <w:unhideWhenUsed/>
    <w:rsid w:val="005150E5"/>
  </w:style>
  <w:style w:type="table" w:customStyle="1" w:styleId="TableGrid530">
    <w:name w:val="Table Grid53"/>
    <w:basedOn w:val="TableNormal"/>
    <w:next w:val="TableGrid"/>
    <w:uiPriority w:val="39"/>
    <w:rsid w:val="005150E5"/>
    <w:pPr>
      <w:spacing w:after="20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2">
    <w:name w:val="Table List 7112"/>
    <w:basedOn w:val="TableNormal"/>
    <w:next w:val="TableList7"/>
    <w:rsid w:val="005150E5"/>
    <w:pPr>
      <w:spacing w:after="200"/>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2">
    <w:name w:val="Table Web 3112"/>
    <w:basedOn w:val="TableNormal"/>
    <w:next w:val="TableWeb3"/>
    <w:rsid w:val="005150E5"/>
    <w:pPr>
      <w:spacing w:after="200"/>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2">
    <w:name w:val="Table Elegant112"/>
    <w:basedOn w:val="TableNormal"/>
    <w:next w:val="TableElegant"/>
    <w:rsid w:val="005150E5"/>
    <w:pPr>
      <w:spacing w:after="200"/>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3">
    <w:name w:val="Table Web 223"/>
    <w:basedOn w:val="TableNormal"/>
    <w:next w:val="TableWeb2"/>
    <w:rsid w:val="005150E5"/>
    <w:pPr>
      <w:spacing w:after="200"/>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3">
    <w:name w:val="Table Web 123"/>
    <w:basedOn w:val="TableNormal"/>
    <w:next w:val="TableWeb1"/>
    <w:rsid w:val="005150E5"/>
    <w:pPr>
      <w:spacing w:after="200"/>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3">
    <w:name w:val="Table Grid 823"/>
    <w:basedOn w:val="TableNormal"/>
    <w:next w:val="TableGrid8"/>
    <w:rsid w:val="005150E5"/>
    <w:pPr>
      <w:spacing w:after="200"/>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3">
    <w:name w:val="Table Contemporary23"/>
    <w:basedOn w:val="TableNormal"/>
    <w:next w:val="TableContemporary"/>
    <w:rsid w:val="005150E5"/>
    <w:pPr>
      <w:spacing w:after="200"/>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3">
    <w:name w:val="No List143"/>
    <w:next w:val="NoList"/>
    <w:semiHidden/>
    <w:unhideWhenUsed/>
    <w:rsid w:val="005150E5"/>
  </w:style>
  <w:style w:type="numbering" w:customStyle="1" w:styleId="NoList223">
    <w:name w:val="No List223"/>
    <w:next w:val="NoList"/>
    <w:semiHidden/>
    <w:unhideWhenUsed/>
    <w:rsid w:val="005150E5"/>
  </w:style>
  <w:style w:type="numbering" w:customStyle="1" w:styleId="NoList323">
    <w:name w:val="No List323"/>
    <w:next w:val="NoList"/>
    <w:semiHidden/>
    <w:unhideWhenUsed/>
    <w:rsid w:val="005150E5"/>
  </w:style>
  <w:style w:type="table" w:customStyle="1" w:styleId="LightList-Accent126">
    <w:name w:val="Light List - Accent 126"/>
    <w:basedOn w:val="TableNormal"/>
    <w:uiPriority w:val="61"/>
    <w:rsid w:val="005150E5"/>
    <w:pPr>
      <w:spacing w:after="200"/>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2">
    <w:name w:val="Table Grid 7112"/>
    <w:basedOn w:val="TableNormal"/>
    <w:next w:val="TableGrid7"/>
    <w:rsid w:val="005150E5"/>
    <w:pPr>
      <w:spacing w:after="200"/>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3">
    <w:name w:val="Colorful Grid - Accent 133"/>
    <w:basedOn w:val="TableNormal"/>
    <w:next w:val="ColorfulGrid-Accent1"/>
    <w:uiPriority w:val="73"/>
    <w:rsid w:val="005150E5"/>
    <w:pPr>
      <w:spacing w:after="200"/>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3">
    <w:name w:val="Light List - Accent 533"/>
    <w:basedOn w:val="TableNormal"/>
    <w:next w:val="LightList-Accent5"/>
    <w:uiPriority w:val="61"/>
    <w:rsid w:val="005150E5"/>
    <w:pPr>
      <w:spacing w:after="200"/>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2">
    <w:name w:val="Table Simple 3112"/>
    <w:basedOn w:val="TableNormal"/>
    <w:next w:val="TableSimple3"/>
    <w:rsid w:val="005150E5"/>
    <w:pPr>
      <w:spacing w:after="200"/>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2">
    <w:name w:val="Table Grid 5112"/>
    <w:basedOn w:val="TableNormal"/>
    <w:next w:val="TableGrid5"/>
    <w:rsid w:val="005150E5"/>
    <w:pPr>
      <w:spacing w:after="200"/>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2">
    <w:name w:val="Table Grid 3112"/>
    <w:basedOn w:val="TableNormal"/>
    <w:next w:val="TableGrid3"/>
    <w:rsid w:val="005150E5"/>
    <w:pPr>
      <w:spacing w:after="200"/>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2">
    <w:name w:val="Table Grid 1112"/>
    <w:basedOn w:val="TableNormal"/>
    <w:next w:val="TableGrid10"/>
    <w:rsid w:val="005150E5"/>
    <w:pPr>
      <w:spacing w:after="200"/>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2">
    <w:name w:val="Table Columns 5112"/>
    <w:basedOn w:val="TableNormal"/>
    <w:next w:val="TableColumns5"/>
    <w:rsid w:val="005150E5"/>
    <w:pPr>
      <w:spacing w:after="200"/>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4">
    <w:name w:val="Light List - Accent 1114"/>
    <w:basedOn w:val="TableNormal"/>
    <w:uiPriority w:val="61"/>
    <w:rsid w:val="005150E5"/>
    <w:pPr>
      <w:spacing w:after="200"/>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30">
    <w:name w:val="Нет списка133"/>
    <w:next w:val="NoList"/>
    <w:semiHidden/>
    <w:unhideWhenUsed/>
    <w:rsid w:val="005150E5"/>
  </w:style>
  <w:style w:type="table" w:customStyle="1" w:styleId="ColorfulGrid-Accent1113">
    <w:name w:val="Colorful Grid - Accent 1113"/>
    <w:basedOn w:val="TableNormal"/>
    <w:rsid w:val="005150E5"/>
    <w:pPr>
      <w:spacing w:after="200"/>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3">
    <w:name w:val="Light List - Accent 5113"/>
    <w:basedOn w:val="TableNormal"/>
    <w:rsid w:val="005150E5"/>
    <w:pPr>
      <w:spacing w:after="200"/>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3">
    <w:name w:val="No List423"/>
    <w:next w:val="NoList"/>
    <w:semiHidden/>
    <w:rsid w:val="005150E5"/>
  </w:style>
  <w:style w:type="numbering" w:customStyle="1" w:styleId="NoList1125">
    <w:name w:val="No List1125"/>
    <w:next w:val="NoList"/>
    <w:semiHidden/>
    <w:unhideWhenUsed/>
    <w:rsid w:val="005150E5"/>
  </w:style>
  <w:style w:type="table" w:customStyle="1" w:styleId="Table3Deffects3112">
    <w:name w:val="Table 3D effects 3112"/>
    <w:basedOn w:val="TableNormal"/>
    <w:next w:val="Table3Deffects3"/>
    <w:rsid w:val="005150E5"/>
    <w:pPr>
      <w:spacing w:after="200"/>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3">
    <w:name w:val="Нет списка1123"/>
    <w:next w:val="NoList"/>
    <w:semiHidden/>
    <w:unhideWhenUsed/>
    <w:rsid w:val="005150E5"/>
  </w:style>
  <w:style w:type="table" w:customStyle="1" w:styleId="TableGrid11120">
    <w:name w:val="Table Grid1112"/>
    <w:basedOn w:val="TableNormal"/>
    <w:next w:val="TableGrid"/>
    <w:uiPriority w:val="39"/>
    <w:rsid w:val="005150E5"/>
    <w:pPr>
      <w:spacing w:after="200"/>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
    <w:name w:val="No List513"/>
    <w:next w:val="NoList"/>
    <w:uiPriority w:val="99"/>
    <w:semiHidden/>
    <w:rsid w:val="005150E5"/>
  </w:style>
  <w:style w:type="numbering" w:customStyle="1" w:styleId="NoList612">
    <w:name w:val="No List612"/>
    <w:next w:val="NoList"/>
    <w:uiPriority w:val="99"/>
    <w:semiHidden/>
    <w:unhideWhenUsed/>
    <w:rsid w:val="005150E5"/>
  </w:style>
  <w:style w:type="table" w:customStyle="1" w:styleId="TableGrid213">
    <w:name w:val="Table Grid213"/>
    <w:basedOn w:val="TableNormal"/>
    <w:next w:val="TableGrid"/>
    <w:rsid w:val="005150E5"/>
    <w:pPr>
      <w:spacing w:after="200"/>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2">
    <w:name w:val="No List712"/>
    <w:next w:val="NoList"/>
    <w:uiPriority w:val="99"/>
    <w:semiHidden/>
    <w:unhideWhenUsed/>
    <w:rsid w:val="005150E5"/>
  </w:style>
  <w:style w:type="numbering" w:customStyle="1" w:styleId="NoList1213">
    <w:name w:val="No List1213"/>
    <w:next w:val="NoList"/>
    <w:uiPriority w:val="99"/>
    <w:semiHidden/>
    <w:unhideWhenUsed/>
    <w:rsid w:val="005150E5"/>
  </w:style>
  <w:style w:type="table" w:customStyle="1" w:styleId="TableGrid3120">
    <w:name w:val="Table Grid312"/>
    <w:basedOn w:val="TableNormal"/>
    <w:next w:val="TableGrid"/>
    <w:rsid w:val="005150E5"/>
    <w:pPr>
      <w:spacing w:after="20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
    <w:name w:val="Table Web 2112"/>
    <w:basedOn w:val="TableNormal"/>
    <w:next w:val="TableWeb2"/>
    <w:rsid w:val="005150E5"/>
    <w:pPr>
      <w:spacing w:after="200"/>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
    <w:name w:val="Table Web 1112"/>
    <w:basedOn w:val="TableNormal"/>
    <w:next w:val="TableWeb1"/>
    <w:rsid w:val="005150E5"/>
    <w:pPr>
      <w:spacing w:after="200"/>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
    <w:name w:val="Table Grid 8112"/>
    <w:basedOn w:val="TableNormal"/>
    <w:next w:val="TableGrid8"/>
    <w:rsid w:val="005150E5"/>
    <w:pPr>
      <w:spacing w:after="200"/>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
    <w:name w:val="Table Contemporary112"/>
    <w:basedOn w:val="TableNormal"/>
    <w:next w:val="TableContemporary"/>
    <w:rsid w:val="005150E5"/>
    <w:pPr>
      <w:spacing w:after="200"/>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
    <w:name w:val="Colorful Grid - Accent 1212"/>
    <w:basedOn w:val="TableNormal"/>
    <w:next w:val="ColorfulGrid-Accent1"/>
    <w:uiPriority w:val="73"/>
    <w:rsid w:val="005150E5"/>
    <w:pPr>
      <w:spacing w:after="200"/>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
    <w:name w:val="Light List - Accent 5212"/>
    <w:basedOn w:val="TableNormal"/>
    <w:next w:val="LightList-Accent5"/>
    <w:uiPriority w:val="61"/>
    <w:rsid w:val="005150E5"/>
    <w:pPr>
      <w:spacing w:after="200"/>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
    <w:name w:val="No List812"/>
    <w:next w:val="NoList"/>
    <w:uiPriority w:val="99"/>
    <w:semiHidden/>
    <w:unhideWhenUsed/>
    <w:rsid w:val="005150E5"/>
  </w:style>
  <w:style w:type="numbering" w:customStyle="1" w:styleId="1212">
    <w:name w:val="Нет списка1212"/>
    <w:next w:val="NoList"/>
    <w:semiHidden/>
    <w:unhideWhenUsed/>
    <w:rsid w:val="005150E5"/>
  </w:style>
  <w:style w:type="numbering" w:customStyle="1" w:styleId="NoList1312">
    <w:name w:val="No List1312"/>
    <w:next w:val="NoList"/>
    <w:semiHidden/>
    <w:unhideWhenUsed/>
    <w:rsid w:val="005150E5"/>
  </w:style>
  <w:style w:type="numbering" w:customStyle="1" w:styleId="NoList2113">
    <w:name w:val="No List2113"/>
    <w:next w:val="NoList"/>
    <w:semiHidden/>
    <w:unhideWhenUsed/>
    <w:rsid w:val="005150E5"/>
  </w:style>
  <w:style w:type="numbering" w:customStyle="1" w:styleId="NoList3113">
    <w:name w:val="No List3113"/>
    <w:next w:val="NoList"/>
    <w:semiHidden/>
    <w:unhideWhenUsed/>
    <w:rsid w:val="005150E5"/>
  </w:style>
  <w:style w:type="numbering" w:customStyle="1" w:styleId="11121">
    <w:name w:val="Нет списка11121"/>
    <w:next w:val="NoList"/>
    <w:semiHidden/>
    <w:unhideWhenUsed/>
    <w:rsid w:val="005150E5"/>
  </w:style>
  <w:style w:type="numbering" w:customStyle="1" w:styleId="NoList4112">
    <w:name w:val="No List4112"/>
    <w:next w:val="NoList"/>
    <w:semiHidden/>
    <w:rsid w:val="005150E5"/>
  </w:style>
  <w:style w:type="numbering" w:customStyle="1" w:styleId="NoList111113">
    <w:name w:val="No List111113"/>
    <w:next w:val="NoList"/>
    <w:semiHidden/>
    <w:unhideWhenUsed/>
    <w:rsid w:val="005150E5"/>
  </w:style>
  <w:style w:type="numbering" w:customStyle="1" w:styleId="111111">
    <w:name w:val="Нет списка111111"/>
    <w:next w:val="NoList"/>
    <w:semiHidden/>
    <w:unhideWhenUsed/>
    <w:rsid w:val="005150E5"/>
  </w:style>
  <w:style w:type="paragraph" w:customStyle="1" w:styleId="CharChar37">
    <w:name w:val="Char Char37"/>
    <w:basedOn w:val="Normal"/>
    <w:rsid w:val="005150E5"/>
    <w:pPr>
      <w:spacing w:before="0" w:after="160" w:line="240" w:lineRule="exact"/>
      <w:jc w:val="left"/>
    </w:pPr>
    <w:rPr>
      <w:rFonts w:ascii="Arial" w:hAnsi="Arial" w:cs="Arial"/>
      <w:b w:val="0"/>
      <w:sz w:val="20"/>
      <w:szCs w:val="20"/>
      <w:lang w:val="en-US" w:eastAsia="en-US"/>
    </w:rPr>
  </w:style>
  <w:style w:type="paragraph" w:customStyle="1" w:styleId="BodyText23">
    <w:name w:val="Body Text2"/>
    <w:basedOn w:val="Normal"/>
    <w:rsid w:val="005150E5"/>
    <w:pPr>
      <w:tabs>
        <w:tab w:val="num" w:pos="0"/>
      </w:tabs>
      <w:spacing w:before="0" w:after="240" w:line="240" w:lineRule="auto"/>
    </w:pPr>
    <w:rPr>
      <w:rFonts w:ascii="Times Armenian" w:hAnsi="Times Armenian"/>
      <w:b w:val="0"/>
      <w:sz w:val="24"/>
      <w:lang w:val="en-US"/>
    </w:rPr>
  </w:style>
  <w:style w:type="paragraph" w:customStyle="1" w:styleId="Znak2">
    <w:name w:val="Znak2"/>
    <w:basedOn w:val="Normal"/>
    <w:rsid w:val="005150E5"/>
    <w:pPr>
      <w:tabs>
        <w:tab w:val="left" w:pos="709"/>
      </w:tabs>
      <w:spacing w:before="0" w:line="240" w:lineRule="auto"/>
      <w:jc w:val="left"/>
    </w:pPr>
    <w:rPr>
      <w:rFonts w:ascii="Tahoma" w:hAnsi="Tahoma"/>
      <w:b w:val="0"/>
      <w:sz w:val="24"/>
      <w:lang w:val="pl-PL" w:eastAsia="pl-PL"/>
    </w:rPr>
  </w:style>
  <w:style w:type="paragraph" w:customStyle="1" w:styleId="CharCharCharCharCharCharCharChar2">
    <w:name w:val="Char Char Char Char Char Char Char Char2"/>
    <w:basedOn w:val="Normal"/>
    <w:rsid w:val="005150E5"/>
    <w:pPr>
      <w:spacing w:before="0" w:after="160" w:line="240" w:lineRule="exact"/>
      <w:jc w:val="left"/>
    </w:pPr>
    <w:rPr>
      <w:rFonts w:ascii="Arial" w:hAnsi="Arial" w:cs="Arial"/>
      <w:b w:val="0"/>
      <w:sz w:val="20"/>
      <w:szCs w:val="20"/>
      <w:lang w:val="en-US" w:eastAsia="en-US"/>
    </w:rPr>
  </w:style>
  <w:style w:type="paragraph" w:customStyle="1" w:styleId="CharCharCharCharCharCharCharCharCharCharCharCharCharCharChar5">
    <w:name w:val="Char Char Char Char Знак Char Знак Char Char Char Char Char Char Char Char Char Char5"/>
    <w:basedOn w:val="Normal"/>
    <w:rsid w:val="005150E5"/>
    <w:pPr>
      <w:tabs>
        <w:tab w:val="left" w:pos="709"/>
      </w:tabs>
      <w:spacing w:before="0" w:line="240" w:lineRule="auto"/>
      <w:jc w:val="left"/>
    </w:pPr>
    <w:rPr>
      <w:rFonts w:ascii="Tahoma" w:hAnsi="Tahoma"/>
      <w:b w:val="0"/>
      <w:sz w:val="24"/>
      <w:lang w:val="pl-PL" w:eastAsia="pl-PL"/>
    </w:rPr>
  </w:style>
  <w:style w:type="paragraph" w:customStyle="1" w:styleId="CharCharCharCharCharCharChar2">
    <w:name w:val="Char Char Char Char Char Char Char2"/>
    <w:basedOn w:val="Normal"/>
    <w:rsid w:val="005150E5"/>
    <w:pPr>
      <w:spacing w:before="0" w:after="160" w:line="240" w:lineRule="exact"/>
      <w:jc w:val="left"/>
    </w:pPr>
    <w:rPr>
      <w:rFonts w:ascii="Arial" w:hAnsi="Arial" w:cs="Arial"/>
      <w:b w:val="0"/>
      <w:sz w:val="20"/>
      <w:szCs w:val="20"/>
      <w:lang w:val="en-US" w:eastAsia="en-US"/>
    </w:rPr>
  </w:style>
  <w:style w:type="character" w:customStyle="1" w:styleId="Char2">
    <w:name w:val="Знак Знак Char2"/>
    <w:link w:val="5"/>
    <w:rsid w:val="005150E5"/>
    <w:rPr>
      <w:rFonts w:ascii="Arial" w:hAnsi="Arial" w:cs="Arial"/>
      <w:b/>
    </w:rPr>
  </w:style>
  <w:style w:type="paragraph" w:customStyle="1" w:styleId="CharCharCharCharCharCharCharCharCharChar2">
    <w:name w:val="Char Char Char Char Char Char Char Char Char Char2"/>
    <w:basedOn w:val="Normal"/>
    <w:rsid w:val="005150E5"/>
    <w:pPr>
      <w:spacing w:before="0" w:after="160" w:line="240" w:lineRule="exact"/>
      <w:jc w:val="left"/>
    </w:pPr>
    <w:rPr>
      <w:rFonts w:ascii="Arial" w:hAnsi="Arial" w:cs="Arial"/>
      <w:b w:val="0"/>
      <w:sz w:val="20"/>
      <w:szCs w:val="20"/>
      <w:lang w:val="en-US" w:eastAsia="en-US"/>
    </w:rPr>
  </w:style>
  <w:style w:type="paragraph" w:customStyle="1" w:styleId="CharCharCharCharCharCharCharCharCharCharCharCharChar2">
    <w:name w:val="Char Char Char Char Char Char Char Char Char Char Char Char Char2"/>
    <w:basedOn w:val="Normal"/>
    <w:rsid w:val="005150E5"/>
    <w:pPr>
      <w:spacing w:before="0" w:after="160" w:line="240" w:lineRule="exact"/>
      <w:jc w:val="left"/>
    </w:pPr>
    <w:rPr>
      <w:rFonts w:ascii="Arial" w:hAnsi="Arial" w:cs="Arial"/>
      <w:b w:val="0"/>
      <w:sz w:val="20"/>
      <w:szCs w:val="20"/>
      <w:lang w:val="en-US" w:eastAsia="en-US"/>
    </w:rPr>
  </w:style>
  <w:style w:type="paragraph" w:customStyle="1" w:styleId="1CharChar2">
    <w:name w:val="Знак Знак1 Char Char Знак Знак2"/>
    <w:basedOn w:val="Normal"/>
    <w:rsid w:val="005150E5"/>
    <w:pPr>
      <w:tabs>
        <w:tab w:val="num" w:pos="840"/>
      </w:tabs>
      <w:spacing w:before="0" w:after="160" w:line="240" w:lineRule="exact"/>
      <w:ind w:left="840" w:hanging="360"/>
    </w:pPr>
    <w:rPr>
      <w:rFonts w:ascii="Verdana" w:hAnsi="Verdana"/>
      <w:b w:val="0"/>
      <w:sz w:val="20"/>
      <w:szCs w:val="20"/>
      <w:lang w:eastAsia="en-US"/>
    </w:rPr>
  </w:style>
  <w:style w:type="paragraph" w:customStyle="1" w:styleId="CharCharCharChar2">
    <w:name w:val="Знак Знак Char Char Знак Знак Char Char Знак Знак2"/>
    <w:basedOn w:val="Normal"/>
    <w:autoRedefine/>
    <w:rsid w:val="005150E5"/>
    <w:pPr>
      <w:spacing w:before="0" w:after="160" w:line="240" w:lineRule="exact"/>
      <w:jc w:val="left"/>
    </w:pPr>
    <w:rPr>
      <w:rFonts w:ascii="Times New Roman" w:hAnsi="Times New Roman"/>
      <w:b w:val="0"/>
      <w:sz w:val="28"/>
      <w:szCs w:val="20"/>
      <w:lang w:val="en-US" w:eastAsia="en-US"/>
    </w:rPr>
  </w:style>
  <w:style w:type="paragraph" w:customStyle="1" w:styleId="Char21">
    <w:name w:val="Знак Знак Знак Знак Знак Знак Знак Знак Знак Знак Знак Знак Знак Знак Знак Знак Знак Знак Char Знак Знак2"/>
    <w:basedOn w:val="Normal"/>
    <w:autoRedefine/>
    <w:rsid w:val="005150E5"/>
    <w:pPr>
      <w:spacing w:before="0" w:after="160" w:line="240" w:lineRule="exact"/>
      <w:jc w:val="left"/>
    </w:pPr>
    <w:rPr>
      <w:rFonts w:ascii="Times New Roman" w:hAnsi="Times New Roman"/>
      <w:b w:val="0"/>
      <w:sz w:val="28"/>
      <w:szCs w:val="20"/>
      <w:lang w:val="en-US" w:eastAsia="en-US"/>
    </w:rPr>
  </w:style>
  <w:style w:type="paragraph" w:customStyle="1" w:styleId="CharCharChar21">
    <w:name w:val="Char Char Char Знак2"/>
    <w:basedOn w:val="Normal"/>
    <w:next w:val="Normal"/>
    <w:rsid w:val="005150E5"/>
    <w:pPr>
      <w:spacing w:before="0" w:after="160" w:line="240" w:lineRule="exact"/>
      <w:jc w:val="left"/>
    </w:pPr>
    <w:rPr>
      <w:rFonts w:ascii="Tahoma" w:hAnsi="Tahoma"/>
      <w:b w:val="0"/>
      <w:sz w:val="24"/>
      <w:szCs w:val="20"/>
      <w:lang w:val="en-US" w:eastAsia="en-US"/>
    </w:rPr>
  </w:style>
  <w:style w:type="paragraph" w:customStyle="1" w:styleId="CharCharChar1Char2">
    <w:name w:val="Char Char Char1 Char2"/>
    <w:basedOn w:val="Normal"/>
    <w:rsid w:val="005150E5"/>
    <w:pPr>
      <w:spacing w:before="0" w:after="160" w:line="240" w:lineRule="exact"/>
      <w:jc w:val="left"/>
    </w:pPr>
    <w:rPr>
      <w:rFonts w:ascii="Arial" w:hAnsi="Arial" w:cs="Arial"/>
      <w:b w:val="0"/>
      <w:sz w:val="20"/>
      <w:szCs w:val="20"/>
      <w:lang w:val="en-US" w:eastAsia="en-US"/>
    </w:rPr>
  </w:style>
  <w:style w:type="paragraph" w:customStyle="1" w:styleId="124">
    <w:name w:val="Знак Знак12"/>
    <w:basedOn w:val="Normal"/>
    <w:rsid w:val="005150E5"/>
    <w:pPr>
      <w:spacing w:before="0" w:after="160" w:line="240" w:lineRule="exact"/>
      <w:jc w:val="left"/>
    </w:pPr>
    <w:rPr>
      <w:rFonts w:ascii="Arial" w:eastAsia="MS Mincho" w:hAnsi="Arial" w:cs="Arial"/>
      <w:b w:val="0"/>
      <w:sz w:val="20"/>
      <w:szCs w:val="20"/>
      <w:lang w:val="en-US" w:eastAsia="en-US"/>
    </w:rPr>
  </w:style>
  <w:style w:type="paragraph" w:customStyle="1" w:styleId="CharChar1CharCharChar1Char2">
    <w:name w:val="Char Char1 Char Char Char1 Char2"/>
    <w:basedOn w:val="Normal"/>
    <w:autoRedefine/>
    <w:rsid w:val="005150E5"/>
    <w:pPr>
      <w:spacing w:before="0" w:line="240" w:lineRule="auto"/>
      <w:jc w:val="left"/>
    </w:pPr>
    <w:rPr>
      <w:rFonts w:ascii="Times New Roman" w:eastAsia="SimSun" w:hAnsi="Times New Roman"/>
      <w:b w:val="0"/>
      <w:sz w:val="20"/>
      <w:szCs w:val="20"/>
      <w:lang w:val="en-US"/>
    </w:rPr>
  </w:style>
  <w:style w:type="paragraph" w:customStyle="1" w:styleId="420">
    <w:name w:val="Знак Знак42"/>
    <w:basedOn w:val="Normal"/>
    <w:rsid w:val="005150E5"/>
    <w:pPr>
      <w:tabs>
        <w:tab w:val="left" w:pos="709"/>
      </w:tabs>
      <w:spacing w:before="0" w:line="240" w:lineRule="auto"/>
      <w:jc w:val="left"/>
    </w:pPr>
    <w:rPr>
      <w:rFonts w:ascii="Tahoma" w:hAnsi="Tahoma"/>
      <w:b w:val="0"/>
      <w:sz w:val="24"/>
      <w:lang w:val="pl-PL" w:eastAsia="pl-PL"/>
    </w:rPr>
  </w:style>
  <w:style w:type="paragraph" w:customStyle="1" w:styleId="Char22">
    <w:name w:val="Знак Char Знак2"/>
    <w:basedOn w:val="Normal"/>
    <w:rsid w:val="005150E5"/>
    <w:pPr>
      <w:spacing w:before="0" w:after="160" w:line="240" w:lineRule="exact"/>
      <w:jc w:val="left"/>
    </w:pPr>
    <w:rPr>
      <w:rFonts w:ascii="Arial" w:eastAsia="Batang" w:hAnsi="Arial" w:cs="Arial"/>
      <w:b w:val="0"/>
      <w:sz w:val="20"/>
      <w:szCs w:val="20"/>
      <w:lang w:val="en-US" w:eastAsia="en-US"/>
    </w:rPr>
  </w:style>
  <w:style w:type="paragraph" w:customStyle="1" w:styleId="CharCharCharCharCharChar20">
    <w:name w:val="Знак Знак Char Char Знак Знак Char Char Знак Знак Char Char2"/>
    <w:basedOn w:val="Normal"/>
    <w:autoRedefine/>
    <w:rsid w:val="005150E5"/>
    <w:pPr>
      <w:spacing w:before="0" w:after="160" w:line="240" w:lineRule="exact"/>
      <w:jc w:val="left"/>
    </w:pPr>
    <w:rPr>
      <w:rFonts w:ascii="Times New Roman" w:hAnsi="Times New Roman"/>
      <w:b w:val="0"/>
      <w:sz w:val="28"/>
      <w:szCs w:val="20"/>
      <w:lang w:val="en-US" w:eastAsia="en-US"/>
    </w:rPr>
  </w:style>
  <w:style w:type="paragraph" w:customStyle="1" w:styleId="220">
    <w:name w:val="Знак Знак22"/>
    <w:basedOn w:val="Normal"/>
    <w:rsid w:val="005150E5"/>
    <w:pPr>
      <w:spacing w:before="0" w:after="160" w:line="240" w:lineRule="exact"/>
      <w:jc w:val="left"/>
    </w:pPr>
    <w:rPr>
      <w:rFonts w:ascii="Arial" w:hAnsi="Arial" w:cs="Arial"/>
      <w:b w:val="0"/>
      <w:sz w:val="20"/>
      <w:szCs w:val="20"/>
      <w:lang w:val="en-US" w:eastAsia="en-US"/>
    </w:rPr>
  </w:style>
  <w:style w:type="paragraph" w:customStyle="1" w:styleId="CharCharCharCharChar20">
    <w:name w:val="Char Char Char Char Char2"/>
    <w:basedOn w:val="Normal"/>
    <w:rsid w:val="005150E5"/>
    <w:pPr>
      <w:spacing w:before="0" w:after="160" w:line="240" w:lineRule="exact"/>
      <w:jc w:val="left"/>
    </w:pPr>
    <w:rPr>
      <w:rFonts w:ascii="Arial" w:hAnsi="Arial" w:cs="Arial"/>
      <w:b w:val="0"/>
      <w:sz w:val="20"/>
      <w:szCs w:val="20"/>
      <w:lang w:val="en-US" w:eastAsia="en-US"/>
    </w:rPr>
  </w:style>
  <w:style w:type="character" w:customStyle="1" w:styleId="CharChar52">
    <w:name w:val="Char Char52"/>
    <w:rsid w:val="005150E5"/>
    <w:rPr>
      <w:rFonts w:ascii="Arial Armenian" w:hAnsi="Arial Armenian" w:cs="Sylfaen"/>
      <w:sz w:val="24"/>
      <w:szCs w:val="24"/>
      <w:lang w:val="ru-RU" w:eastAsia="ru-RU"/>
    </w:rPr>
  </w:style>
  <w:style w:type="paragraph" w:customStyle="1" w:styleId="CharCharCharCharCharChar10">
    <w:name w:val="Char Char Char Char Char Char1"/>
    <w:basedOn w:val="Normal"/>
    <w:rsid w:val="005150E5"/>
    <w:pPr>
      <w:spacing w:before="0" w:after="160" w:line="240" w:lineRule="exact"/>
      <w:jc w:val="left"/>
    </w:pPr>
    <w:rPr>
      <w:rFonts w:ascii="Arial" w:hAnsi="Arial" w:cs="Arial"/>
      <w:b w:val="0"/>
      <w:sz w:val="20"/>
      <w:szCs w:val="20"/>
      <w:lang w:val="en-US" w:eastAsia="en-US"/>
    </w:rPr>
  </w:style>
  <w:style w:type="paragraph" w:customStyle="1" w:styleId="CharChar110">
    <w:name w:val="Char Char110"/>
    <w:basedOn w:val="Normal"/>
    <w:rsid w:val="005150E5"/>
    <w:pPr>
      <w:spacing w:before="0" w:after="160" w:line="240" w:lineRule="exact"/>
      <w:jc w:val="left"/>
    </w:pPr>
    <w:rPr>
      <w:rFonts w:ascii="Arial" w:hAnsi="Arial" w:cs="Arial"/>
      <w:b w:val="0"/>
      <w:sz w:val="20"/>
      <w:szCs w:val="20"/>
      <w:lang w:val="en-US" w:eastAsia="en-US"/>
    </w:rPr>
  </w:style>
  <w:style w:type="paragraph" w:customStyle="1" w:styleId="2d">
    <w:name w:val="Знак2"/>
    <w:basedOn w:val="Normal"/>
    <w:rsid w:val="005150E5"/>
    <w:pPr>
      <w:spacing w:before="0" w:after="160" w:line="240" w:lineRule="exact"/>
      <w:jc w:val="left"/>
    </w:pPr>
    <w:rPr>
      <w:rFonts w:ascii="Arial" w:hAnsi="Arial" w:cs="Arial"/>
      <w:b w:val="0"/>
      <w:sz w:val="20"/>
      <w:szCs w:val="20"/>
      <w:lang w:val="en-GB" w:eastAsia="en-US"/>
    </w:rPr>
  </w:style>
  <w:style w:type="character" w:customStyle="1" w:styleId="CharChar281">
    <w:name w:val="Char Char281"/>
    <w:rsid w:val="005150E5"/>
    <w:rPr>
      <w:rFonts w:ascii="Arial Armenian" w:hAnsi="Arial Armenian"/>
      <w:i/>
      <w:sz w:val="22"/>
      <w:u w:val="single"/>
      <w:lang w:val="en-GB"/>
    </w:rPr>
  </w:style>
  <w:style w:type="character" w:customStyle="1" w:styleId="CharChar271">
    <w:name w:val="Char Char271"/>
    <w:rsid w:val="005150E5"/>
    <w:rPr>
      <w:rFonts w:ascii="Garamond" w:hAnsi="Garamond"/>
      <w:i/>
      <w:spacing w:val="-5"/>
      <w:sz w:val="28"/>
      <w:shd w:val="pct5" w:color="auto" w:fill="auto"/>
      <w:lang w:val="en-GB"/>
    </w:rPr>
  </w:style>
  <w:style w:type="character" w:customStyle="1" w:styleId="CharChar261">
    <w:name w:val="Char Char261"/>
    <w:rsid w:val="005150E5"/>
    <w:rPr>
      <w:rFonts w:ascii="Arial Black" w:hAnsi="Arial Black"/>
      <w:caps/>
      <w:spacing w:val="60"/>
      <w:position w:val="4"/>
      <w:sz w:val="14"/>
      <w:lang w:val="en-GB"/>
    </w:rPr>
  </w:style>
  <w:style w:type="character" w:customStyle="1" w:styleId="CharChar251">
    <w:name w:val="Char Char251"/>
    <w:rsid w:val="005150E5"/>
    <w:rPr>
      <w:rFonts w:ascii="Garamond" w:hAnsi="Garamond"/>
      <w:b/>
      <w:i/>
      <w:kern w:val="28"/>
      <w:lang w:val="en-GB"/>
    </w:rPr>
  </w:style>
  <w:style w:type="character" w:customStyle="1" w:styleId="CharChar351">
    <w:name w:val="Char Char351"/>
    <w:rsid w:val="005150E5"/>
    <w:rPr>
      <w:rFonts w:ascii="Arial Armenian" w:hAnsi="Arial Armenian"/>
      <w:i/>
      <w:sz w:val="22"/>
      <w:u w:val="single"/>
      <w:lang w:val="en-GB"/>
    </w:rPr>
  </w:style>
  <w:style w:type="character" w:customStyle="1" w:styleId="CharChar341">
    <w:name w:val="Char Char341"/>
    <w:rsid w:val="005150E5"/>
    <w:rPr>
      <w:rFonts w:ascii="Garamond" w:hAnsi="Garamond"/>
      <w:i/>
      <w:spacing w:val="-5"/>
      <w:sz w:val="28"/>
      <w:shd w:val="pct5" w:color="auto" w:fill="auto"/>
      <w:lang w:val="en-GB"/>
    </w:rPr>
  </w:style>
  <w:style w:type="character" w:customStyle="1" w:styleId="CharChar331">
    <w:name w:val="Char Char331"/>
    <w:rsid w:val="005150E5"/>
    <w:rPr>
      <w:rFonts w:ascii="Arial Black" w:hAnsi="Arial Black"/>
      <w:caps/>
      <w:spacing w:val="60"/>
      <w:position w:val="4"/>
      <w:sz w:val="14"/>
      <w:lang w:val="en-GB"/>
    </w:rPr>
  </w:style>
  <w:style w:type="character" w:customStyle="1" w:styleId="CharChar321">
    <w:name w:val="Char Char321"/>
    <w:rsid w:val="005150E5"/>
    <w:rPr>
      <w:rFonts w:ascii="Garamond" w:hAnsi="Garamond"/>
      <w:b/>
      <w:i/>
      <w:kern w:val="28"/>
      <w:lang w:val="en-GB"/>
    </w:rPr>
  </w:style>
  <w:style w:type="character" w:customStyle="1" w:styleId="CharChar311">
    <w:name w:val="Char Char311"/>
    <w:rsid w:val="005150E5"/>
    <w:rPr>
      <w:rFonts w:ascii="Arial Armenian" w:hAnsi="Arial Armenian"/>
      <w:noProof/>
      <w:lang w:val="en-US" w:eastAsia="en-US" w:bidi="ar-SA"/>
    </w:rPr>
  </w:style>
  <w:style w:type="character" w:customStyle="1" w:styleId="CharChar301">
    <w:name w:val="Char Char301"/>
    <w:rsid w:val="005150E5"/>
    <w:rPr>
      <w:rFonts w:ascii="Arial Armenian" w:hAnsi="Arial Armenian"/>
      <w:lang w:val="en-GB" w:eastAsia="en-US" w:bidi="ar-SA"/>
    </w:rPr>
  </w:style>
  <w:style w:type="character" w:customStyle="1" w:styleId="CharChar291">
    <w:name w:val="Char Char291"/>
    <w:rsid w:val="005150E5"/>
    <w:rPr>
      <w:rFonts w:ascii="Arial Armenian" w:hAnsi="Arial Armenian"/>
      <w:lang w:val="ru-RU" w:eastAsia="ru-RU" w:bidi="ar-SA"/>
    </w:rPr>
  </w:style>
  <w:style w:type="paragraph" w:customStyle="1" w:styleId="CharChar5CharCharCharCharCharChar1">
    <w:name w:val="Char Char5 Char Char Char Char Char Char1"/>
    <w:basedOn w:val="Normal"/>
    <w:rsid w:val="005150E5"/>
    <w:pPr>
      <w:tabs>
        <w:tab w:val="left" w:pos="709"/>
      </w:tabs>
      <w:spacing w:before="0" w:line="240" w:lineRule="auto"/>
      <w:jc w:val="left"/>
    </w:pPr>
    <w:rPr>
      <w:rFonts w:ascii="Tahoma" w:hAnsi="Tahoma"/>
      <w:b w:val="0"/>
      <w:sz w:val="24"/>
      <w:lang w:val="pl-PL" w:eastAsia="pl-PL"/>
    </w:rPr>
  </w:style>
  <w:style w:type="paragraph" w:customStyle="1" w:styleId="CharChar5CharCharCharChar1">
    <w:name w:val="Char Char5 Char Char Char Char1"/>
    <w:basedOn w:val="Normal"/>
    <w:rsid w:val="005150E5"/>
    <w:pPr>
      <w:tabs>
        <w:tab w:val="left" w:pos="709"/>
      </w:tabs>
      <w:spacing w:before="0" w:line="240" w:lineRule="auto"/>
      <w:jc w:val="left"/>
    </w:pPr>
    <w:rPr>
      <w:rFonts w:ascii="Tahoma" w:hAnsi="Tahoma"/>
      <w:b w:val="0"/>
      <w:sz w:val="24"/>
      <w:lang w:val="pl-PL" w:eastAsia="pl-PL"/>
    </w:rPr>
  </w:style>
  <w:style w:type="paragraph" w:customStyle="1" w:styleId="CharChar5CharChar1">
    <w:name w:val="Char Char5 Char Char1"/>
    <w:basedOn w:val="Normal"/>
    <w:rsid w:val="005150E5"/>
    <w:pPr>
      <w:tabs>
        <w:tab w:val="left" w:pos="709"/>
      </w:tabs>
      <w:spacing w:before="0" w:line="240" w:lineRule="auto"/>
      <w:jc w:val="left"/>
    </w:pPr>
    <w:rPr>
      <w:rFonts w:ascii="Tahoma" w:hAnsi="Tahoma"/>
      <w:b w:val="0"/>
      <w:sz w:val="24"/>
      <w:lang w:val="pl-PL" w:eastAsia="pl-PL"/>
    </w:rPr>
  </w:style>
  <w:style w:type="character" w:customStyle="1" w:styleId="CharChar61">
    <w:name w:val="Char Char61"/>
    <w:locked/>
    <w:rsid w:val="005150E5"/>
    <w:rPr>
      <w:rFonts w:ascii="Times LatArm" w:eastAsia="Calibri" w:hAnsi="Times LatArm" w:cs="Times LatArm"/>
      <w:sz w:val="22"/>
      <w:szCs w:val="22"/>
      <w:lang w:val="en-GB" w:eastAsia="en-US" w:bidi="ar-SA"/>
    </w:rPr>
  </w:style>
  <w:style w:type="character" w:customStyle="1" w:styleId="CharChar81">
    <w:name w:val="Char Char81"/>
    <w:locked/>
    <w:rsid w:val="005150E5"/>
    <w:rPr>
      <w:rFonts w:ascii="Times Armenian" w:eastAsia="Calibri" w:hAnsi="Times Armenian" w:cs="Times Armenian"/>
      <w:color w:val="993300"/>
      <w:sz w:val="22"/>
      <w:szCs w:val="22"/>
      <w:lang w:val="hy-AM" w:eastAsia="en-US" w:bidi="ar-SA"/>
    </w:rPr>
  </w:style>
  <w:style w:type="character" w:customStyle="1" w:styleId="CharChar71">
    <w:name w:val="Char Char71"/>
    <w:locked/>
    <w:rsid w:val="005150E5"/>
    <w:rPr>
      <w:rFonts w:ascii="Courier New" w:eastAsia="Calibri" w:hAnsi="Courier New" w:cs="Courier New"/>
      <w:lang w:val="en-US" w:eastAsia="en-US" w:bidi="ar-SA"/>
    </w:rPr>
  </w:style>
  <w:style w:type="character" w:customStyle="1" w:styleId="CharChar41">
    <w:name w:val="Char Char41"/>
    <w:locked/>
    <w:rsid w:val="005150E5"/>
    <w:rPr>
      <w:rFonts w:eastAsia="Calibri"/>
      <w:sz w:val="22"/>
      <w:szCs w:val="22"/>
      <w:lang w:val="en-GB" w:eastAsia="en-US" w:bidi="ar-SA"/>
    </w:rPr>
  </w:style>
  <w:style w:type="character" w:customStyle="1" w:styleId="CharChar36">
    <w:name w:val="Char Char36"/>
    <w:locked/>
    <w:rsid w:val="005150E5"/>
    <w:rPr>
      <w:rFonts w:eastAsia="Calibri"/>
      <w:sz w:val="22"/>
      <w:szCs w:val="22"/>
      <w:lang w:val="en-GB" w:eastAsia="en-US" w:bidi="ar-SA"/>
    </w:rPr>
  </w:style>
  <w:style w:type="character" w:customStyle="1" w:styleId="CharChar210">
    <w:name w:val="Char Char210"/>
    <w:locked/>
    <w:rsid w:val="005150E5"/>
    <w:rPr>
      <w:rFonts w:ascii="Times Armenian" w:eastAsia="Calibri" w:hAnsi="Times Armenian" w:cs="Times Armenian"/>
      <w:b/>
      <w:bCs/>
      <w:sz w:val="22"/>
      <w:szCs w:val="22"/>
      <w:lang w:val="en-US" w:eastAsia="en-US" w:bidi="ar-SA"/>
    </w:rPr>
  </w:style>
  <w:style w:type="table" w:customStyle="1" w:styleId="TableGrid63">
    <w:name w:val="Table Grid63"/>
    <w:basedOn w:val="TableNormal"/>
    <w:next w:val="TableGrid"/>
    <w:uiPriority w:val="39"/>
    <w:rsid w:val="005150E5"/>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5150E5"/>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3">
    <w:name w:val="Table Grid223"/>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0">
    <w:name w:val="Table Grid7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 Grid8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150E5"/>
    <w:rPr>
      <w:color w:val="605E5C"/>
      <w:shd w:val="clear" w:color="auto" w:fill="E1DFDD"/>
    </w:rPr>
  </w:style>
  <w:style w:type="table" w:customStyle="1" w:styleId="GridTable1Light-Accent11">
    <w:name w:val="Grid Table 1 Light - Accent 11"/>
    <w:basedOn w:val="TableNormal"/>
    <w:uiPriority w:val="46"/>
    <w:rsid w:val="005150E5"/>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Heading5Char2">
    <w:name w:val="Heading 5 Char2"/>
    <w:basedOn w:val="DefaultParagraphFont"/>
    <w:uiPriority w:val="9"/>
    <w:semiHidden/>
    <w:rsid w:val="005150E5"/>
    <w:rPr>
      <w:rFonts w:ascii="Calibri Light" w:eastAsia="Times New Roman" w:hAnsi="Calibri Light" w:cs="Times New Roman"/>
      <w:color w:val="2E74B5"/>
      <w:sz w:val="24"/>
      <w:szCs w:val="24"/>
    </w:rPr>
  </w:style>
  <w:style w:type="character" w:customStyle="1" w:styleId="Heading6Char2">
    <w:name w:val="Heading 6 Char2"/>
    <w:basedOn w:val="DefaultParagraphFont"/>
    <w:uiPriority w:val="9"/>
    <w:semiHidden/>
    <w:rsid w:val="005150E5"/>
    <w:rPr>
      <w:rFonts w:ascii="Calibri Light" w:eastAsia="Times New Roman" w:hAnsi="Calibri Light" w:cs="Times New Roman"/>
      <w:color w:val="1F4D78"/>
      <w:sz w:val="24"/>
      <w:szCs w:val="24"/>
    </w:rPr>
  </w:style>
  <w:style w:type="character" w:customStyle="1" w:styleId="Heading7Char2">
    <w:name w:val="Heading 7 Char2"/>
    <w:basedOn w:val="DefaultParagraphFont"/>
    <w:uiPriority w:val="9"/>
    <w:semiHidden/>
    <w:rsid w:val="005150E5"/>
    <w:rPr>
      <w:rFonts w:ascii="Calibri Light" w:eastAsia="Times New Roman" w:hAnsi="Calibri Light" w:cs="Times New Roman"/>
      <w:i/>
      <w:iCs/>
      <w:color w:val="1F4D78"/>
      <w:sz w:val="24"/>
      <w:szCs w:val="24"/>
    </w:rPr>
  </w:style>
  <w:style w:type="character" w:customStyle="1" w:styleId="Heading8Char2">
    <w:name w:val="Heading 8 Char2"/>
    <w:basedOn w:val="DefaultParagraphFont"/>
    <w:uiPriority w:val="9"/>
    <w:semiHidden/>
    <w:rsid w:val="005150E5"/>
    <w:rPr>
      <w:rFonts w:ascii="Calibri Light" w:eastAsia="Times New Roman" w:hAnsi="Calibri Light" w:cs="Times New Roman"/>
      <w:color w:val="272727"/>
      <w:sz w:val="21"/>
      <w:szCs w:val="21"/>
    </w:rPr>
  </w:style>
  <w:style w:type="character" w:customStyle="1" w:styleId="Heading9Char2">
    <w:name w:val="Heading 9 Char2"/>
    <w:basedOn w:val="DefaultParagraphFont"/>
    <w:uiPriority w:val="9"/>
    <w:semiHidden/>
    <w:rsid w:val="005150E5"/>
    <w:rPr>
      <w:rFonts w:ascii="Calibri Light" w:eastAsia="Times New Roman" w:hAnsi="Calibri Light" w:cs="Times New Roman"/>
      <w:i/>
      <w:iCs/>
      <w:color w:val="272727"/>
      <w:sz w:val="21"/>
      <w:szCs w:val="21"/>
    </w:rPr>
  </w:style>
  <w:style w:type="character" w:customStyle="1" w:styleId="BodyTextIndent3Char2">
    <w:name w:val="Body Text Indent 3 Char2"/>
    <w:basedOn w:val="DefaultParagraphFont"/>
    <w:uiPriority w:val="99"/>
    <w:rsid w:val="005150E5"/>
    <w:rPr>
      <w:rFonts w:ascii="Times New Roman" w:eastAsia="Times New Roman" w:hAnsi="Times New Roman" w:cs="Times New Roman"/>
      <w:sz w:val="16"/>
      <w:szCs w:val="16"/>
    </w:rPr>
  </w:style>
  <w:style w:type="character" w:customStyle="1" w:styleId="BodyTextIndent2Char2">
    <w:name w:val="Body Text Indent 2 Char2"/>
    <w:basedOn w:val="DefaultParagraphFont"/>
    <w:uiPriority w:val="99"/>
    <w:rsid w:val="005150E5"/>
    <w:rPr>
      <w:rFonts w:ascii="Times New Roman" w:eastAsia="Times New Roman" w:hAnsi="Times New Roman" w:cs="Times New Roman"/>
      <w:sz w:val="24"/>
      <w:szCs w:val="24"/>
    </w:rPr>
  </w:style>
  <w:style w:type="character" w:customStyle="1" w:styleId="BodyText3Char2">
    <w:name w:val="Body Text 3 Char2"/>
    <w:basedOn w:val="DefaultParagraphFont"/>
    <w:uiPriority w:val="99"/>
    <w:rsid w:val="005150E5"/>
    <w:rPr>
      <w:rFonts w:ascii="Times New Roman" w:eastAsia="Times New Roman" w:hAnsi="Times New Roman" w:cs="Times New Roman"/>
      <w:sz w:val="16"/>
      <w:szCs w:val="16"/>
    </w:rPr>
  </w:style>
  <w:style w:type="character" w:customStyle="1" w:styleId="EndnoteTextChar2">
    <w:name w:val="Endnote Text Char2"/>
    <w:basedOn w:val="DefaultParagraphFont"/>
    <w:uiPriority w:val="99"/>
    <w:rsid w:val="005150E5"/>
    <w:rPr>
      <w:rFonts w:ascii="Times New Roman" w:eastAsia="Times New Roman" w:hAnsi="Times New Roman" w:cs="Times New Roman"/>
      <w:sz w:val="20"/>
      <w:szCs w:val="20"/>
    </w:rPr>
  </w:style>
  <w:style w:type="character" w:customStyle="1" w:styleId="TitleChar2">
    <w:name w:val="Title Char2"/>
    <w:basedOn w:val="DefaultParagraphFont"/>
    <w:uiPriority w:val="10"/>
    <w:rsid w:val="005150E5"/>
    <w:rPr>
      <w:rFonts w:ascii="Calibri Light" w:eastAsia="Times New Roman" w:hAnsi="Calibri Light" w:cs="Times New Roman"/>
      <w:spacing w:val="-10"/>
      <w:kern w:val="28"/>
      <w:sz w:val="56"/>
      <w:szCs w:val="56"/>
    </w:rPr>
  </w:style>
  <w:style w:type="character" w:customStyle="1" w:styleId="PlainTextChar2">
    <w:name w:val="Plain Text Char2"/>
    <w:basedOn w:val="DefaultParagraphFont"/>
    <w:uiPriority w:val="99"/>
    <w:rsid w:val="005150E5"/>
    <w:rPr>
      <w:rFonts w:ascii="Consolas" w:eastAsia="Times New Roman" w:hAnsi="Consolas" w:cs="Times New Roman"/>
      <w:sz w:val="21"/>
      <w:szCs w:val="21"/>
    </w:rPr>
  </w:style>
  <w:style w:type="table" w:customStyle="1" w:styleId="TableList78">
    <w:name w:val="Table List 78"/>
    <w:basedOn w:val="TableNormal"/>
    <w:next w:val="TableList7"/>
    <w:uiPriority w:val="99"/>
    <w:semiHidden/>
    <w:unhideWhenUsed/>
    <w:rsid w:val="005150E5"/>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8">
    <w:name w:val="Table Web 38"/>
    <w:basedOn w:val="TableNormal"/>
    <w:next w:val="TableWeb3"/>
    <w:uiPriority w:val="99"/>
    <w:semiHidden/>
    <w:unhideWhenUsed/>
    <w:rsid w:val="005150E5"/>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8">
    <w:name w:val="Table Elegant8"/>
    <w:basedOn w:val="TableNormal"/>
    <w:next w:val="TableElegant"/>
    <w:uiPriority w:val="99"/>
    <w:semiHidden/>
    <w:unhideWhenUsed/>
    <w:rsid w:val="005150E5"/>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ubtitleChar3">
    <w:name w:val="Subtitle Char3"/>
    <w:basedOn w:val="DefaultParagraphFont"/>
    <w:uiPriority w:val="11"/>
    <w:rsid w:val="005150E5"/>
    <w:rPr>
      <w:rFonts w:eastAsia="Times New Roman"/>
      <w:color w:val="5A5A5A"/>
      <w:spacing w:val="15"/>
    </w:rPr>
  </w:style>
  <w:style w:type="table" w:customStyle="1" w:styleId="TableWeb28">
    <w:name w:val="Table Web 28"/>
    <w:basedOn w:val="TableNormal"/>
    <w:next w:val="TableWeb2"/>
    <w:uiPriority w:val="99"/>
    <w:semiHidden/>
    <w:unhideWhenUsed/>
    <w:rsid w:val="005150E5"/>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8">
    <w:name w:val="Table Web 18"/>
    <w:basedOn w:val="TableNormal"/>
    <w:next w:val="TableWeb1"/>
    <w:uiPriority w:val="99"/>
    <w:semiHidden/>
    <w:unhideWhenUsed/>
    <w:rsid w:val="005150E5"/>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BodyTextFirstIndentChar3">
    <w:name w:val="Body Text First Indent Char3"/>
    <w:basedOn w:val="BodyTextChar1"/>
    <w:uiPriority w:val="99"/>
    <w:rsid w:val="005150E5"/>
    <w:rPr>
      <w:rFonts w:ascii="Times New Roman" w:eastAsia="Times New Roman" w:hAnsi="Times New Roman" w:cs="Times New Roman"/>
      <w:sz w:val="24"/>
      <w:szCs w:val="24"/>
    </w:rPr>
  </w:style>
  <w:style w:type="table" w:customStyle="1" w:styleId="TableGrid88">
    <w:name w:val="Table Grid 88"/>
    <w:basedOn w:val="TableNormal"/>
    <w:next w:val="TableGrid8"/>
    <w:uiPriority w:val="99"/>
    <w:semiHidden/>
    <w:unhideWhenUsed/>
    <w:rsid w:val="005150E5"/>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8">
    <w:name w:val="Table Contemporary8"/>
    <w:basedOn w:val="TableNormal"/>
    <w:next w:val="TableContemporary"/>
    <w:uiPriority w:val="99"/>
    <w:semiHidden/>
    <w:unhideWhenUsed/>
    <w:rsid w:val="005150E5"/>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DocumentMapChar2">
    <w:name w:val="Document Map Char2"/>
    <w:basedOn w:val="DefaultParagraphFont"/>
    <w:uiPriority w:val="99"/>
    <w:rsid w:val="005150E5"/>
    <w:rPr>
      <w:rFonts w:ascii="Segoe UI" w:eastAsia="Times New Roman" w:hAnsi="Segoe UI" w:cs="Segoe UI"/>
      <w:sz w:val="16"/>
      <w:szCs w:val="16"/>
    </w:rPr>
  </w:style>
  <w:style w:type="character" w:customStyle="1" w:styleId="QuoteChar1">
    <w:name w:val="Quote Char1"/>
    <w:basedOn w:val="DefaultParagraphFont"/>
    <w:uiPriority w:val="29"/>
    <w:rsid w:val="005150E5"/>
    <w:rPr>
      <w:rFonts w:ascii="Times New Roman" w:eastAsia="Times New Roman" w:hAnsi="Times New Roman" w:cs="Times New Roman"/>
      <w:i/>
      <w:iCs/>
      <w:color w:val="404040"/>
      <w:sz w:val="24"/>
      <w:szCs w:val="24"/>
    </w:rPr>
  </w:style>
  <w:style w:type="table" w:customStyle="1" w:styleId="LightList-Accent127">
    <w:name w:val="Light List - Accent 127"/>
    <w:basedOn w:val="TableNormal"/>
    <w:next w:val="LightList-Accent1"/>
    <w:uiPriority w:val="61"/>
    <w:semiHidden/>
    <w:unhideWhenUsed/>
    <w:rsid w:val="005150E5"/>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8">
    <w:name w:val="Table Grid 78"/>
    <w:basedOn w:val="TableNormal"/>
    <w:next w:val="TableGrid7"/>
    <w:uiPriority w:val="99"/>
    <w:semiHidden/>
    <w:unhideWhenUsed/>
    <w:rsid w:val="005150E5"/>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9">
    <w:name w:val="Colorful Grid - Accent 19"/>
    <w:basedOn w:val="TableNormal"/>
    <w:next w:val="ColorfulGrid-Accent1"/>
    <w:uiPriority w:val="73"/>
    <w:semiHidden/>
    <w:unhideWhenUsed/>
    <w:rsid w:val="005150E5"/>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10">
    <w:name w:val="Light List - Accent 510"/>
    <w:basedOn w:val="TableNormal"/>
    <w:next w:val="LightList-Accent5"/>
    <w:uiPriority w:val="61"/>
    <w:semiHidden/>
    <w:unhideWhenUsed/>
    <w:rsid w:val="005150E5"/>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8">
    <w:name w:val="Table Simple 38"/>
    <w:basedOn w:val="TableNormal"/>
    <w:next w:val="TableSimple3"/>
    <w:uiPriority w:val="99"/>
    <w:semiHidden/>
    <w:unhideWhenUsed/>
    <w:rsid w:val="005150E5"/>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8">
    <w:name w:val="Table Grid 58"/>
    <w:basedOn w:val="TableNormal"/>
    <w:next w:val="TableGrid5"/>
    <w:uiPriority w:val="99"/>
    <w:semiHidden/>
    <w:unhideWhenUsed/>
    <w:rsid w:val="005150E5"/>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8">
    <w:name w:val="Table Grid 38"/>
    <w:basedOn w:val="TableNormal"/>
    <w:next w:val="TableGrid3"/>
    <w:uiPriority w:val="99"/>
    <w:semiHidden/>
    <w:unhideWhenUsed/>
    <w:rsid w:val="005150E5"/>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80">
    <w:name w:val="Table Grid 18"/>
    <w:basedOn w:val="TableNormal"/>
    <w:next w:val="TableGrid10"/>
    <w:uiPriority w:val="99"/>
    <w:semiHidden/>
    <w:unhideWhenUsed/>
    <w:rsid w:val="005150E5"/>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8">
    <w:name w:val="Table Columns 58"/>
    <w:basedOn w:val="TableNormal"/>
    <w:next w:val="TableColumns5"/>
    <w:uiPriority w:val="99"/>
    <w:semiHidden/>
    <w:unhideWhenUsed/>
    <w:rsid w:val="005150E5"/>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IntenseQuoteChar1">
    <w:name w:val="Intense Quote Char1"/>
    <w:basedOn w:val="DefaultParagraphFont"/>
    <w:uiPriority w:val="30"/>
    <w:rsid w:val="005150E5"/>
    <w:rPr>
      <w:rFonts w:ascii="Times New Roman" w:eastAsia="Times New Roman" w:hAnsi="Times New Roman" w:cs="Times New Roman"/>
      <w:i/>
      <w:iCs/>
      <w:color w:val="5B9BD5"/>
      <w:sz w:val="24"/>
      <w:szCs w:val="24"/>
    </w:rPr>
  </w:style>
  <w:style w:type="table" w:customStyle="1" w:styleId="Table3Deffects38">
    <w:name w:val="Table 3D effects 38"/>
    <w:basedOn w:val="TableNormal"/>
    <w:next w:val="Table3Deffects3"/>
    <w:uiPriority w:val="99"/>
    <w:semiHidden/>
    <w:unhideWhenUsed/>
    <w:rsid w:val="005150E5"/>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z-TopofFormChar1">
    <w:name w:val="z-Top of Form Char1"/>
    <w:basedOn w:val="DefaultParagraphFont"/>
    <w:uiPriority w:val="99"/>
    <w:semiHidden/>
    <w:rsid w:val="005150E5"/>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5150E5"/>
    <w:rPr>
      <w:rFonts w:ascii="Arial" w:eastAsia="Times New Roman" w:hAnsi="Arial" w:cs="Arial"/>
      <w:vanish/>
      <w:sz w:val="16"/>
      <w:szCs w:val="16"/>
    </w:rPr>
  </w:style>
  <w:style w:type="character" w:customStyle="1" w:styleId="HTMLPreformattedChar1">
    <w:name w:val="HTML Preformatted Char1"/>
    <w:basedOn w:val="DefaultParagraphFont"/>
    <w:uiPriority w:val="99"/>
    <w:rsid w:val="005150E5"/>
    <w:rPr>
      <w:rFonts w:ascii="Consolas" w:eastAsia="Times New Roman" w:hAnsi="Consolas" w:cs="Times New Roman"/>
      <w:sz w:val="20"/>
      <w:szCs w:val="20"/>
    </w:rPr>
  </w:style>
  <w:style w:type="numbering" w:customStyle="1" w:styleId="NoList153">
    <w:name w:val="No List153"/>
    <w:next w:val="NoList"/>
    <w:uiPriority w:val="99"/>
    <w:semiHidden/>
    <w:unhideWhenUsed/>
    <w:rsid w:val="005150E5"/>
  </w:style>
  <w:style w:type="table" w:customStyle="1" w:styleId="TableGrid123">
    <w:name w:val="Table Grid123"/>
    <w:basedOn w:val="TableNormal"/>
    <w:next w:val="TableGrid"/>
    <w:uiPriority w:val="39"/>
    <w:rsid w:val="005150E5"/>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2">
    <w:name w:val="TOC 42"/>
    <w:basedOn w:val="Normal"/>
    <w:next w:val="Normal"/>
    <w:autoRedefine/>
    <w:uiPriority w:val="39"/>
    <w:rsid w:val="005150E5"/>
    <w:pPr>
      <w:spacing w:before="0" w:line="312" w:lineRule="auto"/>
      <w:ind w:left="660"/>
      <w:jc w:val="left"/>
    </w:pPr>
    <w:rPr>
      <w:rFonts w:ascii="Calibri" w:hAnsi="Calibri" w:cs="Calibri"/>
      <w:b w:val="0"/>
      <w:sz w:val="20"/>
      <w:szCs w:val="20"/>
      <w:lang w:val="en-US" w:eastAsia="en-US"/>
    </w:rPr>
  </w:style>
  <w:style w:type="paragraph" w:customStyle="1" w:styleId="TOC52">
    <w:name w:val="TOC 52"/>
    <w:basedOn w:val="Normal"/>
    <w:next w:val="Normal"/>
    <w:autoRedefine/>
    <w:uiPriority w:val="39"/>
    <w:rsid w:val="005150E5"/>
    <w:pPr>
      <w:spacing w:before="0" w:line="312" w:lineRule="auto"/>
      <w:ind w:left="880"/>
      <w:jc w:val="left"/>
    </w:pPr>
    <w:rPr>
      <w:rFonts w:ascii="Calibri" w:hAnsi="Calibri" w:cs="Calibri"/>
      <w:b w:val="0"/>
      <w:sz w:val="20"/>
      <w:szCs w:val="20"/>
      <w:lang w:val="en-US" w:eastAsia="en-US"/>
    </w:rPr>
  </w:style>
  <w:style w:type="paragraph" w:customStyle="1" w:styleId="TOC62">
    <w:name w:val="TOC 62"/>
    <w:basedOn w:val="Normal"/>
    <w:next w:val="Normal"/>
    <w:autoRedefine/>
    <w:uiPriority w:val="39"/>
    <w:rsid w:val="005150E5"/>
    <w:pPr>
      <w:spacing w:before="0" w:line="312" w:lineRule="auto"/>
      <w:ind w:left="1100"/>
      <w:jc w:val="left"/>
    </w:pPr>
    <w:rPr>
      <w:rFonts w:ascii="Calibri" w:hAnsi="Calibri" w:cs="Calibri"/>
      <w:b w:val="0"/>
      <w:sz w:val="20"/>
      <w:szCs w:val="20"/>
      <w:lang w:val="en-US" w:eastAsia="en-US"/>
    </w:rPr>
  </w:style>
  <w:style w:type="paragraph" w:customStyle="1" w:styleId="TOC72">
    <w:name w:val="TOC 72"/>
    <w:basedOn w:val="Normal"/>
    <w:next w:val="Normal"/>
    <w:autoRedefine/>
    <w:uiPriority w:val="39"/>
    <w:rsid w:val="005150E5"/>
    <w:pPr>
      <w:spacing w:before="0" w:line="312" w:lineRule="auto"/>
      <w:ind w:left="1320"/>
      <w:jc w:val="left"/>
    </w:pPr>
    <w:rPr>
      <w:rFonts w:ascii="Calibri" w:hAnsi="Calibri" w:cs="Calibri"/>
      <w:b w:val="0"/>
      <w:sz w:val="20"/>
      <w:szCs w:val="20"/>
      <w:lang w:val="en-US" w:eastAsia="en-US"/>
    </w:rPr>
  </w:style>
  <w:style w:type="paragraph" w:customStyle="1" w:styleId="TOC82">
    <w:name w:val="TOC 82"/>
    <w:basedOn w:val="Normal"/>
    <w:next w:val="Normal"/>
    <w:autoRedefine/>
    <w:uiPriority w:val="39"/>
    <w:rsid w:val="005150E5"/>
    <w:pPr>
      <w:spacing w:before="0" w:line="312" w:lineRule="auto"/>
      <w:ind w:left="1540"/>
      <w:jc w:val="left"/>
    </w:pPr>
    <w:rPr>
      <w:rFonts w:ascii="Calibri" w:hAnsi="Calibri" w:cs="Calibri"/>
      <w:b w:val="0"/>
      <w:sz w:val="20"/>
      <w:szCs w:val="20"/>
      <w:lang w:val="en-US" w:eastAsia="en-US"/>
    </w:rPr>
  </w:style>
  <w:style w:type="paragraph" w:customStyle="1" w:styleId="TOC92">
    <w:name w:val="TOC 92"/>
    <w:basedOn w:val="Normal"/>
    <w:next w:val="Normal"/>
    <w:autoRedefine/>
    <w:uiPriority w:val="39"/>
    <w:rsid w:val="005150E5"/>
    <w:pPr>
      <w:spacing w:before="0" w:line="312" w:lineRule="auto"/>
      <w:ind w:left="1760"/>
      <w:jc w:val="left"/>
    </w:pPr>
    <w:rPr>
      <w:rFonts w:ascii="Calibri" w:hAnsi="Calibri" w:cs="Calibri"/>
      <w:b w:val="0"/>
      <w:sz w:val="20"/>
      <w:szCs w:val="20"/>
      <w:lang w:val="en-US" w:eastAsia="en-US"/>
    </w:rPr>
  </w:style>
  <w:style w:type="table" w:customStyle="1" w:styleId="TableList723">
    <w:name w:val="Table List 723"/>
    <w:basedOn w:val="TableNormal"/>
    <w:next w:val="TableList7"/>
    <w:rsid w:val="005150E5"/>
    <w:pPr>
      <w:spacing w:after="200"/>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3">
    <w:name w:val="Table Web 323"/>
    <w:basedOn w:val="TableNormal"/>
    <w:next w:val="TableWeb3"/>
    <w:rsid w:val="005150E5"/>
    <w:pPr>
      <w:spacing w:after="200"/>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3">
    <w:name w:val="Table Elegant23"/>
    <w:basedOn w:val="TableNormal"/>
    <w:next w:val="TableElegant"/>
    <w:rsid w:val="005150E5"/>
    <w:pPr>
      <w:spacing w:after="200"/>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3">
    <w:name w:val="Table Web 233"/>
    <w:basedOn w:val="TableNormal"/>
    <w:next w:val="TableWeb2"/>
    <w:rsid w:val="005150E5"/>
    <w:pPr>
      <w:spacing w:after="200"/>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3">
    <w:name w:val="Table Web 133"/>
    <w:basedOn w:val="TableNormal"/>
    <w:next w:val="TableWeb1"/>
    <w:rsid w:val="005150E5"/>
    <w:pPr>
      <w:spacing w:after="200"/>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3">
    <w:name w:val="Table Grid 833"/>
    <w:basedOn w:val="TableNormal"/>
    <w:next w:val="TableGrid8"/>
    <w:rsid w:val="005150E5"/>
    <w:pPr>
      <w:spacing w:after="200"/>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3">
    <w:name w:val="Table Contemporary33"/>
    <w:basedOn w:val="TableNormal"/>
    <w:next w:val="TableContemporary"/>
    <w:rsid w:val="005150E5"/>
    <w:pPr>
      <w:spacing w:after="200"/>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63">
    <w:name w:val="No List163"/>
    <w:next w:val="NoList"/>
    <w:semiHidden/>
    <w:unhideWhenUsed/>
    <w:rsid w:val="005150E5"/>
  </w:style>
  <w:style w:type="numbering" w:customStyle="1" w:styleId="NoList233">
    <w:name w:val="No List233"/>
    <w:next w:val="NoList"/>
    <w:semiHidden/>
    <w:unhideWhenUsed/>
    <w:rsid w:val="005150E5"/>
  </w:style>
  <w:style w:type="numbering" w:customStyle="1" w:styleId="NoList333">
    <w:name w:val="No List333"/>
    <w:next w:val="NoList"/>
    <w:semiHidden/>
    <w:unhideWhenUsed/>
    <w:rsid w:val="005150E5"/>
  </w:style>
  <w:style w:type="table" w:customStyle="1" w:styleId="LightList-Accent133">
    <w:name w:val="Light List - Accent 133"/>
    <w:basedOn w:val="TableNormal"/>
    <w:next w:val="LightList-Accent1"/>
    <w:uiPriority w:val="61"/>
    <w:rsid w:val="005150E5"/>
    <w:pPr>
      <w:spacing w:after="200"/>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3">
    <w:name w:val="Table Grid 723"/>
    <w:basedOn w:val="TableNormal"/>
    <w:next w:val="TableGrid7"/>
    <w:rsid w:val="005150E5"/>
    <w:pPr>
      <w:spacing w:after="200"/>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3">
    <w:name w:val="Colorful Grid - Accent 143"/>
    <w:basedOn w:val="TableNormal"/>
    <w:next w:val="ColorfulGrid-Accent1"/>
    <w:uiPriority w:val="73"/>
    <w:rsid w:val="005150E5"/>
    <w:pPr>
      <w:spacing w:after="200"/>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3">
    <w:name w:val="Light List - Accent 543"/>
    <w:basedOn w:val="TableNormal"/>
    <w:next w:val="LightList-Accent5"/>
    <w:uiPriority w:val="61"/>
    <w:rsid w:val="005150E5"/>
    <w:pPr>
      <w:spacing w:after="200"/>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3">
    <w:name w:val="Table Simple 323"/>
    <w:basedOn w:val="TableNormal"/>
    <w:next w:val="TableSimple3"/>
    <w:rsid w:val="005150E5"/>
    <w:pPr>
      <w:spacing w:after="200"/>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3">
    <w:name w:val="Table Grid 523"/>
    <w:basedOn w:val="TableNormal"/>
    <w:next w:val="TableGrid5"/>
    <w:rsid w:val="005150E5"/>
    <w:pPr>
      <w:spacing w:after="200"/>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3">
    <w:name w:val="Table Grid 323"/>
    <w:basedOn w:val="TableNormal"/>
    <w:next w:val="TableGrid3"/>
    <w:rsid w:val="005150E5"/>
    <w:pPr>
      <w:spacing w:after="200"/>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30">
    <w:name w:val="Table Grid 123"/>
    <w:basedOn w:val="TableNormal"/>
    <w:next w:val="TableGrid10"/>
    <w:rsid w:val="005150E5"/>
    <w:pPr>
      <w:spacing w:after="200"/>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3">
    <w:name w:val="Table Columns 523"/>
    <w:basedOn w:val="TableNormal"/>
    <w:next w:val="TableColumns5"/>
    <w:rsid w:val="005150E5"/>
    <w:pPr>
      <w:spacing w:after="200"/>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3">
    <w:name w:val="Light List - Accent 1123"/>
    <w:basedOn w:val="TableNormal"/>
    <w:uiPriority w:val="61"/>
    <w:rsid w:val="005150E5"/>
    <w:pPr>
      <w:spacing w:after="200"/>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3">
    <w:name w:val="Нет списка143"/>
    <w:next w:val="NoList"/>
    <w:semiHidden/>
    <w:unhideWhenUsed/>
    <w:rsid w:val="005150E5"/>
  </w:style>
  <w:style w:type="table" w:customStyle="1" w:styleId="ColorfulGrid-Accent1123">
    <w:name w:val="Colorful Grid - Accent 1123"/>
    <w:basedOn w:val="TableNormal"/>
    <w:rsid w:val="005150E5"/>
    <w:pPr>
      <w:spacing w:after="200"/>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3">
    <w:name w:val="Light List - Accent 5123"/>
    <w:basedOn w:val="TableNormal"/>
    <w:rsid w:val="005150E5"/>
    <w:pPr>
      <w:spacing w:after="200"/>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3">
    <w:name w:val="No List433"/>
    <w:next w:val="NoList"/>
    <w:semiHidden/>
    <w:rsid w:val="005150E5"/>
  </w:style>
  <w:style w:type="numbering" w:customStyle="1" w:styleId="NoList1133">
    <w:name w:val="No List1133"/>
    <w:next w:val="NoList"/>
    <w:semiHidden/>
    <w:unhideWhenUsed/>
    <w:rsid w:val="005150E5"/>
  </w:style>
  <w:style w:type="table" w:customStyle="1" w:styleId="Table3Deffects323">
    <w:name w:val="Table 3D effects 323"/>
    <w:basedOn w:val="TableNormal"/>
    <w:next w:val="Table3Deffects3"/>
    <w:rsid w:val="005150E5"/>
    <w:pPr>
      <w:spacing w:after="200"/>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NoList"/>
    <w:semiHidden/>
    <w:unhideWhenUsed/>
    <w:rsid w:val="005150E5"/>
  </w:style>
  <w:style w:type="table" w:customStyle="1" w:styleId="TableGrid133">
    <w:name w:val="Table Grid133"/>
    <w:basedOn w:val="TableNormal"/>
    <w:next w:val="TableGrid"/>
    <w:rsid w:val="005150E5"/>
    <w:pPr>
      <w:spacing w:after="200"/>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3">
    <w:name w:val="No List523"/>
    <w:next w:val="NoList"/>
    <w:uiPriority w:val="99"/>
    <w:semiHidden/>
    <w:rsid w:val="005150E5"/>
  </w:style>
  <w:style w:type="numbering" w:customStyle="1" w:styleId="NoList621">
    <w:name w:val="No List621"/>
    <w:next w:val="NoList"/>
    <w:uiPriority w:val="99"/>
    <w:semiHidden/>
    <w:unhideWhenUsed/>
    <w:rsid w:val="005150E5"/>
  </w:style>
  <w:style w:type="table" w:customStyle="1" w:styleId="TableGrid232">
    <w:name w:val="Table Grid232"/>
    <w:basedOn w:val="TableNormal"/>
    <w:next w:val="TableGrid"/>
    <w:rsid w:val="005150E5"/>
    <w:pPr>
      <w:spacing w:after="200"/>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1">
    <w:name w:val="No List721"/>
    <w:next w:val="NoList"/>
    <w:uiPriority w:val="99"/>
    <w:semiHidden/>
    <w:unhideWhenUsed/>
    <w:rsid w:val="005150E5"/>
  </w:style>
  <w:style w:type="numbering" w:customStyle="1" w:styleId="NoList1223">
    <w:name w:val="No List1223"/>
    <w:next w:val="NoList"/>
    <w:uiPriority w:val="99"/>
    <w:semiHidden/>
    <w:unhideWhenUsed/>
    <w:rsid w:val="005150E5"/>
  </w:style>
  <w:style w:type="table" w:customStyle="1" w:styleId="TableGrid3210">
    <w:name w:val="Table Grid321"/>
    <w:basedOn w:val="TableNormal"/>
    <w:next w:val="TableGrid"/>
    <w:rsid w:val="005150E5"/>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1">
    <w:name w:val="Table Web 2121"/>
    <w:basedOn w:val="TableNormal"/>
    <w:next w:val="TableWeb2"/>
    <w:rsid w:val="005150E5"/>
    <w:pPr>
      <w:spacing w:after="200"/>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1">
    <w:name w:val="Table Web 1121"/>
    <w:basedOn w:val="TableNormal"/>
    <w:next w:val="TableWeb1"/>
    <w:rsid w:val="005150E5"/>
    <w:pPr>
      <w:spacing w:after="200"/>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1">
    <w:name w:val="Table Grid 8121"/>
    <w:basedOn w:val="TableNormal"/>
    <w:next w:val="TableGrid8"/>
    <w:rsid w:val="005150E5"/>
    <w:pPr>
      <w:spacing w:after="200"/>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1">
    <w:name w:val="Table Contemporary121"/>
    <w:basedOn w:val="TableNormal"/>
    <w:next w:val="TableContemporary"/>
    <w:rsid w:val="005150E5"/>
    <w:pPr>
      <w:spacing w:after="200"/>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1">
    <w:name w:val="Colorful Grid - Accent 1221"/>
    <w:basedOn w:val="TableNormal"/>
    <w:next w:val="ColorfulGrid-Accent1"/>
    <w:uiPriority w:val="73"/>
    <w:rsid w:val="005150E5"/>
    <w:pPr>
      <w:spacing w:after="200"/>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1">
    <w:name w:val="Light List - Accent 5221"/>
    <w:basedOn w:val="TableNormal"/>
    <w:next w:val="LightList-Accent5"/>
    <w:uiPriority w:val="61"/>
    <w:rsid w:val="005150E5"/>
    <w:pPr>
      <w:spacing w:after="200"/>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1">
    <w:name w:val="No List821"/>
    <w:next w:val="NoList"/>
    <w:uiPriority w:val="99"/>
    <w:semiHidden/>
    <w:unhideWhenUsed/>
    <w:rsid w:val="005150E5"/>
  </w:style>
  <w:style w:type="numbering" w:customStyle="1" w:styleId="1221">
    <w:name w:val="Нет списка1221"/>
    <w:next w:val="NoList"/>
    <w:semiHidden/>
    <w:unhideWhenUsed/>
    <w:rsid w:val="005150E5"/>
  </w:style>
  <w:style w:type="numbering" w:customStyle="1" w:styleId="NoList1321">
    <w:name w:val="No List1321"/>
    <w:next w:val="NoList"/>
    <w:semiHidden/>
    <w:unhideWhenUsed/>
    <w:rsid w:val="005150E5"/>
  </w:style>
  <w:style w:type="numbering" w:customStyle="1" w:styleId="NoList2123">
    <w:name w:val="No List2123"/>
    <w:next w:val="NoList"/>
    <w:semiHidden/>
    <w:unhideWhenUsed/>
    <w:rsid w:val="005150E5"/>
  </w:style>
  <w:style w:type="numbering" w:customStyle="1" w:styleId="NoList3123">
    <w:name w:val="No List3123"/>
    <w:next w:val="NoList"/>
    <w:semiHidden/>
    <w:unhideWhenUsed/>
    <w:rsid w:val="005150E5"/>
  </w:style>
  <w:style w:type="numbering" w:customStyle="1" w:styleId="11131">
    <w:name w:val="Нет списка11131"/>
    <w:next w:val="NoList"/>
    <w:semiHidden/>
    <w:unhideWhenUsed/>
    <w:rsid w:val="005150E5"/>
  </w:style>
  <w:style w:type="numbering" w:customStyle="1" w:styleId="NoList4121">
    <w:name w:val="No List4121"/>
    <w:next w:val="NoList"/>
    <w:semiHidden/>
    <w:rsid w:val="005150E5"/>
  </w:style>
  <w:style w:type="numbering" w:customStyle="1" w:styleId="NoList11123">
    <w:name w:val="No List11123"/>
    <w:next w:val="NoList"/>
    <w:semiHidden/>
    <w:unhideWhenUsed/>
    <w:rsid w:val="005150E5"/>
  </w:style>
  <w:style w:type="numbering" w:customStyle="1" w:styleId="111121">
    <w:name w:val="Нет списка111121"/>
    <w:next w:val="NoList"/>
    <w:semiHidden/>
    <w:unhideWhenUsed/>
    <w:rsid w:val="005150E5"/>
  </w:style>
  <w:style w:type="numbering" w:customStyle="1" w:styleId="NoList912">
    <w:name w:val="No List912"/>
    <w:next w:val="NoList"/>
    <w:uiPriority w:val="99"/>
    <w:semiHidden/>
    <w:unhideWhenUsed/>
    <w:rsid w:val="005150E5"/>
  </w:style>
  <w:style w:type="table" w:customStyle="1" w:styleId="TableGrid421">
    <w:name w:val="Table Grid421"/>
    <w:basedOn w:val="TableNormal"/>
    <w:next w:val="TableGrid"/>
    <w:rsid w:val="005150E5"/>
    <w:pPr>
      <w:spacing w:after="200"/>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
    <w:name w:val="Grid Table 1 Light - Accent 512"/>
    <w:basedOn w:val="TableNormal"/>
    <w:uiPriority w:val="46"/>
    <w:rsid w:val="005150E5"/>
    <w:pPr>
      <w:spacing w:after="200"/>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1">
    <w:name w:val="Plain Table 311"/>
    <w:basedOn w:val="TableNormal"/>
    <w:uiPriority w:val="43"/>
    <w:rsid w:val="005150E5"/>
    <w:pPr>
      <w:spacing w:after="200"/>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NoList1012">
    <w:name w:val="No List1012"/>
    <w:next w:val="NoList"/>
    <w:uiPriority w:val="99"/>
    <w:semiHidden/>
    <w:unhideWhenUsed/>
    <w:rsid w:val="005150E5"/>
  </w:style>
  <w:style w:type="table" w:customStyle="1" w:styleId="TableGrid5120">
    <w:name w:val="Table Grid512"/>
    <w:basedOn w:val="TableNormal"/>
    <w:next w:val="TableGrid"/>
    <w:uiPriority w:val="39"/>
    <w:rsid w:val="005150E5"/>
    <w:pPr>
      <w:spacing w:after="20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1">
    <w:name w:val="Table List 7121"/>
    <w:basedOn w:val="TableNormal"/>
    <w:next w:val="TableList7"/>
    <w:rsid w:val="005150E5"/>
    <w:pPr>
      <w:spacing w:after="200"/>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1">
    <w:name w:val="Table Web 3121"/>
    <w:basedOn w:val="TableNormal"/>
    <w:next w:val="TableWeb3"/>
    <w:rsid w:val="005150E5"/>
    <w:pPr>
      <w:spacing w:after="200"/>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1">
    <w:name w:val="Table Elegant121"/>
    <w:basedOn w:val="TableNormal"/>
    <w:next w:val="TableElegant"/>
    <w:rsid w:val="005150E5"/>
    <w:pPr>
      <w:spacing w:after="200"/>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2">
    <w:name w:val="Table Web 2212"/>
    <w:basedOn w:val="TableNormal"/>
    <w:next w:val="TableWeb2"/>
    <w:rsid w:val="005150E5"/>
    <w:pPr>
      <w:spacing w:after="200"/>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2">
    <w:name w:val="Table Web 1212"/>
    <w:basedOn w:val="TableNormal"/>
    <w:next w:val="TableWeb1"/>
    <w:rsid w:val="005150E5"/>
    <w:pPr>
      <w:spacing w:after="200"/>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2">
    <w:name w:val="Table Grid 8212"/>
    <w:basedOn w:val="TableNormal"/>
    <w:next w:val="TableGrid8"/>
    <w:rsid w:val="005150E5"/>
    <w:pPr>
      <w:spacing w:after="200"/>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2">
    <w:name w:val="Table Contemporary212"/>
    <w:basedOn w:val="TableNormal"/>
    <w:next w:val="TableContemporary"/>
    <w:rsid w:val="005150E5"/>
    <w:pPr>
      <w:spacing w:after="200"/>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2">
    <w:name w:val="No List1412"/>
    <w:next w:val="NoList"/>
    <w:semiHidden/>
    <w:unhideWhenUsed/>
    <w:rsid w:val="005150E5"/>
  </w:style>
  <w:style w:type="numbering" w:customStyle="1" w:styleId="NoList2212">
    <w:name w:val="No List2212"/>
    <w:next w:val="NoList"/>
    <w:semiHidden/>
    <w:unhideWhenUsed/>
    <w:rsid w:val="005150E5"/>
  </w:style>
  <w:style w:type="numbering" w:customStyle="1" w:styleId="NoList3212">
    <w:name w:val="No List3212"/>
    <w:next w:val="NoList"/>
    <w:semiHidden/>
    <w:unhideWhenUsed/>
    <w:rsid w:val="005150E5"/>
  </w:style>
  <w:style w:type="table" w:customStyle="1" w:styleId="LightList-Accent1212">
    <w:name w:val="Light List - Accent 1212"/>
    <w:basedOn w:val="TableNormal"/>
    <w:uiPriority w:val="61"/>
    <w:rsid w:val="005150E5"/>
    <w:pPr>
      <w:spacing w:after="200"/>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1">
    <w:name w:val="Table Grid 7121"/>
    <w:basedOn w:val="TableNormal"/>
    <w:next w:val="TableGrid7"/>
    <w:rsid w:val="005150E5"/>
    <w:pPr>
      <w:spacing w:after="200"/>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2">
    <w:name w:val="Colorful Grid - Accent 1312"/>
    <w:basedOn w:val="TableNormal"/>
    <w:next w:val="ColorfulGrid-Accent1"/>
    <w:uiPriority w:val="73"/>
    <w:rsid w:val="005150E5"/>
    <w:pPr>
      <w:spacing w:after="200"/>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2">
    <w:name w:val="Light List - Accent 5312"/>
    <w:basedOn w:val="TableNormal"/>
    <w:next w:val="LightList-Accent5"/>
    <w:uiPriority w:val="61"/>
    <w:rsid w:val="005150E5"/>
    <w:pPr>
      <w:spacing w:after="200"/>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1">
    <w:name w:val="Table Simple 3121"/>
    <w:basedOn w:val="TableNormal"/>
    <w:next w:val="TableSimple3"/>
    <w:rsid w:val="005150E5"/>
    <w:pPr>
      <w:spacing w:after="200"/>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1">
    <w:name w:val="Table Grid 5121"/>
    <w:basedOn w:val="TableNormal"/>
    <w:next w:val="TableGrid5"/>
    <w:rsid w:val="005150E5"/>
    <w:pPr>
      <w:spacing w:after="200"/>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1">
    <w:name w:val="Table Grid 3121"/>
    <w:basedOn w:val="TableNormal"/>
    <w:next w:val="TableGrid3"/>
    <w:rsid w:val="005150E5"/>
    <w:pPr>
      <w:spacing w:after="200"/>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1">
    <w:name w:val="Table Grid 1121"/>
    <w:basedOn w:val="TableNormal"/>
    <w:next w:val="TableGrid10"/>
    <w:rsid w:val="005150E5"/>
    <w:pPr>
      <w:spacing w:after="200"/>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1">
    <w:name w:val="Table Columns 5121"/>
    <w:basedOn w:val="TableNormal"/>
    <w:next w:val="TableColumns5"/>
    <w:rsid w:val="005150E5"/>
    <w:pPr>
      <w:spacing w:after="200"/>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2">
    <w:name w:val="Light List - Accent 11112"/>
    <w:basedOn w:val="TableNormal"/>
    <w:uiPriority w:val="61"/>
    <w:rsid w:val="005150E5"/>
    <w:pPr>
      <w:spacing w:after="200"/>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2">
    <w:name w:val="Нет списка1312"/>
    <w:next w:val="NoList"/>
    <w:semiHidden/>
    <w:unhideWhenUsed/>
    <w:rsid w:val="005150E5"/>
  </w:style>
  <w:style w:type="table" w:customStyle="1" w:styleId="ColorfulGrid-Accent11112">
    <w:name w:val="Colorful Grid - Accent 11112"/>
    <w:basedOn w:val="TableNormal"/>
    <w:rsid w:val="005150E5"/>
    <w:pPr>
      <w:spacing w:after="200"/>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2">
    <w:name w:val="Light List - Accent 51112"/>
    <w:basedOn w:val="TableNormal"/>
    <w:rsid w:val="005150E5"/>
    <w:pPr>
      <w:spacing w:after="200"/>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2">
    <w:name w:val="No List4212"/>
    <w:next w:val="NoList"/>
    <w:semiHidden/>
    <w:rsid w:val="005150E5"/>
  </w:style>
  <w:style w:type="numbering" w:customStyle="1" w:styleId="NoList11213">
    <w:name w:val="No List11213"/>
    <w:next w:val="NoList"/>
    <w:semiHidden/>
    <w:unhideWhenUsed/>
    <w:rsid w:val="005150E5"/>
  </w:style>
  <w:style w:type="table" w:customStyle="1" w:styleId="Table3Deffects3121">
    <w:name w:val="Table 3D effects 3121"/>
    <w:basedOn w:val="TableNormal"/>
    <w:next w:val="Table3Deffects3"/>
    <w:rsid w:val="005150E5"/>
    <w:pPr>
      <w:spacing w:after="200"/>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2">
    <w:name w:val="Нет списка11212"/>
    <w:next w:val="NoList"/>
    <w:semiHidden/>
    <w:unhideWhenUsed/>
    <w:rsid w:val="005150E5"/>
  </w:style>
  <w:style w:type="table" w:customStyle="1" w:styleId="TableGrid11210">
    <w:name w:val="Table Grid1121"/>
    <w:basedOn w:val="TableNormal"/>
    <w:next w:val="TableGrid"/>
    <w:rsid w:val="005150E5"/>
    <w:pPr>
      <w:spacing w:after="200"/>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2">
    <w:name w:val="No List5112"/>
    <w:next w:val="NoList"/>
    <w:uiPriority w:val="99"/>
    <w:semiHidden/>
    <w:rsid w:val="005150E5"/>
  </w:style>
  <w:style w:type="numbering" w:customStyle="1" w:styleId="NoList6111">
    <w:name w:val="No List6111"/>
    <w:next w:val="NoList"/>
    <w:uiPriority w:val="99"/>
    <w:semiHidden/>
    <w:unhideWhenUsed/>
    <w:rsid w:val="005150E5"/>
  </w:style>
  <w:style w:type="table" w:customStyle="1" w:styleId="TableGrid2112">
    <w:name w:val="Table Grid2112"/>
    <w:basedOn w:val="TableNormal"/>
    <w:next w:val="TableGrid"/>
    <w:rsid w:val="005150E5"/>
    <w:pPr>
      <w:spacing w:after="200"/>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11">
    <w:name w:val="No List7111"/>
    <w:next w:val="NoList"/>
    <w:uiPriority w:val="99"/>
    <w:semiHidden/>
    <w:unhideWhenUsed/>
    <w:rsid w:val="005150E5"/>
  </w:style>
  <w:style w:type="numbering" w:customStyle="1" w:styleId="NoList12112">
    <w:name w:val="No List12112"/>
    <w:next w:val="NoList"/>
    <w:uiPriority w:val="99"/>
    <w:semiHidden/>
    <w:unhideWhenUsed/>
    <w:rsid w:val="005150E5"/>
  </w:style>
  <w:style w:type="table" w:customStyle="1" w:styleId="TableGrid31110">
    <w:name w:val="Table Grid3111"/>
    <w:basedOn w:val="TableNormal"/>
    <w:next w:val="TableGrid"/>
    <w:rsid w:val="005150E5"/>
    <w:pPr>
      <w:spacing w:after="20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1">
    <w:name w:val="Table Web 21111"/>
    <w:basedOn w:val="TableNormal"/>
    <w:next w:val="TableWeb2"/>
    <w:rsid w:val="005150E5"/>
    <w:pPr>
      <w:spacing w:after="200"/>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1">
    <w:name w:val="Table Web 11111"/>
    <w:basedOn w:val="TableNormal"/>
    <w:next w:val="TableWeb1"/>
    <w:rsid w:val="005150E5"/>
    <w:pPr>
      <w:spacing w:after="200"/>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1">
    <w:name w:val="Table Grid 81111"/>
    <w:basedOn w:val="TableNormal"/>
    <w:next w:val="TableGrid8"/>
    <w:rsid w:val="005150E5"/>
    <w:pPr>
      <w:spacing w:after="200"/>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1">
    <w:name w:val="Table Contemporary1111"/>
    <w:basedOn w:val="TableNormal"/>
    <w:next w:val="TableContemporary"/>
    <w:rsid w:val="005150E5"/>
    <w:pPr>
      <w:spacing w:after="200"/>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1">
    <w:name w:val="Colorful Grid - Accent 12111"/>
    <w:basedOn w:val="TableNormal"/>
    <w:next w:val="ColorfulGrid-Accent1"/>
    <w:uiPriority w:val="73"/>
    <w:rsid w:val="005150E5"/>
    <w:pPr>
      <w:spacing w:after="200"/>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1">
    <w:name w:val="Light List - Accent 52111"/>
    <w:basedOn w:val="TableNormal"/>
    <w:next w:val="LightList-Accent5"/>
    <w:uiPriority w:val="61"/>
    <w:rsid w:val="005150E5"/>
    <w:pPr>
      <w:spacing w:after="200"/>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1">
    <w:name w:val="No List8111"/>
    <w:next w:val="NoList"/>
    <w:uiPriority w:val="99"/>
    <w:semiHidden/>
    <w:unhideWhenUsed/>
    <w:rsid w:val="005150E5"/>
  </w:style>
  <w:style w:type="numbering" w:customStyle="1" w:styleId="12111">
    <w:name w:val="Нет списка12111"/>
    <w:next w:val="NoList"/>
    <w:semiHidden/>
    <w:unhideWhenUsed/>
    <w:rsid w:val="005150E5"/>
  </w:style>
  <w:style w:type="numbering" w:customStyle="1" w:styleId="NoList13111">
    <w:name w:val="No List13111"/>
    <w:next w:val="NoList"/>
    <w:semiHidden/>
    <w:unhideWhenUsed/>
    <w:rsid w:val="005150E5"/>
  </w:style>
  <w:style w:type="numbering" w:customStyle="1" w:styleId="NoList21112">
    <w:name w:val="No List21112"/>
    <w:next w:val="NoList"/>
    <w:semiHidden/>
    <w:unhideWhenUsed/>
    <w:rsid w:val="005150E5"/>
  </w:style>
  <w:style w:type="numbering" w:customStyle="1" w:styleId="NoList31112">
    <w:name w:val="No List31112"/>
    <w:next w:val="NoList"/>
    <w:semiHidden/>
    <w:unhideWhenUsed/>
    <w:rsid w:val="005150E5"/>
  </w:style>
  <w:style w:type="numbering" w:customStyle="1" w:styleId="111211">
    <w:name w:val="Нет списка111211"/>
    <w:next w:val="NoList"/>
    <w:semiHidden/>
    <w:unhideWhenUsed/>
    <w:rsid w:val="005150E5"/>
  </w:style>
  <w:style w:type="numbering" w:customStyle="1" w:styleId="NoList41111">
    <w:name w:val="No List41111"/>
    <w:next w:val="NoList"/>
    <w:semiHidden/>
    <w:rsid w:val="005150E5"/>
  </w:style>
  <w:style w:type="numbering" w:customStyle="1" w:styleId="NoList111123">
    <w:name w:val="No List111123"/>
    <w:next w:val="NoList"/>
    <w:semiHidden/>
    <w:unhideWhenUsed/>
    <w:rsid w:val="005150E5"/>
  </w:style>
  <w:style w:type="numbering" w:customStyle="1" w:styleId="1111111">
    <w:name w:val="Нет списка1111111"/>
    <w:next w:val="NoList"/>
    <w:semiHidden/>
    <w:unhideWhenUsed/>
    <w:rsid w:val="005150E5"/>
  </w:style>
  <w:style w:type="table" w:customStyle="1" w:styleId="TableGrid612">
    <w:name w:val="Table Grid612"/>
    <w:basedOn w:val="TableNormal"/>
    <w:next w:val="TableGrid"/>
    <w:uiPriority w:val="39"/>
    <w:rsid w:val="005150E5"/>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
    <w:name w:val="Grid Table 1 Light - Accent 5111"/>
    <w:basedOn w:val="TableNormal"/>
    <w:uiPriority w:val="46"/>
    <w:rsid w:val="005150E5"/>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2">
    <w:name w:val="Table Grid221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7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 Grid8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150E5"/>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142">
    <w:name w:val="Table Grid142"/>
    <w:basedOn w:val="TableNormal"/>
    <w:next w:val="TableGrid"/>
    <w:uiPriority w:val="39"/>
    <w:rsid w:val="005150E5"/>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rsid w:val="005150E5"/>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0">
    <w:name w:val="Table Grid73"/>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5150E5"/>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5150E5"/>
    <w:pPr>
      <w:spacing w:after="200"/>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
    <w:name w:val="Table Grid11131"/>
    <w:basedOn w:val="TableNormal"/>
    <w:next w:val="TableGrid"/>
    <w:uiPriority w:val="39"/>
    <w:rsid w:val="005150E5"/>
    <w:pPr>
      <w:spacing w:after="200"/>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3-Accent1">
    <w:name w:val="Medium Grid 3 Accent 1"/>
    <w:basedOn w:val="TableNormal"/>
    <w:uiPriority w:val="69"/>
    <w:unhideWhenUsed/>
    <w:rsid w:val="005150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stTable7Colorful-Accent11">
    <w:name w:val="List Table 7 Colorful - Accent 11"/>
    <w:basedOn w:val="TableNormal"/>
    <w:uiPriority w:val="52"/>
    <w:rsid w:val="001E3933"/>
    <w:rPr>
      <w:rFonts w:asciiTheme="minorHAnsi" w:eastAsiaTheme="minorHAnsi" w:hAnsiTheme="minorHAnsi" w:cstheme="minorBidi"/>
      <w:color w:val="365F91"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57">
    <w:name w:val="No List57"/>
    <w:next w:val="NoList"/>
    <w:semiHidden/>
    <w:rsid w:val="00A00B8B"/>
  </w:style>
  <w:style w:type="paragraph" w:customStyle="1" w:styleId="DefaultParagraphFontParaChar">
    <w:name w:val="Default Paragraph Font Para Char"/>
    <w:basedOn w:val="Normal"/>
    <w:locked/>
    <w:rsid w:val="00A00B8B"/>
    <w:pPr>
      <w:spacing w:before="0" w:after="160" w:line="240" w:lineRule="auto"/>
      <w:jc w:val="left"/>
    </w:pPr>
    <w:rPr>
      <w:rFonts w:ascii="Verdana" w:eastAsia="Batang" w:hAnsi="Verdana" w:cs="Verdana"/>
      <w:b w:val="0"/>
      <w:sz w:val="24"/>
      <w:lang w:val="en-GB" w:eastAsia="en-US"/>
    </w:rPr>
  </w:style>
  <w:style w:type="table" w:customStyle="1" w:styleId="TableGrid300">
    <w:name w:val="Table Grid30"/>
    <w:basedOn w:val="TableNormal"/>
    <w:next w:val="TableGrid"/>
    <w:rsid w:val="00A00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Ամփոփոթերթ"/>
    <w:basedOn w:val="Normal"/>
    <w:rsid w:val="00A00B8B"/>
    <w:pPr>
      <w:framePr w:wrap="around" w:vAnchor="text" w:hAnchor="text" w:y="1"/>
      <w:numPr>
        <w:numId w:val="18"/>
      </w:numPr>
      <w:spacing w:before="0" w:line="240" w:lineRule="auto"/>
      <w:jc w:val="left"/>
    </w:pPr>
    <w:rPr>
      <w:rFonts w:ascii="Sylfaen" w:hAnsi="Sylfaen" w:cs="Sylfaen"/>
      <w:b w:val="0"/>
      <w:szCs w:val="22"/>
      <w:lang w:val="en-US" w:eastAsia="en-US"/>
    </w:rPr>
  </w:style>
  <w:style w:type="paragraph" w:customStyle="1" w:styleId="GHM">
    <w:name w:val="GHM"/>
    <w:rsid w:val="00A00B8B"/>
    <w:rPr>
      <w:rFonts w:ascii="GHEA Mariam" w:hAnsi="GHEA Mariam"/>
      <w:sz w:val="24"/>
      <w:szCs w:val="24"/>
      <w:lang w:val="hy-AM"/>
    </w:rPr>
  </w:style>
  <w:style w:type="paragraph" w:customStyle="1" w:styleId="Char110">
    <w:name w:val="Char11"/>
    <w:basedOn w:val="Normal"/>
    <w:locked/>
    <w:rsid w:val="00A00B8B"/>
    <w:pPr>
      <w:spacing w:before="0" w:after="160" w:line="240" w:lineRule="auto"/>
      <w:jc w:val="left"/>
    </w:pPr>
    <w:rPr>
      <w:rFonts w:ascii="Verdana" w:eastAsia="Batang" w:hAnsi="Verdana" w:cs="Verdana"/>
      <w:b w:val="0"/>
      <w:sz w:val="24"/>
      <w:lang w:val="en-GB"/>
    </w:rPr>
  </w:style>
  <w:style w:type="table" w:customStyle="1" w:styleId="TableGrid340">
    <w:name w:val="Table Grid34"/>
    <w:basedOn w:val="TableNormal"/>
    <w:next w:val="TableGrid"/>
    <w:uiPriority w:val="39"/>
    <w:rsid w:val="00836C0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4E12E8"/>
  </w:style>
  <w:style w:type="table" w:customStyle="1" w:styleId="TableGrid350">
    <w:name w:val="Table Grid35"/>
    <w:basedOn w:val="TableNormal"/>
    <w:next w:val="TableGrid"/>
    <w:uiPriority w:val="39"/>
    <w:rsid w:val="004E12E8"/>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9">
    <w:name w:val="Table List 79"/>
    <w:basedOn w:val="TableNormal"/>
    <w:next w:val="TableList7"/>
    <w:rsid w:val="004E12E8"/>
    <w:pPr>
      <w:spacing w:after="200"/>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9">
    <w:name w:val="Table Web 39"/>
    <w:basedOn w:val="TableNormal"/>
    <w:next w:val="TableWeb3"/>
    <w:rsid w:val="004E12E8"/>
    <w:pPr>
      <w:spacing w:after="200"/>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9">
    <w:name w:val="Table Elegant9"/>
    <w:basedOn w:val="TableNormal"/>
    <w:next w:val="TableElegant"/>
    <w:rsid w:val="004E12E8"/>
    <w:pPr>
      <w:spacing w:after="200"/>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9">
    <w:name w:val="Table Web 29"/>
    <w:basedOn w:val="TableNormal"/>
    <w:next w:val="TableWeb2"/>
    <w:rsid w:val="004E12E8"/>
    <w:pPr>
      <w:spacing w:after="200"/>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9">
    <w:name w:val="Table Web 19"/>
    <w:basedOn w:val="TableNormal"/>
    <w:next w:val="TableWeb1"/>
    <w:rsid w:val="004E12E8"/>
    <w:pPr>
      <w:spacing w:after="200"/>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9">
    <w:name w:val="Table Grid 89"/>
    <w:basedOn w:val="TableNormal"/>
    <w:next w:val="TableGrid8"/>
    <w:rsid w:val="004E12E8"/>
    <w:pPr>
      <w:spacing w:after="200"/>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9">
    <w:name w:val="Table Contemporary9"/>
    <w:basedOn w:val="TableNormal"/>
    <w:next w:val="TableContemporary"/>
    <w:rsid w:val="004E12E8"/>
    <w:pPr>
      <w:spacing w:after="200"/>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34">
    <w:name w:val="No List134"/>
    <w:next w:val="NoList"/>
    <w:semiHidden/>
    <w:unhideWhenUsed/>
    <w:rsid w:val="004E12E8"/>
  </w:style>
  <w:style w:type="numbering" w:customStyle="1" w:styleId="NoList218">
    <w:name w:val="No List218"/>
    <w:next w:val="NoList"/>
    <w:semiHidden/>
    <w:unhideWhenUsed/>
    <w:rsid w:val="004E12E8"/>
  </w:style>
  <w:style w:type="numbering" w:customStyle="1" w:styleId="NoList317">
    <w:name w:val="No List317"/>
    <w:next w:val="NoList"/>
    <w:semiHidden/>
    <w:unhideWhenUsed/>
    <w:rsid w:val="004E12E8"/>
  </w:style>
  <w:style w:type="table" w:customStyle="1" w:styleId="LightList-Accent128">
    <w:name w:val="Light List - Accent 128"/>
    <w:basedOn w:val="TableNormal"/>
    <w:next w:val="LightList-Accent1"/>
    <w:uiPriority w:val="61"/>
    <w:rsid w:val="004E12E8"/>
    <w:pPr>
      <w:spacing w:after="200"/>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9">
    <w:name w:val="Table Grid 79"/>
    <w:basedOn w:val="TableNormal"/>
    <w:next w:val="TableGrid7"/>
    <w:rsid w:val="004E12E8"/>
    <w:pPr>
      <w:spacing w:after="200"/>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0">
    <w:name w:val="Colorful Grid - Accent 110"/>
    <w:basedOn w:val="TableNormal"/>
    <w:next w:val="ColorfulGrid-Accent1"/>
    <w:uiPriority w:val="73"/>
    <w:rsid w:val="004E12E8"/>
    <w:pPr>
      <w:spacing w:after="200"/>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9">
    <w:name w:val="Light List - Accent 519"/>
    <w:basedOn w:val="TableNormal"/>
    <w:next w:val="LightList-Accent5"/>
    <w:uiPriority w:val="61"/>
    <w:rsid w:val="004E12E8"/>
    <w:pPr>
      <w:spacing w:after="200"/>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9">
    <w:name w:val="Table Simple 39"/>
    <w:basedOn w:val="TableNormal"/>
    <w:next w:val="TableSimple3"/>
    <w:rsid w:val="004E12E8"/>
    <w:pPr>
      <w:spacing w:after="200"/>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9">
    <w:name w:val="Table Grid 59"/>
    <w:basedOn w:val="TableNormal"/>
    <w:next w:val="TableGrid5"/>
    <w:rsid w:val="004E12E8"/>
    <w:pPr>
      <w:spacing w:after="200"/>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9">
    <w:name w:val="Table Grid 39"/>
    <w:basedOn w:val="TableNormal"/>
    <w:next w:val="TableGrid3"/>
    <w:rsid w:val="004E12E8"/>
    <w:pPr>
      <w:spacing w:after="200"/>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90">
    <w:name w:val="Table Grid 19"/>
    <w:basedOn w:val="TableNormal"/>
    <w:next w:val="TableGrid10"/>
    <w:rsid w:val="004E12E8"/>
    <w:pPr>
      <w:spacing w:after="200"/>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9">
    <w:name w:val="Table Columns 59"/>
    <w:basedOn w:val="TableNormal"/>
    <w:next w:val="TableColumns5"/>
    <w:rsid w:val="004E12E8"/>
    <w:pPr>
      <w:spacing w:after="200"/>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5">
    <w:name w:val="Light List - Accent 1115"/>
    <w:basedOn w:val="TableNormal"/>
    <w:uiPriority w:val="61"/>
    <w:rsid w:val="004E12E8"/>
    <w:pPr>
      <w:spacing w:after="200"/>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100">
    <w:name w:val="Нет списка110"/>
    <w:next w:val="NoList"/>
    <w:semiHidden/>
    <w:unhideWhenUsed/>
    <w:rsid w:val="004E12E8"/>
  </w:style>
  <w:style w:type="table" w:customStyle="1" w:styleId="ColorfulGrid-Accent119">
    <w:name w:val="Colorful Grid - Accent 119"/>
    <w:basedOn w:val="TableNormal"/>
    <w:rsid w:val="004E12E8"/>
    <w:pPr>
      <w:spacing w:after="200"/>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0">
    <w:name w:val="Light List - Accent 5110"/>
    <w:basedOn w:val="TableNormal"/>
    <w:rsid w:val="004E12E8"/>
    <w:pPr>
      <w:spacing w:after="200"/>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5">
    <w:name w:val="No List415"/>
    <w:next w:val="NoList"/>
    <w:semiHidden/>
    <w:rsid w:val="004E12E8"/>
  </w:style>
  <w:style w:type="numbering" w:customStyle="1" w:styleId="NoList1126">
    <w:name w:val="No List1126"/>
    <w:next w:val="NoList"/>
    <w:semiHidden/>
    <w:unhideWhenUsed/>
    <w:rsid w:val="004E12E8"/>
  </w:style>
  <w:style w:type="table" w:customStyle="1" w:styleId="Table3Deffects39">
    <w:name w:val="Table 3D effects 39"/>
    <w:basedOn w:val="TableNormal"/>
    <w:next w:val="Table3Deffects3"/>
    <w:rsid w:val="004E12E8"/>
    <w:pPr>
      <w:spacing w:after="200"/>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
    <w:name w:val="Нет списка119"/>
    <w:next w:val="NoList"/>
    <w:semiHidden/>
    <w:unhideWhenUsed/>
    <w:rsid w:val="004E12E8"/>
  </w:style>
  <w:style w:type="table" w:customStyle="1" w:styleId="TableGrid116">
    <w:name w:val="Table Grid116"/>
    <w:basedOn w:val="TableNormal"/>
    <w:next w:val="TableGrid"/>
    <w:rsid w:val="004E12E8"/>
    <w:pPr>
      <w:spacing w:after="200"/>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9">
    <w:name w:val="No List59"/>
    <w:next w:val="NoList"/>
    <w:uiPriority w:val="99"/>
    <w:semiHidden/>
    <w:rsid w:val="004E12E8"/>
  </w:style>
  <w:style w:type="numbering" w:customStyle="1" w:styleId="NoList64">
    <w:name w:val="No List64"/>
    <w:next w:val="NoList"/>
    <w:uiPriority w:val="99"/>
    <w:semiHidden/>
    <w:unhideWhenUsed/>
    <w:rsid w:val="004E12E8"/>
  </w:style>
  <w:style w:type="table" w:customStyle="1" w:styleId="TableGrid214">
    <w:name w:val="Table Grid214"/>
    <w:basedOn w:val="TableNormal"/>
    <w:next w:val="TableGrid"/>
    <w:rsid w:val="004E12E8"/>
    <w:pPr>
      <w:spacing w:after="200"/>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4">
    <w:name w:val="No List74"/>
    <w:next w:val="NoList"/>
    <w:uiPriority w:val="99"/>
    <w:semiHidden/>
    <w:unhideWhenUsed/>
    <w:rsid w:val="004E12E8"/>
  </w:style>
  <w:style w:type="numbering" w:customStyle="1" w:styleId="NoList1214">
    <w:name w:val="No List1214"/>
    <w:next w:val="NoList"/>
    <w:uiPriority w:val="99"/>
    <w:semiHidden/>
    <w:unhideWhenUsed/>
    <w:rsid w:val="004E12E8"/>
  </w:style>
  <w:style w:type="table" w:customStyle="1" w:styleId="TableGrid360">
    <w:name w:val="Table Grid36"/>
    <w:basedOn w:val="TableNormal"/>
    <w:next w:val="TableGrid"/>
    <w:rsid w:val="004E12E8"/>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4">
    <w:name w:val="Table Web 214"/>
    <w:basedOn w:val="TableNormal"/>
    <w:next w:val="TableWeb2"/>
    <w:rsid w:val="004E12E8"/>
    <w:pPr>
      <w:spacing w:after="200"/>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4">
    <w:name w:val="Table Web 114"/>
    <w:basedOn w:val="TableNormal"/>
    <w:next w:val="TableWeb1"/>
    <w:rsid w:val="004E12E8"/>
    <w:pPr>
      <w:spacing w:after="200"/>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4">
    <w:name w:val="Table Grid 814"/>
    <w:basedOn w:val="TableNormal"/>
    <w:next w:val="TableGrid8"/>
    <w:rsid w:val="004E12E8"/>
    <w:pPr>
      <w:spacing w:after="200"/>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4">
    <w:name w:val="Table Contemporary14"/>
    <w:basedOn w:val="TableNormal"/>
    <w:next w:val="TableContemporary"/>
    <w:rsid w:val="004E12E8"/>
    <w:pPr>
      <w:spacing w:after="200"/>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4">
    <w:name w:val="Colorful Grid - Accent 124"/>
    <w:basedOn w:val="TableNormal"/>
    <w:next w:val="ColorfulGrid-Accent1"/>
    <w:rsid w:val="004E12E8"/>
    <w:pPr>
      <w:spacing w:after="200"/>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4">
    <w:name w:val="Light List - Accent 524"/>
    <w:basedOn w:val="TableNormal"/>
    <w:next w:val="LightList-Accent5"/>
    <w:rsid w:val="004E12E8"/>
    <w:pPr>
      <w:spacing w:after="200"/>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4">
    <w:name w:val="No List84"/>
    <w:next w:val="NoList"/>
    <w:uiPriority w:val="99"/>
    <w:semiHidden/>
    <w:unhideWhenUsed/>
    <w:rsid w:val="004E12E8"/>
  </w:style>
  <w:style w:type="numbering" w:customStyle="1" w:styleId="1240">
    <w:name w:val="Нет списка124"/>
    <w:next w:val="NoList"/>
    <w:uiPriority w:val="99"/>
    <w:semiHidden/>
    <w:unhideWhenUsed/>
    <w:rsid w:val="004E12E8"/>
  </w:style>
  <w:style w:type="numbering" w:customStyle="1" w:styleId="NoList135">
    <w:name w:val="No List135"/>
    <w:next w:val="NoList"/>
    <w:semiHidden/>
    <w:unhideWhenUsed/>
    <w:rsid w:val="004E12E8"/>
  </w:style>
  <w:style w:type="numbering" w:customStyle="1" w:styleId="NoList219">
    <w:name w:val="No List219"/>
    <w:next w:val="NoList"/>
    <w:semiHidden/>
    <w:unhideWhenUsed/>
    <w:rsid w:val="004E12E8"/>
  </w:style>
  <w:style w:type="numbering" w:customStyle="1" w:styleId="NoList318">
    <w:name w:val="No List318"/>
    <w:next w:val="NoList"/>
    <w:semiHidden/>
    <w:unhideWhenUsed/>
    <w:rsid w:val="004E12E8"/>
  </w:style>
  <w:style w:type="numbering" w:customStyle="1" w:styleId="1114">
    <w:name w:val="Нет списка1114"/>
    <w:next w:val="NoList"/>
    <w:semiHidden/>
    <w:unhideWhenUsed/>
    <w:rsid w:val="004E12E8"/>
  </w:style>
  <w:style w:type="numbering" w:customStyle="1" w:styleId="NoList416">
    <w:name w:val="No List416"/>
    <w:next w:val="NoList"/>
    <w:semiHidden/>
    <w:rsid w:val="004E12E8"/>
  </w:style>
  <w:style w:type="numbering" w:customStyle="1" w:styleId="NoList11117">
    <w:name w:val="No List11117"/>
    <w:next w:val="NoList"/>
    <w:semiHidden/>
    <w:unhideWhenUsed/>
    <w:rsid w:val="004E12E8"/>
  </w:style>
  <w:style w:type="numbering" w:customStyle="1" w:styleId="11113">
    <w:name w:val="Нет списка11113"/>
    <w:next w:val="NoList"/>
    <w:semiHidden/>
    <w:unhideWhenUsed/>
    <w:rsid w:val="004E12E8"/>
  </w:style>
  <w:style w:type="numbering" w:customStyle="1" w:styleId="NoList94">
    <w:name w:val="No List94"/>
    <w:next w:val="NoList"/>
    <w:uiPriority w:val="99"/>
    <w:semiHidden/>
    <w:unhideWhenUsed/>
    <w:rsid w:val="004E12E8"/>
  </w:style>
  <w:style w:type="table" w:customStyle="1" w:styleId="TableGrid44">
    <w:name w:val="Table Grid44"/>
    <w:basedOn w:val="TableNormal"/>
    <w:next w:val="TableGrid"/>
    <w:uiPriority w:val="39"/>
    <w:rsid w:val="004E12E8"/>
    <w:pPr>
      <w:spacing w:after="200"/>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3">
    <w:name w:val="Grid Table 1 Light - Accent 513"/>
    <w:basedOn w:val="TableNormal"/>
    <w:uiPriority w:val="46"/>
    <w:rsid w:val="004E12E8"/>
    <w:pPr>
      <w:spacing w:after="200"/>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2">
    <w:name w:val="Plain Table 312"/>
    <w:basedOn w:val="TableNormal"/>
    <w:uiPriority w:val="43"/>
    <w:rsid w:val="004E12E8"/>
    <w:pPr>
      <w:spacing w:after="200"/>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2">
    <w:name w:val="Grid Table 4 - Accent 112"/>
    <w:basedOn w:val="TableNormal"/>
    <w:uiPriority w:val="49"/>
    <w:rsid w:val="004E12E8"/>
    <w:pPr>
      <w:spacing w:after="200"/>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4">
    <w:name w:val="No List104"/>
    <w:next w:val="NoList"/>
    <w:uiPriority w:val="99"/>
    <w:semiHidden/>
    <w:unhideWhenUsed/>
    <w:rsid w:val="004E12E8"/>
  </w:style>
  <w:style w:type="table" w:customStyle="1" w:styleId="TableGrid540">
    <w:name w:val="Table Grid54"/>
    <w:basedOn w:val="TableNormal"/>
    <w:next w:val="TableGrid"/>
    <w:uiPriority w:val="39"/>
    <w:rsid w:val="004E12E8"/>
    <w:pPr>
      <w:spacing w:after="20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4">
    <w:name w:val="Table List 714"/>
    <w:basedOn w:val="TableNormal"/>
    <w:next w:val="TableList7"/>
    <w:rsid w:val="004E12E8"/>
    <w:pPr>
      <w:spacing w:after="200"/>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4">
    <w:name w:val="Table Web 314"/>
    <w:basedOn w:val="TableNormal"/>
    <w:next w:val="TableWeb3"/>
    <w:rsid w:val="004E12E8"/>
    <w:pPr>
      <w:spacing w:after="200"/>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4">
    <w:name w:val="Table Elegant14"/>
    <w:basedOn w:val="TableNormal"/>
    <w:next w:val="TableElegant"/>
    <w:rsid w:val="004E12E8"/>
    <w:pPr>
      <w:spacing w:after="200"/>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4">
    <w:name w:val="Table Web 224"/>
    <w:basedOn w:val="TableNormal"/>
    <w:next w:val="TableWeb2"/>
    <w:rsid w:val="004E12E8"/>
    <w:pPr>
      <w:spacing w:after="200"/>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4">
    <w:name w:val="Table Web 124"/>
    <w:basedOn w:val="TableNormal"/>
    <w:next w:val="TableWeb1"/>
    <w:rsid w:val="004E12E8"/>
    <w:pPr>
      <w:spacing w:after="200"/>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4">
    <w:name w:val="Table Grid 824"/>
    <w:basedOn w:val="TableNormal"/>
    <w:next w:val="TableGrid8"/>
    <w:rsid w:val="004E12E8"/>
    <w:pPr>
      <w:spacing w:after="200"/>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4">
    <w:name w:val="Table Contemporary24"/>
    <w:basedOn w:val="TableNormal"/>
    <w:next w:val="TableContemporary"/>
    <w:rsid w:val="004E12E8"/>
    <w:pPr>
      <w:spacing w:after="200"/>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4">
    <w:name w:val="No List144"/>
    <w:next w:val="NoList"/>
    <w:semiHidden/>
    <w:unhideWhenUsed/>
    <w:rsid w:val="004E12E8"/>
  </w:style>
  <w:style w:type="numbering" w:customStyle="1" w:styleId="NoList224">
    <w:name w:val="No List224"/>
    <w:next w:val="NoList"/>
    <w:semiHidden/>
    <w:unhideWhenUsed/>
    <w:rsid w:val="004E12E8"/>
  </w:style>
  <w:style w:type="numbering" w:customStyle="1" w:styleId="NoList324">
    <w:name w:val="No List324"/>
    <w:next w:val="NoList"/>
    <w:semiHidden/>
    <w:unhideWhenUsed/>
    <w:rsid w:val="004E12E8"/>
  </w:style>
  <w:style w:type="table" w:customStyle="1" w:styleId="LightList-Accent129">
    <w:name w:val="Light List - Accent 129"/>
    <w:basedOn w:val="TableNormal"/>
    <w:uiPriority w:val="61"/>
    <w:rsid w:val="004E12E8"/>
    <w:pPr>
      <w:spacing w:after="200"/>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4">
    <w:name w:val="Table Grid 714"/>
    <w:basedOn w:val="TableNormal"/>
    <w:next w:val="TableGrid7"/>
    <w:rsid w:val="004E12E8"/>
    <w:pPr>
      <w:spacing w:after="200"/>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4">
    <w:name w:val="Colorful Grid - Accent 134"/>
    <w:basedOn w:val="TableNormal"/>
    <w:next w:val="ColorfulGrid-Accent1"/>
    <w:uiPriority w:val="73"/>
    <w:rsid w:val="004E12E8"/>
    <w:pPr>
      <w:spacing w:after="200"/>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4">
    <w:name w:val="Light List - Accent 534"/>
    <w:basedOn w:val="TableNormal"/>
    <w:next w:val="LightList-Accent5"/>
    <w:uiPriority w:val="61"/>
    <w:rsid w:val="004E12E8"/>
    <w:pPr>
      <w:spacing w:after="200"/>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4">
    <w:name w:val="Table Simple 314"/>
    <w:basedOn w:val="TableNormal"/>
    <w:next w:val="TableSimple3"/>
    <w:rsid w:val="004E12E8"/>
    <w:pPr>
      <w:spacing w:after="200"/>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4">
    <w:name w:val="Table Grid 514"/>
    <w:basedOn w:val="TableNormal"/>
    <w:next w:val="TableGrid5"/>
    <w:rsid w:val="004E12E8"/>
    <w:pPr>
      <w:spacing w:after="200"/>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4">
    <w:name w:val="Table Grid 314"/>
    <w:basedOn w:val="TableNormal"/>
    <w:next w:val="TableGrid3"/>
    <w:rsid w:val="004E12E8"/>
    <w:pPr>
      <w:spacing w:after="200"/>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40">
    <w:name w:val="Table Grid 114"/>
    <w:basedOn w:val="TableNormal"/>
    <w:next w:val="TableGrid10"/>
    <w:rsid w:val="004E12E8"/>
    <w:pPr>
      <w:spacing w:after="200"/>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4">
    <w:name w:val="Table Columns 514"/>
    <w:basedOn w:val="TableNormal"/>
    <w:next w:val="TableColumns5"/>
    <w:rsid w:val="004E12E8"/>
    <w:pPr>
      <w:spacing w:after="200"/>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6">
    <w:name w:val="Light List - Accent 1116"/>
    <w:basedOn w:val="TableNormal"/>
    <w:uiPriority w:val="61"/>
    <w:rsid w:val="004E12E8"/>
    <w:pPr>
      <w:spacing w:after="200"/>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4">
    <w:name w:val="Нет списка134"/>
    <w:next w:val="NoList"/>
    <w:semiHidden/>
    <w:unhideWhenUsed/>
    <w:rsid w:val="004E12E8"/>
  </w:style>
  <w:style w:type="table" w:customStyle="1" w:styleId="ColorfulGrid-Accent1114">
    <w:name w:val="Colorful Grid - Accent 1114"/>
    <w:basedOn w:val="TableNormal"/>
    <w:rsid w:val="004E12E8"/>
    <w:pPr>
      <w:spacing w:after="200"/>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4">
    <w:name w:val="Light List - Accent 5114"/>
    <w:basedOn w:val="TableNormal"/>
    <w:rsid w:val="004E12E8"/>
    <w:pPr>
      <w:spacing w:after="200"/>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4">
    <w:name w:val="No List424"/>
    <w:next w:val="NoList"/>
    <w:semiHidden/>
    <w:rsid w:val="004E12E8"/>
  </w:style>
  <w:style w:type="numbering" w:customStyle="1" w:styleId="NoList1127">
    <w:name w:val="No List1127"/>
    <w:next w:val="NoList"/>
    <w:semiHidden/>
    <w:unhideWhenUsed/>
    <w:rsid w:val="004E12E8"/>
  </w:style>
  <w:style w:type="table" w:customStyle="1" w:styleId="Table3Deffects314">
    <w:name w:val="Table 3D effects 314"/>
    <w:basedOn w:val="TableNormal"/>
    <w:next w:val="Table3Deffects3"/>
    <w:rsid w:val="004E12E8"/>
    <w:pPr>
      <w:spacing w:after="200"/>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NoList"/>
    <w:semiHidden/>
    <w:unhideWhenUsed/>
    <w:rsid w:val="004E12E8"/>
  </w:style>
  <w:style w:type="table" w:customStyle="1" w:styleId="TableGrid117">
    <w:name w:val="Table Grid117"/>
    <w:basedOn w:val="TableNormal"/>
    <w:next w:val="TableGrid"/>
    <w:rsid w:val="004E12E8"/>
    <w:pPr>
      <w:spacing w:after="200"/>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4">
    <w:name w:val="No List514"/>
    <w:next w:val="NoList"/>
    <w:uiPriority w:val="99"/>
    <w:semiHidden/>
    <w:rsid w:val="004E12E8"/>
  </w:style>
  <w:style w:type="numbering" w:customStyle="1" w:styleId="NoList613">
    <w:name w:val="No List613"/>
    <w:next w:val="NoList"/>
    <w:uiPriority w:val="99"/>
    <w:semiHidden/>
    <w:unhideWhenUsed/>
    <w:rsid w:val="004E12E8"/>
  </w:style>
  <w:style w:type="table" w:customStyle="1" w:styleId="TableGrid215">
    <w:name w:val="Table Grid215"/>
    <w:basedOn w:val="TableNormal"/>
    <w:next w:val="TableGrid"/>
    <w:rsid w:val="004E12E8"/>
    <w:pPr>
      <w:spacing w:after="200"/>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3">
    <w:name w:val="No List713"/>
    <w:next w:val="NoList"/>
    <w:uiPriority w:val="99"/>
    <w:semiHidden/>
    <w:unhideWhenUsed/>
    <w:rsid w:val="004E12E8"/>
  </w:style>
  <w:style w:type="numbering" w:customStyle="1" w:styleId="NoList1215">
    <w:name w:val="No List1215"/>
    <w:next w:val="NoList"/>
    <w:uiPriority w:val="99"/>
    <w:semiHidden/>
    <w:unhideWhenUsed/>
    <w:rsid w:val="004E12E8"/>
  </w:style>
  <w:style w:type="table" w:customStyle="1" w:styleId="TableGrid3130">
    <w:name w:val="Table Grid313"/>
    <w:basedOn w:val="TableNormal"/>
    <w:next w:val="TableGrid"/>
    <w:rsid w:val="004E12E8"/>
    <w:pPr>
      <w:spacing w:after="20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3">
    <w:name w:val="Table Web 2113"/>
    <w:basedOn w:val="TableNormal"/>
    <w:next w:val="TableWeb2"/>
    <w:rsid w:val="004E12E8"/>
    <w:pPr>
      <w:spacing w:after="200"/>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3">
    <w:name w:val="Table Web 1113"/>
    <w:basedOn w:val="TableNormal"/>
    <w:next w:val="TableWeb1"/>
    <w:rsid w:val="004E12E8"/>
    <w:pPr>
      <w:spacing w:after="200"/>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3">
    <w:name w:val="Table Grid 8113"/>
    <w:basedOn w:val="TableNormal"/>
    <w:next w:val="TableGrid8"/>
    <w:rsid w:val="004E12E8"/>
    <w:pPr>
      <w:spacing w:after="200"/>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3">
    <w:name w:val="Table Contemporary113"/>
    <w:basedOn w:val="TableNormal"/>
    <w:next w:val="TableContemporary"/>
    <w:rsid w:val="004E12E8"/>
    <w:pPr>
      <w:spacing w:after="200"/>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3">
    <w:name w:val="Colorful Grid - Accent 1213"/>
    <w:basedOn w:val="TableNormal"/>
    <w:next w:val="ColorfulGrid-Accent1"/>
    <w:rsid w:val="004E12E8"/>
    <w:pPr>
      <w:spacing w:after="200"/>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3">
    <w:name w:val="Light List - Accent 5213"/>
    <w:basedOn w:val="TableNormal"/>
    <w:next w:val="LightList-Accent5"/>
    <w:rsid w:val="004E12E8"/>
    <w:pPr>
      <w:spacing w:after="200"/>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3">
    <w:name w:val="No List813"/>
    <w:next w:val="NoList"/>
    <w:uiPriority w:val="99"/>
    <w:semiHidden/>
    <w:unhideWhenUsed/>
    <w:rsid w:val="004E12E8"/>
  </w:style>
  <w:style w:type="numbering" w:customStyle="1" w:styleId="1213">
    <w:name w:val="Нет списка1213"/>
    <w:next w:val="NoList"/>
    <w:uiPriority w:val="99"/>
    <w:semiHidden/>
    <w:unhideWhenUsed/>
    <w:rsid w:val="004E12E8"/>
  </w:style>
  <w:style w:type="numbering" w:customStyle="1" w:styleId="NoList1313">
    <w:name w:val="No List1313"/>
    <w:next w:val="NoList"/>
    <w:semiHidden/>
    <w:unhideWhenUsed/>
    <w:rsid w:val="004E12E8"/>
  </w:style>
  <w:style w:type="numbering" w:customStyle="1" w:styleId="NoList2114">
    <w:name w:val="No List2114"/>
    <w:next w:val="NoList"/>
    <w:semiHidden/>
    <w:unhideWhenUsed/>
    <w:rsid w:val="004E12E8"/>
  </w:style>
  <w:style w:type="numbering" w:customStyle="1" w:styleId="NoList3114">
    <w:name w:val="No List3114"/>
    <w:next w:val="NoList"/>
    <w:semiHidden/>
    <w:unhideWhenUsed/>
    <w:rsid w:val="004E12E8"/>
  </w:style>
  <w:style w:type="numbering" w:customStyle="1" w:styleId="11122">
    <w:name w:val="Нет списка11122"/>
    <w:next w:val="NoList"/>
    <w:semiHidden/>
    <w:unhideWhenUsed/>
    <w:rsid w:val="004E12E8"/>
  </w:style>
  <w:style w:type="numbering" w:customStyle="1" w:styleId="NoList4113">
    <w:name w:val="No List4113"/>
    <w:next w:val="NoList"/>
    <w:semiHidden/>
    <w:rsid w:val="004E12E8"/>
  </w:style>
  <w:style w:type="numbering" w:customStyle="1" w:styleId="NoList11118">
    <w:name w:val="No List11118"/>
    <w:next w:val="NoList"/>
    <w:semiHidden/>
    <w:unhideWhenUsed/>
    <w:rsid w:val="004E12E8"/>
  </w:style>
  <w:style w:type="numbering" w:customStyle="1" w:styleId="111112">
    <w:name w:val="Нет списка111112"/>
    <w:next w:val="NoList"/>
    <w:semiHidden/>
    <w:unhideWhenUsed/>
    <w:rsid w:val="004E12E8"/>
  </w:style>
  <w:style w:type="table" w:customStyle="1" w:styleId="TableGrid64">
    <w:name w:val="Table Grid64"/>
    <w:basedOn w:val="TableNormal"/>
    <w:next w:val="TableGrid"/>
    <w:uiPriority w:val="39"/>
    <w:rsid w:val="004E12E8"/>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2">
    <w:name w:val="Grid Table 1 Light - Accent 5112"/>
    <w:basedOn w:val="TableNormal"/>
    <w:uiPriority w:val="46"/>
    <w:rsid w:val="004E12E8"/>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4">
    <w:name w:val="Table Grid224"/>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0">
    <w:name w:val="Table Grid74"/>
    <w:basedOn w:val="TableNormal"/>
    <w:next w:val="TableGrid"/>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 Grid8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
    <w:name w:val="Grid Table 1 Light - Accent 112"/>
    <w:basedOn w:val="TableNormal"/>
    <w:uiPriority w:val="46"/>
    <w:rsid w:val="004E12E8"/>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51111">
    <w:name w:val="Grid Table 1 Light - Accent 51111"/>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3">
    <w:name w:val="Table Grid2213"/>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9032E3"/>
  </w:style>
  <w:style w:type="table" w:customStyle="1" w:styleId="TableGrid370">
    <w:name w:val="Table Grid37"/>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2">
    <w:name w:val="Medium Grid 3 - Accent 12"/>
    <w:basedOn w:val="TableNormal"/>
    <w:next w:val="MediumGrid3-Accent1"/>
    <w:uiPriority w:val="69"/>
    <w:rsid w:val="009032E3"/>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numbering" w:customStyle="1" w:styleId="NoList136">
    <w:name w:val="No List136"/>
    <w:next w:val="NoList"/>
    <w:uiPriority w:val="99"/>
    <w:semiHidden/>
    <w:unhideWhenUsed/>
    <w:rsid w:val="009032E3"/>
  </w:style>
  <w:style w:type="table" w:customStyle="1" w:styleId="TableGrid118">
    <w:name w:val="Table Grid118"/>
    <w:basedOn w:val="TableNormal"/>
    <w:next w:val="TableGrid"/>
    <w:uiPriority w:val="39"/>
    <w:rsid w:val="009032E3"/>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5">
    <w:name w:val="Table List 715"/>
    <w:basedOn w:val="TableNormal"/>
    <w:next w:val="TableList7"/>
    <w:rsid w:val="009032E3"/>
    <w:pPr>
      <w:spacing w:after="200"/>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5">
    <w:name w:val="Table Web 315"/>
    <w:basedOn w:val="TableNormal"/>
    <w:next w:val="TableWeb3"/>
    <w:rsid w:val="009032E3"/>
    <w:pPr>
      <w:spacing w:after="200"/>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5">
    <w:name w:val="Table Elegant15"/>
    <w:basedOn w:val="TableNormal"/>
    <w:next w:val="TableElegant"/>
    <w:rsid w:val="009032E3"/>
    <w:pPr>
      <w:spacing w:after="200"/>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5">
    <w:name w:val="Table Web 215"/>
    <w:basedOn w:val="TableNormal"/>
    <w:next w:val="TableWeb2"/>
    <w:rsid w:val="009032E3"/>
    <w:pPr>
      <w:spacing w:after="200"/>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5">
    <w:name w:val="Table Web 115"/>
    <w:basedOn w:val="TableNormal"/>
    <w:next w:val="TableWeb1"/>
    <w:rsid w:val="009032E3"/>
    <w:pPr>
      <w:spacing w:after="200"/>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5">
    <w:name w:val="Table Grid 815"/>
    <w:basedOn w:val="TableNormal"/>
    <w:next w:val="TableGrid8"/>
    <w:rsid w:val="009032E3"/>
    <w:pPr>
      <w:spacing w:after="200"/>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5">
    <w:name w:val="Table Contemporary15"/>
    <w:basedOn w:val="TableNormal"/>
    <w:next w:val="TableContemporary"/>
    <w:rsid w:val="009032E3"/>
    <w:pPr>
      <w:spacing w:after="200"/>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28">
    <w:name w:val="No List1128"/>
    <w:next w:val="NoList"/>
    <w:semiHidden/>
    <w:unhideWhenUsed/>
    <w:rsid w:val="009032E3"/>
  </w:style>
  <w:style w:type="numbering" w:customStyle="1" w:styleId="NoList220">
    <w:name w:val="No List220"/>
    <w:next w:val="NoList"/>
    <w:semiHidden/>
    <w:unhideWhenUsed/>
    <w:rsid w:val="009032E3"/>
  </w:style>
  <w:style w:type="numbering" w:customStyle="1" w:styleId="NoList319">
    <w:name w:val="No List319"/>
    <w:next w:val="NoList"/>
    <w:semiHidden/>
    <w:unhideWhenUsed/>
    <w:rsid w:val="009032E3"/>
  </w:style>
  <w:style w:type="table" w:customStyle="1" w:styleId="LightList-Accent1117">
    <w:name w:val="Light List - Accent 1117"/>
    <w:basedOn w:val="TableNormal"/>
    <w:next w:val="LightList-Accent1"/>
    <w:uiPriority w:val="61"/>
    <w:rsid w:val="009032E3"/>
    <w:pPr>
      <w:spacing w:after="200"/>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5">
    <w:name w:val="Table Grid 715"/>
    <w:basedOn w:val="TableNormal"/>
    <w:next w:val="TableGrid7"/>
    <w:rsid w:val="009032E3"/>
    <w:pPr>
      <w:spacing w:after="200"/>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10">
    <w:name w:val="Colorful Grid - Accent 1110"/>
    <w:basedOn w:val="TableNormal"/>
    <w:next w:val="ColorfulGrid-Accent1"/>
    <w:rsid w:val="009032E3"/>
    <w:pPr>
      <w:spacing w:after="200"/>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5">
    <w:name w:val="Light List - Accent 5115"/>
    <w:basedOn w:val="TableNormal"/>
    <w:next w:val="LightList-Accent5"/>
    <w:rsid w:val="009032E3"/>
    <w:pPr>
      <w:spacing w:after="200"/>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5">
    <w:name w:val="Table Simple 315"/>
    <w:basedOn w:val="TableNormal"/>
    <w:next w:val="TableSimple3"/>
    <w:rsid w:val="009032E3"/>
    <w:pPr>
      <w:spacing w:after="200"/>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5">
    <w:name w:val="Table Grid 515"/>
    <w:basedOn w:val="TableNormal"/>
    <w:next w:val="TableGrid5"/>
    <w:rsid w:val="009032E3"/>
    <w:pPr>
      <w:spacing w:after="200"/>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5">
    <w:name w:val="Table Grid 315"/>
    <w:basedOn w:val="TableNormal"/>
    <w:next w:val="TableGrid3"/>
    <w:rsid w:val="009032E3"/>
    <w:pPr>
      <w:spacing w:after="200"/>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50">
    <w:name w:val="Table Grid 115"/>
    <w:basedOn w:val="TableNormal"/>
    <w:next w:val="TableGrid10"/>
    <w:rsid w:val="009032E3"/>
    <w:pPr>
      <w:spacing w:after="200"/>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5">
    <w:name w:val="Table Columns 515"/>
    <w:basedOn w:val="TableNormal"/>
    <w:next w:val="TableColumns5"/>
    <w:rsid w:val="009032E3"/>
    <w:pPr>
      <w:spacing w:after="200"/>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200">
    <w:name w:val="Нет списка120"/>
    <w:next w:val="NoList"/>
    <w:semiHidden/>
    <w:unhideWhenUsed/>
    <w:rsid w:val="009032E3"/>
  </w:style>
  <w:style w:type="numbering" w:customStyle="1" w:styleId="NoList417">
    <w:name w:val="No List417"/>
    <w:next w:val="NoList"/>
    <w:semiHidden/>
    <w:rsid w:val="009032E3"/>
  </w:style>
  <w:style w:type="numbering" w:customStyle="1" w:styleId="NoList11119">
    <w:name w:val="No List11119"/>
    <w:next w:val="NoList"/>
    <w:semiHidden/>
    <w:unhideWhenUsed/>
    <w:rsid w:val="009032E3"/>
  </w:style>
  <w:style w:type="table" w:customStyle="1" w:styleId="Table3Deffects315">
    <w:name w:val="Table 3D effects 315"/>
    <w:basedOn w:val="TableNormal"/>
    <w:next w:val="Table3Deffects3"/>
    <w:rsid w:val="009032E3"/>
    <w:pPr>
      <w:spacing w:after="200"/>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NoList"/>
    <w:semiHidden/>
    <w:unhideWhenUsed/>
    <w:rsid w:val="009032E3"/>
  </w:style>
  <w:style w:type="table" w:customStyle="1" w:styleId="TableGrid119">
    <w:name w:val="Table Grid119"/>
    <w:basedOn w:val="TableNormal"/>
    <w:next w:val="TableGrid"/>
    <w:rsid w:val="009032E3"/>
    <w:pPr>
      <w:spacing w:after="200"/>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0">
    <w:name w:val="No List510"/>
    <w:next w:val="NoList"/>
    <w:uiPriority w:val="99"/>
    <w:semiHidden/>
    <w:rsid w:val="009032E3"/>
  </w:style>
  <w:style w:type="numbering" w:customStyle="1" w:styleId="NoList65">
    <w:name w:val="No List65"/>
    <w:next w:val="NoList"/>
    <w:uiPriority w:val="99"/>
    <w:semiHidden/>
    <w:unhideWhenUsed/>
    <w:rsid w:val="009032E3"/>
  </w:style>
  <w:style w:type="table" w:customStyle="1" w:styleId="TableGrid216">
    <w:name w:val="Table Grid216"/>
    <w:basedOn w:val="TableNormal"/>
    <w:next w:val="TableGrid"/>
    <w:rsid w:val="009032E3"/>
    <w:pPr>
      <w:spacing w:after="200"/>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5">
    <w:name w:val="No List75"/>
    <w:next w:val="NoList"/>
    <w:uiPriority w:val="99"/>
    <w:semiHidden/>
    <w:unhideWhenUsed/>
    <w:rsid w:val="009032E3"/>
  </w:style>
  <w:style w:type="numbering" w:customStyle="1" w:styleId="NoList1216">
    <w:name w:val="No List1216"/>
    <w:next w:val="NoList"/>
    <w:uiPriority w:val="99"/>
    <w:semiHidden/>
    <w:unhideWhenUsed/>
    <w:rsid w:val="009032E3"/>
  </w:style>
  <w:style w:type="table" w:customStyle="1" w:styleId="TableGrid380">
    <w:name w:val="Table Grid38"/>
    <w:basedOn w:val="TableNormal"/>
    <w:next w:val="TableGrid"/>
    <w:rsid w:val="009032E3"/>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5">
    <w:name w:val="Colorful Grid - Accent 125"/>
    <w:basedOn w:val="TableNormal"/>
    <w:next w:val="ColorfulGrid-Accent1"/>
    <w:rsid w:val="009032E3"/>
    <w:pPr>
      <w:spacing w:after="200"/>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5">
    <w:name w:val="Light List - Accent 525"/>
    <w:basedOn w:val="TableNormal"/>
    <w:next w:val="LightList-Accent5"/>
    <w:rsid w:val="009032E3"/>
    <w:pPr>
      <w:spacing w:after="200"/>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5">
    <w:name w:val="No List85"/>
    <w:next w:val="NoList"/>
    <w:uiPriority w:val="99"/>
    <w:semiHidden/>
    <w:unhideWhenUsed/>
    <w:rsid w:val="009032E3"/>
  </w:style>
  <w:style w:type="numbering" w:customStyle="1" w:styleId="125">
    <w:name w:val="Нет списка125"/>
    <w:next w:val="NoList"/>
    <w:uiPriority w:val="99"/>
    <w:semiHidden/>
    <w:unhideWhenUsed/>
    <w:rsid w:val="009032E3"/>
  </w:style>
  <w:style w:type="numbering" w:customStyle="1" w:styleId="NoList137">
    <w:name w:val="No List137"/>
    <w:next w:val="NoList"/>
    <w:semiHidden/>
    <w:unhideWhenUsed/>
    <w:rsid w:val="009032E3"/>
  </w:style>
  <w:style w:type="numbering" w:customStyle="1" w:styleId="NoList2110">
    <w:name w:val="No List2110"/>
    <w:next w:val="NoList"/>
    <w:semiHidden/>
    <w:unhideWhenUsed/>
    <w:rsid w:val="009032E3"/>
  </w:style>
  <w:style w:type="numbering" w:customStyle="1" w:styleId="NoList3110">
    <w:name w:val="No List3110"/>
    <w:next w:val="NoList"/>
    <w:semiHidden/>
    <w:unhideWhenUsed/>
    <w:rsid w:val="009032E3"/>
  </w:style>
  <w:style w:type="numbering" w:customStyle="1" w:styleId="1115">
    <w:name w:val="Нет списка1115"/>
    <w:next w:val="NoList"/>
    <w:semiHidden/>
    <w:unhideWhenUsed/>
    <w:rsid w:val="009032E3"/>
  </w:style>
  <w:style w:type="numbering" w:customStyle="1" w:styleId="NoList418">
    <w:name w:val="No List418"/>
    <w:next w:val="NoList"/>
    <w:semiHidden/>
    <w:rsid w:val="009032E3"/>
  </w:style>
  <w:style w:type="numbering" w:customStyle="1" w:styleId="NoList111110">
    <w:name w:val="No List111110"/>
    <w:next w:val="NoList"/>
    <w:semiHidden/>
    <w:unhideWhenUsed/>
    <w:rsid w:val="009032E3"/>
  </w:style>
  <w:style w:type="numbering" w:customStyle="1" w:styleId="11114">
    <w:name w:val="Нет списка11114"/>
    <w:next w:val="NoList"/>
    <w:semiHidden/>
    <w:unhideWhenUsed/>
    <w:rsid w:val="009032E3"/>
  </w:style>
  <w:style w:type="numbering" w:customStyle="1" w:styleId="NoList95">
    <w:name w:val="No List95"/>
    <w:next w:val="NoList"/>
    <w:uiPriority w:val="99"/>
    <w:semiHidden/>
    <w:unhideWhenUsed/>
    <w:rsid w:val="009032E3"/>
  </w:style>
  <w:style w:type="table" w:customStyle="1" w:styleId="TableGrid45">
    <w:name w:val="Table Grid45"/>
    <w:basedOn w:val="TableNormal"/>
    <w:next w:val="TableGrid"/>
    <w:uiPriority w:val="39"/>
    <w:rsid w:val="009032E3"/>
    <w:pPr>
      <w:spacing w:after="200"/>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4">
    <w:name w:val="Grid Table 1 Light - Accent 514"/>
    <w:basedOn w:val="TableNormal"/>
    <w:uiPriority w:val="46"/>
    <w:rsid w:val="009032E3"/>
    <w:pPr>
      <w:spacing w:after="200"/>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3">
    <w:name w:val="Plain Table 313"/>
    <w:basedOn w:val="TableNormal"/>
    <w:uiPriority w:val="43"/>
    <w:rsid w:val="009032E3"/>
    <w:pPr>
      <w:spacing w:after="200"/>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3">
    <w:name w:val="Grid Table 4 - Accent 113"/>
    <w:basedOn w:val="TableNormal"/>
    <w:uiPriority w:val="49"/>
    <w:rsid w:val="009032E3"/>
    <w:pPr>
      <w:spacing w:after="200"/>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5">
    <w:name w:val="No List105"/>
    <w:next w:val="NoList"/>
    <w:uiPriority w:val="99"/>
    <w:semiHidden/>
    <w:unhideWhenUsed/>
    <w:rsid w:val="009032E3"/>
  </w:style>
  <w:style w:type="table" w:customStyle="1" w:styleId="TableGrid550">
    <w:name w:val="Table Grid55"/>
    <w:basedOn w:val="TableNormal"/>
    <w:next w:val="TableGrid"/>
    <w:uiPriority w:val="39"/>
    <w:rsid w:val="009032E3"/>
    <w:pPr>
      <w:spacing w:after="20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3">
    <w:name w:val="Table List 7113"/>
    <w:basedOn w:val="TableNormal"/>
    <w:next w:val="TableList7"/>
    <w:rsid w:val="009032E3"/>
    <w:pPr>
      <w:spacing w:after="200"/>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3">
    <w:name w:val="Table Web 3113"/>
    <w:basedOn w:val="TableNormal"/>
    <w:next w:val="TableWeb3"/>
    <w:rsid w:val="009032E3"/>
    <w:pPr>
      <w:spacing w:after="200"/>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3">
    <w:name w:val="Table Elegant113"/>
    <w:basedOn w:val="TableNormal"/>
    <w:next w:val="TableElegant"/>
    <w:rsid w:val="009032E3"/>
    <w:pPr>
      <w:spacing w:after="200"/>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5">
    <w:name w:val="Table Web 225"/>
    <w:basedOn w:val="TableNormal"/>
    <w:next w:val="TableWeb2"/>
    <w:rsid w:val="009032E3"/>
    <w:pPr>
      <w:spacing w:after="200"/>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5">
    <w:name w:val="Table Web 125"/>
    <w:basedOn w:val="TableNormal"/>
    <w:next w:val="TableWeb1"/>
    <w:rsid w:val="009032E3"/>
    <w:pPr>
      <w:spacing w:after="200"/>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5">
    <w:name w:val="Table Grid 825"/>
    <w:basedOn w:val="TableNormal"/>
    <w:next w:val="TableGrid8"/>
    <w:rsid w:val="009032E3"/>
    <w:pPr>
      <w:spacing w:after="200"/>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5">
    <w:name w:val="Table Contemporary25"/>
    <w:basedOn w:val="TableNormal"/>
    <w:next w:val="TableContemporary"/>
    <w:rsid w:val="009032E3"/>
    <w:pPr>
      <w:spacing w:after="200"/>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5">
    <w:name w:val="No List145"/>
    <w:next w:val="NoList"/>
    <w:semiHidden/>
    <w:unhideWhenUsed/>
    <w:rsid w:val="009032E3"/>
  </w:style>
  <w:style w:type="numbering" w:customStyle="1" w:styleId="NoList225">
    <w:name w:val="No List225"/>
    <w:next w:val="NoList"/>
    <w:semiHidden/>
    <w:unhideWhenUsed/>
    <w:rsid w:val="009032E3"/>
  </w:style>
  <w:style w:type="numbering" w:customStyle="1" w:styleId="NoList325">
    <w:name w:val="No List325"/>
    <w:next w:val="NoList"/>
    <w:semiHidden/>
    <w:unhideWhenUsed/>
    <w:rsid w:val="009032E3"/>
  </w:style>
  <w:style w:type="table" w:customStyle="1" w:styleId="LightList-Accent1210">
    <w:name w:val="Light List - Accent 1210"/>
    <w:basedOn w:val="TableNormal"/>
    <w:uiPriority w:val="61"/>
    <w:rsid w:val="009032E3"/>
    <w:pPr>
      <w:spacing w:after="200"/>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3">
    <w:name w:val="Table Grid 7113"/>
    <w:basedOn w:val="TableNormal"/>
    <w:next w:val="TableGrid7"/>
    <w:rsid w:val="009032E3"/>
    <w:pPr>
      <w:spacing w:after="200"/>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5">
    <w:name w:val="Colorful Grid - Accent 135"/>
    <w:basedOn w:val="TableNormal"/>
    <w:next w:val="ColorfulGrid-Accent1"/>
    <w:uiPriority w:val="73"/>
    <w:rsid w:val="009032E3"/>
    <w:pPr>
      <w:spacing w:after="200"/>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5">
    <w:name w:val="Light List - Accent 535"/>
    <w:basedOn w:val="TableNormal"/>
    <w:next w:val="LightList-Accent5"/>
    <w:uiPriority w:val="61"/>
    <w:rsid w:val="009032E3"/>
    <w:pPr>
      <w:spacing w:after="200"/>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3">
    <w:name w:val="Table Simple 3113"/>
    <w:basedOn w:val="TableNormal"/>
    <w:next w:val="TableSimple3"/>
    <w:rsid w:val="009032E3"/>
    <w:pPr>
      <w:spacing w:after="200"/>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3">
    <w:name w:val="Table Grid 5113"/>
    <w:basedOn w:val="TableNormal"/>
    <w:next w:val="TableGrid5"/>
    <w:rsid w:val="009032E3"/>
    <w:pPr>
      <w:spacing w:after="200"/>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3">
    <w:name w:val="Table Grid 3113"/>
    <w:basedOn w:val="TableNormal"/>
    <w:next w:val="TableGrid3"/>
    <w:rsid w:val="009032E3"/>
    <w:pPr>
      <w:spacing w:after="200"/>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30">
    <w:name w:val="Table Grid 1113"/>
    <w:basedOn w:val="TableNormal"/>
    <w:next w:val="TableGrid10"/>
    <w:rsid w:val="009032E3"/>
    <w:pPr>
      <w:spacing w:after="200"/>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3">
    <w:name w:val="Table Columns 5113"/>
    <w:basedOn w:val="TableNormal"/>
    <w:next w:val="TableColumns5"/>
    <w:rsid w:val="009032E3"/>
    <w:pPr>
      <w:spacing w:after="200"/>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8">
    <w:name w:val="Light List - Accent 1118"/>
    <w:basedOn w:val="TableNormal"/>
    <w:uiPriority w:val="61"/>
    <w:rsid w:val="009032E3"/>
    <w:pPr>
      <w:spacing w:after="200"/>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5">
    <w:name w:val="Нет списка135"/>
    <w:next w:val="NoList"/>
    <w:semiHidden/>
    <w:unhideWhenUsed/>
    <w:rsid w:val="009032E3"/>
  </w:style>
  <w:style w:type="table" w:customStyle="1" w:styleId="ColorfulGrid-Accent1115">
    <w:name w:val="Colorful Grid - Accent 1115"/>
    <w:basedOn w:val="TableNormal"/>
    <w:rsid w:val="009032E3"/>
    <w:pPr>
      <w:spacing w:after="200"/>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6">
    <w:name w:val="Light List - Accent 5116"/>
    <w:basedOn w:val="TableNormal"/>
    <w:rsid w:val="009032E3"/>
    <w:pPr>
      <w:spacing w:after="200"/>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5">
    <w:name w:val="No List425"/>
    <w:next w:val="NoList"/>
    <w:semiHidden/>
    <w:rsid w:val="009032E3"/>
  </w:style>
  <w:style w:type="numbering" w:customStyle="1" w:styleId="NoList1129">
    <w:name w:val="No List1129"/>
    <w:next w:val="NoList"/>
    <w:semiHidden/>
    <w:unhideWhenUsed/>
    <w:rsid w:val="009032E3"/>
  </w:style>
  <w:style w:type="table" w:customStyle="1" w:styleId="Table3Deffects3113">
    <w:name w:val="Table 3D effects 3113"/>
    <w:basedOn w:val="TableNormal"/>
    <w:next w:val="Table3Deffects3"/>
    <w:rsid w:val="009032E3"/>
    <w:pPr>
      <w:spacing w:after="200"/>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5">
    <w:name w:val="Нет списка1125"/>
    <w:next w:val="NoList"/>
    <w:semiHidden/>
    <w:unhideWhenUsed/>
    <w:rsid w:val="009032E3"/>
  </w:style>
  <w:style w:type="table" w:customStyle="1" w:styleId="TableGrid1115">
    <w:name w:val="Table Grid1115"/>
    <w:basedOn w:val="TableNormal"/>
    <w:next w:val="TableGrid"/>
    <w:rsid w:val="009032E3"/>
    <w:pPr>
      <w:spacing w:after="200"/>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5">
    <w:name w:val="No List515"/>
    <w:next w:val="NoList"/>
    <w:uiPriority w:val="99"/>
    <w:semiHidden/>
    <w:rsid w:val="009032E3"/>
  </w:style>
  <w:style w:type="numbering" w:customStyle="1" w:styleId="NoList614">
    <w:name w:val="No List614"/>
    <w:next w:val="NoList"/>
    <w:uiPriority w:val="99"/>
    <w:semiHidden/>
    <w:unhideWhenUsed/>
    <w:rsid w:val="009032E3"/>
  </w:style>
  <w:style w:type="table" w:customStyle="1" w:styleId="TableGrid217">
    <w:name w:val="Table Grid217"/>
    <w:basedOn w:val="TableNormal"/>
    <w:next w:val="TableGrid"/>
    <w:rsid w:val="009032E3"/>
    <w:pPr>
      <w:spacing w:after="200"/>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4">
    <w:name w:val="No List714"/>
    <w:next w:val="NoList"/>
    <w:uiPriority w:val="99"/>
    <w:semiHidden/>
    <w:unhideWhenUsed/>
    <w:rsid w:val="009032E3"/>
  </w:style>
  <w:style w:type="numbering" w:customStyle="1" w:styleId="NoList1217">
    <w:name w:val="No List1217"/>
    <w:next w:val="NoList"/>
    <w:uiPriority w:val="99"/>
    <w:semiHidden/>
    <w:unhideWhenUsed/>
    <w:rsid w:val="009032E3"/>
  </w:style>
  <w:style w:type="table" w:customStyle="1" w:styleId="TableGrid3140">
    <w:name w:val="Table Grid314"/>
    <w:basedOn w:val="TableNormal"/>
    <w:next w:val="TableGrid"/>
    <w:rsid w:val="009032E3"/>
    <w:pPr>
      <w:spacing w:after="20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4">
    <w:name w:val="Table Web 2114"/>
    <w:basedOn w:val="TableNormal"/>
    <w:next w:val="TableWeb2"/>
    <w:rsid w:val="009032E3"/>
    <w:pPr>
      <w:spacing w:after="200"/>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4">
    <w:name w:val="Table Web 1114"/>
    <w:basedOn w:val="TableNormal"/>
    <w:next w:val="TableWeb1"/>
    <w:rsid w:val="009032E3"/>
    <w:pPr>
      <w:spacing w:after="200"/>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4">
    <w:name w:val="Table Grid 8114"/>
    <w:basedOn w:val="TableNormal"/>
    <w:next w:val="TableGrid8"/>
    <w:rsid w:val="009032E3"/>
    <w:pPr>
      <w:spacing w:after="200"/>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4">
    <w:name w:val="Table Contemporary114"/>
    <w:basedOn w:val="TableNormal"/>
    <w:next w:val="TableContemporary"/>
    <w:rsid w:val="009032E3"/>
    <w:pPr>
      <w:spacing w:after="200"/>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4">
    <w:name w:val="Colorful Grid - Accent 1214"/>
    <w:basedOn w:val="TableNormal"/>
    <w:next w:val="ColorfulGrid-Accent1"/>
    <w:rsid w:val="009032E3"/>
    <w:pPr>
      <w:spacing w:after="200"/>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4">
    <w:name w:val="Light List - Accent 5214"/>
    <w:basedOn w:val="TableNormal"/>
    <w:next w:val="LightList-Accent5"/>
    <w:rsid w:val="009032E3"/>
    <w:pPr>
      <w:spacing w:after="200"/>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4">
    <w:name w:val="No List814"/>
    <w:next w:val="NoList"/>
    <w:uiPriority w:val="99"/>
    <w:semiHidden/>
    <w:unhideWhenUsed/>
    <w:rsid w:val="009032E3"/>
  </w:style>
  <w:style w:type="numbering" w:customStyle="1" w:styleId="1214">
    <w:name w:val="Нет списка1214"/>
    <w:next w:val="NoList"/>
    <w:uiPriority w:val="99"/>
    <w:semiHidden/>
    <w:unhideWhenUsed/>
    <w:rsid w:val="009032E3"/>
  </w:style>
  <w:style w:type="numbering" w:customStyle="1" w:styleId="NoList1314">
    <w:name w:val="No List1314"/>
    <w:next w:val="NoList"/>
    <w:semiHidden/>
    <w:unhideWhenUsed/>
    <w:rsid w:val="009032E3"/>
  </w:style>
  <w:style w:type="numbering" w:customStyle="1" w:styleId="NoList2115">
    <w:name w:val="No List2115"/>
    <w:next w:val="NoList"/>
    <w:semiHidden/>
    <w:unhideWhenUsed/>
    <w:rsid w:val="009032E3"/>
  </w:style>
  <w:style w:type="numbering" w:customStyle="1" w:styleId="NoList3115">
    <w:name w:val="No List3115"/>
    <w:next w:val="NoList"/>
    <w:semiHidden/>
    <w:unhideWhenUsed/>
    <w:rsid w:val="009032E3"/>
  </w:style>
  <w:style w:type="numbering" w:customStyle="1" w:styleId="11123">
    <w:name w:val="Нет списка11123"/>
    <w:next w:val="NoList"/>
    <w:semiHidden/>
    <w:unhideWhenUsed/>
    <w:rsid w:val="009032E3"/>
  </w:style>
  <w:style w:type="numbering" w:customStyle="1" w:styleId="NoList4114">
    <w:name w:val="No List4114"/>
    <w:next w:val="NoList"/>
    <w:semiHidden/>
    <w:rsid w:val="009032E3"/>
  </w:style>
  <w:style w:type="numbering" w:customStyle="1" w:styleId="NoList111114">
    <w:name w:val="No List111114"/>
    <w:next w:val="NoList"/>
    <w:semiHidden/>
    <w:unhideWhenUsed/>
    <w:rsid w:val="009032E3"/>
  </w:style>
  <w:style w:type="numbering" w:customStyle="1" w:styleId="111113">
    <w:name w:val="Нет списка111113"/>
    <w:next w:val="NoList"/>
    <w:semiHidden/>
    <w:unhideWhenUsed/>
    <w:rsid w:val="009032E3"/>
  </w:style>
  <w:style w:type="table" w:customStyle="1" w:styleId="TableGrid65">
    <w:name w:val="Table Grid65"/>
    <w:basedOn w:val="TableNormal"/>
    <w:next w:val="TableGrid"/>
    <w:uiPriority w:val="39"/>
    <w:rsid w:val="009032E3"/>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3">
    <w:name w:val="Grid Table 1 Light - Accent 5113"/>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5">
    <w:name w:val="Table Grid225"/>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0">
    <w:name w:val="Table Grid75"/>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 Grid8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3">
    <w:name w:val="Grid Table 1 Light - Accent 113"/>
    <w:basedOn w:val="TableNormal"/>
    <w:uiPriority w:val="46"/>
    <w:rsid w:val="009032E3"/>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List710">
    <w:name w:val="Table List 710"/>
    <w:basedOn w:val="TableNormal"/>
    <w:next w:val="TableList7"/>
    <w:uiPriority w:val="99"/>
    <w:semiHidden/>
    <w:unhideWhenUsed/>
    <w:rsid w:val="009032E3"/>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0">
    <w:name w:val="Table Web 310"/>
    <w:basedOn w:val="TableNormal"/>
    <w:next w:val="TableWeb3"/>
    <w:uiPriority w:val="99"/>
    <w:semiHidden/>
    <w:unhideWhenUsed/>
    <w:rsid w:val="009032E3"/>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0">
    <w:name w:val="Table Elegant10"/>
    <w:basedOn w:val="TableNormal"/>
    <w:next w:val="TableElegant"/>
    <w:uiPriority w:val="99"/>
    <w:semiHidden/>
    <w:unhideWhenUsed/>
    <w:rsid w:val="009032E3"/>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0">
    <w:name w:val="Table Web 210"/>
    <w:basedOn w:val="TableNormal"/>
    <w:next w:val="TableWeb2"/>
    <w:uiPriority w:val="99"/>
    <w:semiHidden/>
    <w:unhideWhenUsed/>
    <w:rsid w:val="009032E3"/>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0">
    <w:name w:val="Table Web 110"/>
    <w:basedOn w:val="TableNormal"/>
    <w:next w:val="TableWeb1"/>
    <w:uiPriority w:val="99"/>
    <w:semiHidden/>
    <w:unhideWhenUsed/>
    <w:rsid w:val="009032E3"/>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00">
    <w:name w:val="Table Grid 810"/>
    <w:basedOn w:val="TableNormal"/>
    <w:next w:val="TableGrid8"/>
    <w:uiPriority w:val="99"/>
    <w:semiHidden/>
    <w:unhideWhenUsed/>
    <w:rsid w:val="009032E3"/>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0">
    <w:name w:val="Table Contemporary10"/>
    <w:basedOn w:val="TableNormal"/>
    <w:next w:val="TableContemporary"/>
    <w:uiPriority w:val="99"/>
    <w:semiHidden/>
    <w:unhideWhenUsed/>
    <w:rsid w:val="009032E3"/>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30">
    <w:name w:val="Light List - Accent 130"/>
    <w:basedOn w:val="TableNormal"/>
    <w:next w:val="LightList-Accent1"/>
    <w:uiPriority w:val="61"/>
    <w:semiHidden/>
    <w:unhideWhenUsed/>
    <w:rsid w:val="009032E3"/>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100">
    <w:name w:val="Table Grid 710"/>
    <w:basedOn w:val="TableNormal"/>
    <w:next w:val="TableGrid7"/>
    <w:uiPriority w:val="99"/>
    <w:semiHidden/>
    <w:unhideWhenUsed/>
    <w:rsid w:val="009032E3"/>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0">
    <w:name w:val="Colorful Grid - Accent 120"/>
    <w:basedOn w:val="TableNormal"/>
    <w:next w:val="ColorfulGrid-Accent1"/>
    <w:uiPriority w:val="73"/>
    <w:semiHidden/>
    <w:unhideWhenUsed/>
    <w:rsid w:val="009032E3"/>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20">
    <w:name w:val="Light List - Accent 520"/>
    <w:basedOn w:val="TableNormal"/>
    <w:next w:val="LightList-Accent5"/>
    <w:uiPriority w:val="61"/>
    <w:semiHidden/>
    <w:unhideWhenUsed/>
    <w:rsid w:val="009032E3"/>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10">
    <w:name w:val="Table Simple 310"/>
    <w:basedOn w:val="TableNormal"/>
    <w:next w:val="TableSimple3"/>
    <w:uiPriority w:val="99"/>
    <w:semiHidden/>
    <w:unhideWhenUsed/>
    <w:rsid w:val="009032E3"/>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00">
    <w:name w:val="Table Grid 510"/>
    <w:basedOn w:val="TableNormal"/>
    <w:next w:val="TableGrid5"/>
    <w:uiPriority w:val="99"/>
    <w:semiHidden/>
    <w:unhideWhenUsed/>
    <w:rsid w:val="009032E3"/>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00">
    <w:name w:val="Table Grid 310"/>
    <w:basedOn w:val="TableNormal"/>
    <w:next w:val="TableGrid3"/>
    <w:uiPriority w:val="99"/>
    <w:semiHidden/>
    <w:unhideWhenUsed/>
    <w:rsid w:val="009032E3"/>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2">
    <w:name w:val="Table Grid 110"/>
    <w:basedOn w:val="TableNormal"/>
    <w:next w:val="TableGrid10"/>
    <w:uiPriority w:val="99"/>
    <w:semiHidden/>
    <w:unhideWhenUsed/>
    <w:rsid w:val="009032E3"/>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0">
    <w:name w:val="Table Columns 510"/>
    <w:basedOn w:val="TableNormal"/>
    <w:next w:val="TableColumns5"/>
    <w:uiPriority w:val="99"/>
    <w:semiHidden/>
    <w:unhideWhenUsed/>
    <w:rsid w:val="009032E3"/>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3Deffects310">
    <w:name w:val="Table 3D effects 310"/>
    <w:basedOn w:val="TableNormal"/>
    <w:next w:val="Table3Deffects3"/>
    <w:uiPriority w:val="99"/>
    <w:semiHidden/>
    <w:unhideWhenUsed/>
    <w:rsid w:val="009032E3"/>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54">
    <w:name w:val="No List154"/>
    <w:next w:val="NoList"/>
    <w:uiPriority w:val="99"/>
    <w:semiHidden/>
    <w:unhideWhenUsed/>
    <w:rsid w:val="009032E3"/>
  </w:style>
  <w:style w:type="table" w:customStyle="1" w:styleId="TableGrid124">
    <w:name w:val="Table Grid124"/>
    <w:basedOn w:val="TableNormal"/>
    <w:next w:val="TableGrid"/>
    <w:uiPriority w:val="39"/>
    <w:rsid w:val="009032E3"/>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4">
    <w:name w:val="Table List 724"/>
    <w:basedOn w:val="TableNormal"/>
    <w:next w:val="TableList7"/>
    <w:rsid w:val="009032E3"/>
    <w:pPr>
      <w:spacing w:after="200"/>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4">
    <w:name w:val="Table Web 324"/>
    <w:basedOn w:val="TableNormal"/>
    <w:next w:val="TableWeb3"/>
    <w:rsid w:val="009032E3"/>
    <w:pPr>
      <w:spacing w:after="200"/>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4">
    <w:name w:val="Table Elegant24"/>
    <w:basedOn w:val="TableNormal"/>
    <w:next w:val="TableElegant"/>
    <w:rsid w:val="009032E3"/>
    <w:pPr>
      <w:spacing w:after="200"/>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4">
    <w:name w:val="Table Web 234"/>
    <w:basedOn w:val="TableNormal"/>
    <w:next w:val="TableWeb2"/>
    <w:rsid w:val="009032E3"/>
    <w:pPr>
      <w:spacing w:after="200"/>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4">
    <w:name w:val="Table Web 134"/>
    <w:basedOn w:val="TableNormal"/>
    <w:next w:val="TableWeb1"/>
    <w:rsid w:val="009032E3"/>
    <w:pPr>
      <w:spacing w:after="200"/>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4">
    <w:name w:val="Table Grid 834"/>
    <w:basedOn w:val="TableNormal"/>
    <w:next w:val="TableGrid8"/>
    <w:rsid w:val="009032E3"/>
    <w:pPr>
      <w:spacing w:after="200"/>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4">
    <w:name w:val="Table Contemporary34"/>
    <w:basedOn w:val="TableNormal"/>
    <w:next w:val="TableContemporary"/>
    <w:rsid w:val="009032E3"/>
    <w:pPr>
      <w:spacing w:after="200"/>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64">
    <w:name w:val="No List164"/>
    <w:next w:val="NoList"/>
    <w:semiHidden/>
    <w:unhideWhenUsed/>
    <w:rsid w:val="009032E3"/>
  </w:style>
  <w:style w:type="numbering" w:customStyle="1" w:styleId="NoList234">
    <w:name w:val="No List234"/>
    <w:next w:val="NoList"/>
    <w:semiHidden/>
    <w:unhideWhenUsed/>
    <w:rsid w:val="009032E3"/>
  </w:style>
  <w:style w:type="numbering" w:customStyle="1" w:styleId="NoList334">
    <w:name w:val="No List334"/>
    <w:next w:val="NoList"/>
    <w:semiHidden/>
    <w:unhideWhenUsed/>
    <w:rsid w:val="009032E3"/>
  </w:style>
  <w:style w:type="table" w:customStyle="1" w:styleId="LightList-Accent134">
    <w:name w:val="Light List - Accent 134"/>
    <w:basedOn w:val="TableNormal"/>
    <w:next w:val="LightList-Accent1"/>
    <w:uiPriority w:val="61"/>
    <w:rsid w:val="009032E3"/>
    <w:pPr>
      <w:spacing w:after="200"/>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4">
    <w:name w:val="Table Grid 724"/>
    <w:basedOn w:val="TableNormal"/>
    <w:next w:val="TableGrid7"/>
    <w:rsid w:val="009032E3"/>
    <w:pPr>
      <w:spacing w:after="200"/>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4">
    <w:name w:val="Colorful Grid - Accent 144"/>
    <w:basedOn w:val="TableNormal"/>
    <w:next w:val="ColorfulGrid-Accent1"/>
    <w:uiPriority w:val="73"/>
    <w:rsid w:val="009032E3"/>
    <w:pPr>
      <w:spacing w:after="200"/>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4">
    <w:name w:val="Light List - Accent 544"/>
    <w:basedOn w:val="TableNormal"/>
    <w:next w:val="LightList-Accent5"/>
    <w:uiPriority w:val="61"/>
    <w:rsid w:val="009032E3"/>
    <w:pPr>
      <w:spacing w:after="200"/>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4">
    <w:name w:val="Table Simple 324"/>
    <w:basedOn w:val="TableNormal"/>
    <w:next w:val="TableSimple3"/>
    <w:rsid w:val="009032E3"/>
    <w:pPr>
      <w:spacing w:after="200"/>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4">
    <w:name w:val="Table Grid 524"/>
    <w:basedOn w:val="TableNormal"/>
    <w:next w:val="TableGrid5"/>
    <w:rsid w:val="009032E3"/>
    <w:pPr>
      <w:spacing w:after="200"/>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4">
    <w:name w:val="Table Grid 324"/>
    <w:basedOn w:val="TableNormal"/>
    <w:next w:val="TableGrid3"/>
    <w:rsid w:val="009032E3"/>
    <w:pPr>
      <w:spacing w:after="200"/>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40">
    <w:name w:val="Table Grid 124"/>
    <w:basedOn w:val="TableNormal"/>
    <w:next w:val="TableGrid10"/>
    <w:rsid w:val="009032E3"/>
    <w:pPr>
      <w:spacing w:after="200"/>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4">
    <w:name w:val="Table Columns 524"/>
    <w:basedOn w:val="TableNormal"/>
    <w:next w:val="TableColumns5"/>
    <w:rsid w:val="009032E3"/>
    <w:pPr>
      <w:spacing w:after="200"/>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4">
    <w:name w:val="Light List - Accent 1124"/>
    <w:basedOn w:val="TableNormal"/>
    <w:uiPriority w:val="61"/>
    <w:rsid w:val="009032E3"/>
    <w:pPr>
      <w:spacing w:after="200"/>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4">
    <w:name w:val="Нет списка144"/>
    <w:next w:val="NoList"/>
    <w:semiHidden/>
    <w:unhideWhenUsed/>
    <w:rsid w:val="009032E3"/>
  </w:style>
  <w:style w:type="table" w:customStyle="1" w:styleId="ColorfulGrid-Accent1124">
    <w:name w:val="Colorful Grid - Accent 1124"/>
    <w:basedOn w:val="TableNormal"/>
    <w:rsid w:val="009032E3"/>
    <w:pPr>
      <w:spacing w:after="200"/>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4">
    <w:name w:val="Light List - Accent 5124"/>
    <w:basedOn w:val="TableNormal"/>
    <w:rsid w:val="009032E3"/>
    <w:pPr>
      <w:spacing w:after="200"/>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4">
    <w:name w:val="No List434"/>
    <w:next w:val="NoList"/>
    <w:semiHidden/>
    <w:rsid w:val="009032E3"/>
  </w:style>
  <w:style w:type="numbering" w:customStyle="1" w:styleId="NoList1134">
    <w:name w:val="No List1134"/>
    <w:next w:val="NoList"/>
    <w:semiHidden/>
    <w:unhideWhenUsed/>
    <w:rsid w:val="009032E3"/>
  </w:style>
  <w:style w:type="table" w:customStyle="1" w:styleId="Table3Deffects324">
    <w:name w:val="Table 3D effects 324"/>
    <w:basedOn w:val="TableNormal"/>
    <w:next w:val="Table3Deffects3"/>
    <w:rsid w:val="009032E3"/>
    <w:pPr>
      <w:spacing w:after="200"/>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NoList"/>
    <w:semiHidden/>
    <w:unhideWhenUsed/>
    <w:rsid w:val="009032E3"/>
  </w:style>
  <w:style w:type="table" w:customStyle="1" w:styleId="TableGrid134">
    <w:name w:val="Table Grid134"/>
    <w:basedOn w:val="TableNormal"/>
    <w:next w:val="TableGrid"/>
    <w:rsid w:val="009032E3"/>
    <w:pPr>
      <w:spacing w:after="200"/>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4">
    <w:name w:val="No List524"/>
    <w:next w:val="NoList"/>
    <w:uiPriority w:val="99"/>
    <w:semiHidden/>
    <w:rsid w:val="009032E3"/>
  </w:style>
  <w:style w:type="numbering" w:customStyle="1" w:styleId="NoList622">
    <w:name w:val="No List622"/>
    <w:next w:val="NoList"/>
    <w:uiPriority w:val="99"/>
    <w:semiHidden/>
    <w:unhideWhenUsed/>
    <w:rsid w:val="009032E3"/>
  </w:style>
  <w:style w:type="table" w:customStyle="1" w:styleId="TableGrid233">
    <w:name w:val="Table Grid233"/>
    <w:basedOn w:val="TableNormal"/>
    <w:next w:val="TableGrid"/>
    <w:rsid w:val="009032E3"/>
    <w:pPr>
      <w:spacing w:after="200"/>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2">
    <w:name w:val="No List722"/>
    <w:next w:val="NoList"/>
    <w:uiPriority w:val="99"/>
    <w:semiHidden/>
    <w:unhideWhenUsed/>
    <w:rsid w:val="009032E3"/>
  </w:style>
  <w:style w:type="numbering" w:customStyle="1" w:styleId="NoList1224">
    <w:name w:val="No List1224"/>
    <w:next w:val="NoList"/>
    <w:uiPriority w:val="99"/>
    <w:semiHidden/>
    <w:unhideWhenUsed/>
    <w:rsid w:val="009032E3"/>
  </w:style>
  <w:style w:type="table" w:customStyle="1" w:styleId="TableGrid3220">
    <w:name w:val="Table Grid322"/>
    <w:basedOn w:val="TableNormal"/>
    <w:next w:val="TableGrid"/>
    <w:rsid w:val="009032E3"/>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2">
    <w:name w:val="Table Web 2122"/>
    <w:basedOn w:val="TableNormal"/>
    <w:next w:val="TableWeb2"/>
    <w:rsid w:val="009032E3"/>
    <w:pPr>
      <w:spacing w:after="200"/>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2">
    <w:name w:val="Table Web 1122"/>
    <w:basedOn w:val="TableNormal"/>
    <w:next w:val="TableWeb1"/>
    <w:rsid w:val="009032E3"/>
    <w:pPr>
      <w:spacing w:after="200"/>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2">
    <w:name w:val="Table Grid 8122"/>
    <w:basedOn w:val="TableNormal"/>
    <w:next w:val="TableGrid8"/>
    <w:rsid w:val="009032E3"/>
    <w:pPr>
      <w:spacing w:after="200"/>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2">
    <w:name w:val="Table Contemporary122"/>
    <w:basedOn w:val="TableNormal"/>
    <w:next w:val="TableContemporary"/>
    <w:rsid w:val="009032E3"/>
    <w:pPr>
      <w:spacing w:after="200"/>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2">
    <w:name w:val="Colorful Grid - Accent 1222"/>
    <w:basedOn w:val="TableNormal"/>
    <w:next w:val="ColorfulGrid-Accent1"/>
    <w:rsid w:val="009032E3"/>
    <w:pPr>
      <w:spacing w:after="200"/>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2">
    <w:name w:val="Light List - Accent 5222"/>
    <w:basedOn w:val="TableNormal"/>
    <w:next w:val="LightList-Accent5"/>
    <w:rsid w:val="009032E3"/>
    <w:pPr>
      <w:spacing w:after="200"/>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2">
    <w:name w:val="No List822"/>
    <w:next w:val="NoList"/>
    <w:uiPriority w:val="99"/>
    <w:semiHidden/>
    <w:unhideWhenUsed/>
    <w:rsid w:val="009032E3"/>
  </w:style>
  <w:style w:type="numbering" w:customStyle="1" w:styleId="1222">
    <w:name w:val="Нет списка1222"/>
    <w:next w:val="NoList"/>
    <w:uiPriority w:val="99"/>
    <w:semiHidden/>
    <w:unhideWhenUsed/>
    <w:rsid w:val="009032E3"/>
  </w:style>
  <w:style w:type="numbering" w:customStyle="1" w:styleId="NoList1322">
    <w:name w:val="No List1322"/>
    <w:next w:val="NoList"/>
    <w:semiHidden/>
    <w:unhideWhenUsed/>
    <w:rsid w:val="009032E3"/>
  </w:style>
  <w:style w:type="numbering" w:customStyle="1" w:styleId="NoList2124">
    <w:name w:val="No List2124"/>
    <w:next w:val="NoList"/>
    <w:semiHidden/>
    <w:unhideWhenUsed/>
    <w:rsid w:val="009032E3"/>
  </w:style>
  <w:style w:type="numbering" w:customStyle="1" w:styleId="NoList3124">
    <w:name w:val="No List3124"/>
    <w:next w:val="NoList"/>
    <w:semiHidden/>
    <w:unhideWhenUsed/>
    <w:rsid w:val="009032E3"/>
  </w:style>
  <w:style w:type="numbering" w:customStyle="1" w:styleId="11132">
    <w:name w:val="Нет списка11132"/>
    <w:next w:val="NoList"/>
    <w:semiHidden/>
    <w:unhideWhenUsed/>
    <w:rsid w:val="009032E3"/>
  </w:style>
  <w:style w:type="numbering" w:customStyle="1" w:styleId="NoList4122">
    <w:name w:val="No List4122"/>
    <w:next w:val="NoList"/>
    <w:semiHidden/>
    <w:rsid w:val="009032E3"/>
  </w:style>
  <w:style w:type="numbering" w:customStyle="1" w:styleId="NoList11124">
    <w:name w:val="No List11124"/>
    <w:next w:val="NoList"/>
    <w:semiHidden/>
    <w:unhideWhenUsed/>
    <w:rsid w:val="009032E3"/>
  </w:style>
  <w:style w:type="numbering" w:customStyle="1" w:styleId="111122">
    <w:name w:val="Нет списка111122"/>
    <w:next w:val="NoList"/>
    <w:semiHidden/>
    <w:unhideWhenUsed/>
    <w:rsid w:val="009032E3"/>
  </w:style>
  <w:style w:type="numbering" w:customStyle="1" w:styleId="NoList913">
    <w:name w:val="No List913"/>
    <w:next w:val="NoList"/>
    <w:uiPriority w:val="99"/>
    <w:semiHidden/>
    <w:unhideWhenUsed/>
    <w:rsid w:val="009032E3"/>
  </w:style>
  <w:style w:type="table" w:customStyle="1" w:styleId="TableGrid422">
    <w:name w:val="Table Grid422"/>
    <w:basedOn w:val="TableNormal"/>
    <w:next w:val="TableGrid"/>
    <w:uiPriority w:val="39"/>
    <w:rsid w:val="009032E3"/>
    <w:pPr>
      <w:spacing w:after="200"/>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1">
    <w:name w:val="Grid Table 1 Light - Accent 5121"/>
    <w:basedOn w:val="TableNormal"/>
    <w:uiPriority w:val="46"/>
    <w:rsid w:val="009032E3"/>
    <w:pPr>
      <w:spacing w:after="200"/>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11">
    <w:name w:val="Plain Table 3111"/>
    <w:basedOn w:val="TableNormal"/>
    <w:uiPriority w:val="43"/>
    <w:rsid w:val="009032E3"/>
    <w:pPr>
      <w:spacing w:after="200"/>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1">
    <w:name w:val="Grid Table 4 - Accent 1111"/>
    <w:basedOn w:val="TableNormal"/>
    <w:uiPriority w:val="49"/>
    <w:rsid w:val="009032E3"/>
    <w:pPr>
      <w:spacing w:after="200"/>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13">
    <w:name w:val="No List1013"/>
    <w:next w:val="NoList"/>
    <w:uiPriority w:val="99"/>
    <w:semiHidden/>
    <w:unhideWhenUsed/>
    <w:rsid w:val="009032E3"/>
  </w:style>
  <w:style w:type="table" w:customStyle="1" w:styleId="TableGrid5130">
    <w:name w:val="Table Grid513"/>
    <w:basedOn w:val="TableNormal"/>
    <w:next w:val="TableGrid"/>
    <w:uiPriority w:val="39"/>
    <w:rsid w:val="009032E3"/>
    <w:pPr>
      <w:spacing w:after="20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2">
    <w:name w:val="Table List 7122"/>
    <w:basedOn w:val="TableNormal"/>
    <w:next w:val="TableList7"/>
    <w:rsid w:val="009032E3"/>
    <w:pPr>
      <w:spacing w:after="200"/>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2">
    <w:name w:val="Table Web 3122"/>
    <w:basedOn w:val="TableNormal"/>
    <w:next w:val="TableWeb3"/>
    <w:rsid w:val="009032E3"/>
    <w:pPr>
      <w:spacing w:after="200"/>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2">
    <w:name w:val="Table Elegant122"/>
    <w:basedOn w:val="TableNormal"/>
    <w:next w:val="TableElegant"/>
    <w:rsid w:val="009032E3"/>
    <w:pPr>
      <w:spacing w:after="200"/>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3">
    <w:name w:val="Table Web 2213"/>
    <w:basedOn w:val="TableNormal"/>
    <w:next w:val="TableWeb2"/>
    <w:rsid w:val="009032E3"/>
    <w:pPr>
      <w:spacing w:after="200"/>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3">
    <w:name w:val="Table Web 1213"/>
    <w:basedOn w:val="TableNormal"/>
    <w:next w:val="TableWeb1"/>
    <w:rsid w:val="009032E3"/>
    <w:pPr>
      <w:spacing w:after="200"/>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3">
    <w:name w:val="Table Grid 8213"/>
    <w:basedOn w:val="TableNormal"/>
    <w:next w:val="TableGrid8"/>
    <w:rsid w:val="009032E3"/>
    <w:pPr>
      <w:spacing w:after="200"/>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3">
    <w:name w:val="Table Contemporary213"/>
    <w:basedOn w:val="TableNormal"/>
    <w:next w:val="TableContemporary"/>
    <w:rsid w:val="009032E3"/>
    <w:pPr>
      <w:spacing w:after="200"/>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3">
    <w:name w:val="No List1413"/>
    <w:next w:val="NoList"/>
    <w:semiHidden/>
    <w:unhideWhenUsed/>
    <w:rsid w:val="009032E3"/>
  </w:style>
  <w:style w:type="numbering" w:customStyle="1" w:styleId="NoList2213">
    <w:name w:val="No List2213"/>
    <w:next w:val="NoList"/>
    <w:semiHidden/>
    <w:unhideWhenUsed/>
    <w:rsid w:val="009032E3"/>
  </w:style>
  <w:style w:type="numbering" w:customStyle="1" w:styleId="NoList3213">
    <w:name w:val="No List3213"/>
    <w:next w:val="NoList"/>
    <w:semiHidden/>
    <w:unhideWhenUsed/>
    <w:rsid w:val="009032E3"/>
  </w:style>
  <w:style w:type="table" w:customStyle="1" w:styleId="LightList-Accent1213">
    <w:name w:val="Light List - Accent 1213"/>
    <w:basedOn w:val="TableNormal"/>
    <w:uiPriority w:val="61"/>
    <w:rsid w:val="009032E3"/>
    <w:pPr>
      <w:spacing w:after="200"/>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2">
    <w:name w:val="Table Grid 7122"/>
    <w:basedOn w:val="TableNormal"/>
    <w:next w:val="TableGrid7"/>
    <w:rsid w:val="009032E3"/>
    <w:pPr>
      <w:spacing w:after="200"/>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3">
    <w:name w:val="Colorful Grid - Accent 1313"/>
    <w:basedOn w:val="TableNormal"/>
    <w:next w:val="ColorfulGrid-Accent1"/>
    <w:uiPriority w:val="73"/>
    <w:rsid w:val="009032E3"/>
    <w:pPr>
      <w:spacing w:after="200"/>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3">
    <w:name w:val="Light List - Accent 5313"/>
    <w:basedOn w:val="TableNormal"/>
    <w:next w:val="LightList-Accent5"/>
    <w:uiPriority w:val="61"/>
    <w:rsid w:val="009032E3"/>
    <w:pPr>
      <w:spacing w:after="200"/>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2">
    <w:name w:val="Table Simple 3122"/>
    <w:basedOn w:val="TableNormal"/>
    <w:next w:val="TableSimple3"/>
    <w:rsid w:val="009032E3"/>
    <w:pPr>
      <w:spacing w:after="200"/>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2">
    <w:name w:val="Table Grid 5122"/>
    <w:basedOn w:val="TableNormal"/>
    <w:next w:val="TableGrid5"/>
    <w:rsid w:val="009032E3"/>
    <w:pPr>
      <w:spacing w:after="200"/>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2">
    <w:name w:val="Table Grid 3122"/>
    <w:basedOn w:val="TableNormal"/>
    <w:next w:val="TableGrid3"/>
    <w:rsid w:val="009032E3"/>
    <w:pPr>
      <w:spacing w:after="200"/>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2">
    <w:name w:val="Table Grid 1122"/>
    <w:basedOn w:val="TableNormal"/>
    <w:next w:val="TableGrid10"/>
    <w:rsid w:val="009032E3"/>
    <w:pPr>
      <w:spacing w:after="200"/>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2">
    <w:name w:val="Table Columns 5122"/>
    <w:basedOn w:val="TableNormal"/>
    <w:next w:val="TableColumns5"/>
    <w:rsid w:val="009032E3"/>
    <w:pPr>
      <w:spacing w:after="200"/>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3">
    <w:name w:val="Light List - Accent 11113"/>
    <w:basedOn w:val="TableNormal"/>
    <w:uiPriority w:val="61"/>
    <w:rsid w:val="009032E3"/>
    <w:pPr>
      <w:spacing w:after="200"/>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3">
    <w:name w:val="Нет списка1313"/>
    <w:next w:val="NoList"/>
    <w:semiHidden/>
    <w:unhideWhenUsed/>
    <w:rsid w:val="009032E3"/>
  </w:style>
  <w:style w:type="table" w:customStyle="1" w:styleId="ColorfulGrid-Accent11113">
    <w:name w:val="Colorful Grid - Accent 11113"/>
    <w:basedOn w:val="TableNormal"/>
    <w:rsid w:val="009032E3"/>
    <w:pPr>
      <w:spacing w:after="200"/>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3">
    <w:name w:val="Light List - Accent 51113"/>
    <w:basedOn w:val="TableNormal"/>
    <w:rsid w:val="009032E3"/>
    <w:pPr>
      <w:spacing w:after="200"/>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3">
    <w:name w:val="No List4213"/>
    <w:next w:val="NoList"/>
    <w:semiHidden/>
    <w:rsid w:val="009032E3"/>
  </w:style>
  <w:style w:type="numbering" w:customStyle="1" w:styleId="NoList11214">
    <w:name w:val="No List11214"/>
    <w:next w:val="NoList"/>
    <w:semiHidden/>
    <w:unhideWhenUsed/>
    <w:rsid w:val="009032E3"/>
  </w:style>
  <w:style w:type="table" w:customStyle="1" w:styleId="Table3Deffects3122">
    <w:name w:val="Table 3D effects 3122"/>
    <w:basedOn w:val="TableNormal"/>
    <w:next w:val="Table3Deffects3"/>
    <w:rsid w:val="009032E3"/>
    <w:pPr>
      <w:spacing w:after="200"/>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3">
    <w:name w:val="Нет списка11213"/>
    <w:next w:val="NoList"/>
    <w:semiHidden/>
    <w:unhideWhenUsed/>
    <w:rsid w:val="009032E3"/>
  </w:style>
  <w:style w:type="table" w:customStyle="1" w:styleId="TableGrid11220">
    <w:name w:val="Table Grid1122"/>
    <w:basedOn w:val="TableNormal"/>
    <w:next w:val="TableGrid"/>
    <w:rsid w:val="009032E3"/>
    <w:pPr>
      <w:spacing w:after="200"/>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3">
    <w:name w:val="No List5113"/>
    <w:next w:val="NoList"/>
    <w:uiPriority w:val="99"/>
    <w:semiHidden/>
    <w:rsid w:val="009032E3"/>
  </w:style>
  <w:style w:type="numbering" w:customStyle="1" w:styleId="NoList6112">
    <w:name w:val="No List6112"/>
    <w:next w:val="NoList"/>
    <w:uiPriority w:val="99"/>
    <w:semiHidden/>
    <w:unhideWhenUsed/>
    <w:rsid w:val="009032E3"/>
  </w:style>
  <w:style w:type="table" w:customStyle="1" w:styleId="TableGrid2113">
    <w:name w:val="Table Grid2113"/>
    <w:basedOn w:val="TableNormal"/>
    <w:next w:val="TableGrid"/>
    <w:rsid w:val="009032E3"/>
    <w:pPr>
      <w:spacing w:after="200"/>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12">
    <w:name w:val="No List7112"/>
    <w:next w:val="NoList"/>
    <w:uiPriority w:val="99"/>
    <w:semiHidden/>
    <w:unhideWhenUsed/>
    <w:rsid w:val="009032E3"/>
  </w:style>
  <w:style w:type="numbering" w:customStyle="1" w:styleId="NoList12113">
    <w:name w:val="No List12113"/>
    <w:next w:val="NoList"/>
    <w:uiPriority w:val="99"/>
    <w:semiHidden/>
    <w:unhideWhenUsed/>
    <w:rsid w:val="009032E3"/>
  </w:style>
  <w:style w:type="table" w:customStyle="1" w:styleId="TableGrid31120">
    <w:name w:val="Table Grid3112"/>
    <w:basedOn w:val="TableNormal"/>
    <w:next w:val="TableGrid"/>
    <w:rsid w:val="009032E3"/>
    <w:pPr>
      <w:spacing w:after="20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2">
    <w:name w:val="Table Web 21112"/>
    <w:basedOn w:val="TableNormal"/>
    <w:next w:val="TableWeb2"/>
    <w:rsid w:val="009032E3"/>
    <w:pPr>
      <w:spacing w:after="200"/>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2">
    <w:name w:val="Table Web 11112"/>
    <w:basedOn w:val="TableNormal"/>
    <w:next w:val="TableWeb1"/>
    <w:rsid w:val="009032E3"/>
    <w:pPr>
      <w:spacing w:after="200"/>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2">
    <w:name w:val="Table Grid 81112"/>
    <w:basedOn w:val="TableNormal"/>
    <w:next w:val="TableGrid8"/>
    <w:rsid w:val="009032E3"/>
    <w:pPr>
      <w:spacing w:after="200"/>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2">
    <w:name w:val="Table Contemporary1112"/>
    <w:basedOn w:val="TableNormal"/>
    <w:next w:val="TableContemporary"/>
    <w:rsid w:val="009032E3"/>
    <w:pPr>
      <w:spacing w:after="200"/>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2">
    <w:name w:val="Colorful Grid - Accent 12112"/>
    <w:basedOn w:val="TableNormal"/>
    <w:next w:val="ColorfulGrid-Accent1"/>
    <w:rsid w:val="009032E3"/>
    <w:pPr>
      <w:spacing w:after="200"/>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2">
    <w:name w:val="Light List - Accent 52112"/>
    <w:basedOn w:val="TableNormal"/>
    <w:next w:val="LightList-Accent5"/>
    <w:rsid w:val="009032E3"/>
    <w:pPr>
      <w:spacing w:after="200"/>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2">
    <w:name w:val="No List8112"/>
    <w:next w:val="NoList"/>
    <w:uiPriority w:val="99"/>
    <w:semiHidden/>
    <w:unhideWhenUsed/>
    <w:rsid w:val="009032E3"/>
  </w:style>
  <w:style w:type="numbering" w:customStyle="1" w:styleId="12112">
    <w:name w:val="Нет списка12112"/>
    <w:next w:val="NoList"/>
    <w:uiPriority w:val="99"/>
    <w:semiHidden/>
    <w:unhideWhenUsed/>
    <w:rsid w:val="009032E3"/>
  </w:style>
  <w:style w:type="numbering" w:customStyle="1" w:styleId="NoList13112">
    <w:name w:val="No List13112"/>
    <w:next w:val="NoList"/>
    <w:semiHidden/>
    <w:unhideWhenUsed/>
    <w:rsid w:val="009032E3"/>
  </w:style>
  <w:style w:type="numbering" w:customStyle="1" w:styleId="NoList21113">
    <w:name w:val="No List21113"/>
    <w:next w:val="NoList"/>
    <w:semiHidden/>
    <w:unhideWhenUsed/>
    <w:rsid w:val="009032E3"/>
  </w:style>
  <w:style w:type="numbering" w:customStyle="1" w:styleId="NoList31113">
    <w:name w:val="No List31113"/>
    <w:next w:val="NoList"/>
    <w:semiHidden/>
    <w:unhideWhenUsed/>
    <w:rsid w:val="009032E3"/>
  </w:style>
  <w:style w:type="numbering" w:customStyle="1" w:styleId="111212">
    <w:name w:val="Нет списка111212"/>
    <w:next w:val="NoList"/>
    <w:semiHidden/>
    <w:unhideWhenUsed/>
    <w:rsid w:val="009032E3"/>
  </w:style>
  <w:style w:type="numbering" w:customStyle="1" w:styleId="NoList41112">
    <w:name w:val="No List41112"/>
    <w:next w:val="NoList"/>
    <w:semiHidden/>
    <w:rsid w:val="009032E3"/>
  </w:style>
  <w:style w:type="numbering" w:customStyle="1" w:styleId="NoList111124">
    <w:name w:val="No List111124"/>
    <w:next w:val="NoList"/>
    <w:semiHidden/>
    <w:unhideWhenUsed/>
    <w:rsid w:val="009032E3"/>
  </w:style>
  <w:style w:type="numbering" w:customStyle="1" w:styleId="1111112">
    <w:name w:val="Нет списка1111112"/>
    <w:next w:val="NoList"/>
    <w:semiHidden/>
    <w:unhideWhenUsed/>
    <w:rsid w:val="009032E3"/>
  </w:style>
  <w:style w:type="table" w:customStyle="1" w:styleId="TableGrid613">
    <w:name w:val="Table Grid613"/>
    <w:basedOn w:val="TableNormal"/>
    <w:next w:val="TableGrid"/>
    <w:uiPriority w:val="39"/>
    <w:rsid w:val="009032E3"/>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2">
    <w:name w:val="Grid Table 1 Light - Accent 51112"/>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4">
    <w:name w:val="Table Grid221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0">
    <w:name w:val="Table Grid7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 Grid8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1">
    <w:name w:val="Grid Table 1 Light - Accent 1111"/>
    <w:basedOn w:val="TableNormal"/>
    <w:uiPriority w:val="46"/>
    <w:rsid w:val="009032E3"/>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143">
    <w:name w:val="Table Grid143"/>
    <w:basedOn w:val="TableNormal"/>
    <w:next w:val="TableGrid"/>
    <w:rsid w:val="009032E3"/>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0">
    <w:name w:val="Table Grid721"/>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9032E3"/>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0">
    <w:name w:val="Table Grid731"/>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39"/>
    <w:rsid w:val="009032E3"/>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9032E3"/>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11132"/>
    <w:basedOn w:val="TableNormal"/>
    <w:next w:val="TableGrid"/>
    <w:uiPriority w:val="39"/>
    <w:rsid w:val="009032E3"/>
    <w:pPr>
      <w:spacing w:after="200"/>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1">
    <w:name w:val="Table Grid111311"/>
    <w:basedOn w:val="TableNormal"/>
    <w:next w:val="TableGrid"/>
    <w:uiPriority w:val="39"/>
    <w:rsid w:val="009032E3"/>
    <w:pPr>
      <w:spacing w:after="200"/>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6">
    <w:name w:val="No List66"/>
    <w:next w:val="NoList"/>
    <w:uiPriority w:val="99"/>
    <w:semiHidden/>
    <w:unhideWhenUsed/>
    <w:rsid w:val="00E27F1D"/>
  </w:style>
  <w:style w:type="numbering" w:customStyle="1" w:styleId="NoList2221">
    <w:name w:val="No List2221"/>
    <w:next w:val="NoList"/>
    <w:semiHidden/>
    <w:rsid w:val="009F0A25"/>
  </w:style>
  <w:style w:type="numbering" w:customStyle="1" w:styleId="NoList3221">
    <w:name w:val="No List3221"/>
    <w:next w:val="NoList"/>
    <w:semiHidden/>
    <w:unhideWhenUsed/>
    <w:rsid w:val="009F0A25"/>
  </w:style>
  <w:style w:type="numbering" w:customStyle="1" w:styleId="NoList5121">
    <w:name w:val="No List5121"/>
    <w:next w:val="NoList"/>
    <w:uiPriority w:val="99"/>
    <w:semiHidden/>
    <w:unhideWhenUsed/>
    <w:rsid w:val="009F0A25"/>
  </w:style>
  <w:style w:type="numbering" w:customStyle="1" w:styleId="NoList12121">
    <w:name w:val="No List12121"/>
    <w:next w:val="NoList"/>
    <w:semiHidden/>
    <w:rsid w:val="009F0A25"/>
  </w:style>
  <w:style w:type="numbering" w:customStyle="1" w:styleId="NoList21121">
    <w:name w:val="No List21121"/>
    <w:next w:val="NoList"/>
    <w:semiHidden/>
    <w:rsid w:val="009F0A25"/>
  </w:style>
  <w:style w:type="numbering" w:customStyle="1" w:styleId="NoList31121">
    <w:name w:val="No List31121"/>
    <w:next w:val="NoList"/>
    <w:uiPriority w:val="99"/>
    <w:semiHidden/>
    <w:unhideWhenUsed/>
    <w:rsid w:val="009F0A25"/>
  </w:style>
  <w:style w:type="numbering" w:customStyle="1" w:styleId="NoList921">
    <w:name w:val="No List921"/>
    <w:next w:val="NoList"/>
    <w:uiPriority w:val="99"/>
    <w:semiHidden/>
    <w:unhideWhenUsed/>
    <w:rsid w:val="009F0A25"/>
  </w:style>
  <w:style w:type="numbering" w:customStyle="1" w:styleId="NoList1421">
    <w:name w:val="No List1421"/>
    <w:next w:val="NoList"/>
    <w:semiHidden/>
    <w:unhideWhenUsed/>
    <w:rsid w:val="009F0A25"/>
  </w:style>
  <w:style w:type="numbering" w:customStyle="1" w:styleId="1321">
    <w:name w:val="Нет списка1321"/>
    <w:next w:val="NoList"/>
    <w:semiHidden/>
    <w:unhideWhenUsed/>
    <w:rsid w:val="009F0A25"/>
  </w:style>
  <w:style w:type="numbering" w:customStyle="1" w:styleId="NoList4221">
    <w:name w:val="No List4221"/>
    <w:next w:val="NoList"/>
    <w:semiHidden/>
    <w:rsid w:val="009F0A25"/>
  </w:style>
  <w:style w:type="numbering" w:customStyle="1" w:styleId="11221">
    <w:name w:val="Нет списка11221"/>
    <w:next w:val="NoList"/>
    <w:semiHidden/>
    <w:unhideWhenUsed/>
    <w:rsid w:val="009F0A25"/>
  </w:style>
  <w:style w:type="numbering" w:customStyle="1" w:styleId="NoList1021">
    <w:name w:val="No List1021"/>
    <w:next w:val="NoList"/>
    <w:uiPriority w:val="99"/>
    <w:semiHidden/>
    <w:unhideWhenUsed/>
    <w:rsid w:val="009F0A25"/>
  </w:style>
  <w:style w:type="numbering" w:customStyle="1" w:styleId="NoList1811">
    <w:name w:val="No List1811"/>
    <w:next w:val="NoList"/>
    <w:uiPriority w:val="99"/>
    <w:semiHidden/>
    <w:unhideWhenUsed/>
    <w:rsid w:val="009F0A25"/>
  </w:style>
  <w:style w:type="numbering" w:customStyle="1" w:styleId="1511">
    <w:name w:val="Нет списка1511"/>
    <w:next w:val="NoList"/>
    <w:semiHidden/>
    <w:unhideWhenUsed/>
    <w:rsid w:val="009F0A25"/>
  </w:style>
  <w:style w:type="numbering" w:customStyle="1" w:styleId="NoList4411">
    <w:name w:val="No List4411"/>
    <w:next w:val="NoList"/>
    <w:semiHidden/>
    <w:rsid w:val="009F0A25"/>
  </w:style>
  <w:style w:type="numbering" w:customStyle="1" w:styleId="11411">
    <w:name w:val="Нет списка11411"/>
    <w:next w:val="NoList"/>
    <w:semiHidden/>
    <w:unhideWhenUsed/>
    <w:rsid w:val="009F0A25"/>
  </w:style>
  <w:style w:type="numbering" w:customStyle="1" w:styleId="NoList1111311">
    <w:name w:val="No List1111311"/>
    <w:next w:val="NoList"/>
    <w:semiHidden/>
    <w:rsid w:val="009F0A25"/>
  </w:style>
  <w:style w:type="numbering" w:customStyle="1" w:styleId="NoList5311">
    <w:name w:val="No List5311"/>
    <w:next w:val="NoList"/>
    <w:uiPriority w:val="99"/>
    <w:semiHidden/>
    <w:unhideWhenUsed/>
    <w:rsid w:val="009F0A25"/>
  </w:style>
  <w:style w:type="numbering" w:customStyle="1" w:styleId="NoList12311">
    <w:name w:val="No List12311"/>
    <w:next w:val="NoList"/>
    <w:semiHidden/>
    <w:rsid w:val="009F0A25"/>
  </w:style>
  <w:style w:type="numbering" w:customStyle="1" w:styleId="NoList21311">
    <w:name w:val="No List21311"/>
    <w:next w:val="NoList"/>
    <w:semiHidden/>
    <w:rsid w:val="009F0A25"/>
  </w:style>
  <w:style w:type="numbering" w:customStyle="1" w:styleId="NoList31311">
    <w:name w:val="No List31311"/>
    <w:next w:val="NoList"/>
    <w:uiPriority w:val="99"/>
    <w:semiHidden/>
    <w:unhideWhenUsed/>
    <w:rsid w:val="009F0A25"/>
  </w:style>
  <w:style w:type="numbering" w:customStyle="1" w:styleId="NoList113111">
    <w:name w:val="No List113111"/>
    <w:next w:val="NoList"/>
    <w:semiHidden/>
    <w:rsid w:val="009F0A25"/>
  </w:style>
  <w:style w:type="numbering" w:customStyle="1" w:styleId="NoList1112111">
    <w:name w:val="No List1112111"/>
    <w:next w:val="NoList"/>
    <w:semiHidden/>
    <w:rsid w:val="009F0A25"/>
  </w:style>
  <w:style w:type="numbering" w:customStyle="1" w:styleId="NoList22111">
    <w:name w:val="No List22111"/>
    <w:next w:val="NoList"/>
    <w:semiHidden/>
    <w:rsid w:val="009F0A25"/>
  </w:style>
  <w:style w:type="numbering" w:customStyle="1" w:styleId="NoList32111">
    <w:name w:val="No List32111"/>
    <w:next w:val="NoList"/>
    <w:semiHidden/>
    <w:unhideWhenUsed/>
    <w:rsid w:val="009F0A25"/>
  </w:style>
  <w:style w:type="numbering" w:customStyle="1" w:styleId="NoList51111">
    <w:name w:val="No List51111"/>
    <w:next w:val="NoList"/>
    <w:uiPriority w:val="99"/>
    <w:semiHidden/>
    <w:unhideWhenUsed/>
    <w:rsid w:val="009F0A25"/>
  </w:style>
  <w:style w:type="numbering" w:customStyle="1" w:styleId="NoList121111">
    <w:name w:val="No List121111"/>
    <w:next w:val="NoList"/>
    <w:semiHidden/>
    <w:rsid w:val="009F0A25"/>
  </w:style>
  <w:style w:type="numbering" w:customStyle="1" w:styleId="NoList1121111">
    <w:name w:val="No List1121111"/>
    <w:next w:val="NoList"/>
    <w:semiHidden/>
    <w:rsid w:val="009F0A25"/>
  </w:style>
  <w:style w:type="numbering" w:customStyle="1" w:styleId="NoList1111111111">
    <w:name w:val="No List1111111111"/>
    <w:next w:val="NoList"/>
    <w:semiHidden/>
    <w:rsid w:val="009F0A25"/>
  </w:style>
  <w:style w:type="numbering" w:customStyle="1" w:styleId="NoList211111">
    <w:name w:val="No List211111"/>
    <w:next w:val="NoList"/>
    <w:semiHidden/>
    <w:rsid w:val="009F0A25"/>
  </w:style>
  <w:style w:type="numbering" w:customStyle="1" w:styleId="NoList311111">
    <w:name w:val="No List311111"/>
    <w:next w:val="NoList"/>
    <w:uiPriority w:val="99"/>
    <w:semiHidden/>
    <w:unhideWhenUsed/>
    <w:rsid w:val="009F0A25"/>
  </w:style>
  <w:style w:type="numbering" w:customStyle="1" w:styleId="NoList9111">
    <w:name w:val="No List9111"/>
    <w:next w:val="NoList"/>
    <w:uiPriority w:val="99"/>
    <w:semiHidden/>
    <w:unhideWhenUsed/>
    <w:rsid w:val="009F0A25"/>
  </w:style>
  <w:style w:type="numbering" w:customStyle="1" w:styleId="NoList14111">
    <w:name w:val="No List14111"/>
    <w:next w:val="NoList"/>
    <w:semiHidden/>
    <w:unhideWhenUsed/>
    <w:rsid w:val="009F0A25"/>
  </w:style>
  <w:style w:type="numbering" w:customStyle="1" w:styleId="NoList23111">
    <w:name w:val="No List23111"/>
    <w:next w:val="NoList"/>
    <w:semiHidden/>
    <w:unhideWhenUsed/>
    <w:rsid w:val="009F0A25"/>
  </w:style>
  <w:style w:type="numbering" w:customStyle="1" w:styleId="NoList33111">
    <w:name w:val="No List33111"/>
    <w:next w:val="NoList"/>
    <w:semiHidden/>
    <w:unhideWhenUsed/>
    <w:rsid w:val="009F0A25"/>
  </w:style>
  <w:style w:type="numbering" w:customStyle="1" w:styleId="13111">
    <w:name w:val="Нет списка13111"/>
    <w:next w:val="NoList"/>
    <w:semiHidden/>
    <w:unhideWhenUsed/>
    <w:rsid w:val="009F0A25"/>
  </w:style>
  <w:style w:type="numbering" w:customStyle="1" w:styleId="NoList42111">
    <w:name w:val="No List42111"/>
    <w:next w:val="NoList"/>
    <w:semiHidden/>
    <w:rsid w:val="009F0A25"/>
  </w:style>
  <w:style w:type="numbering" w:customStyle="1" w:styleId="NoList114111">
    <w:name w:val="No List114111"/>
    <w:next w:val="NoList"/>
    <w:semiHidden/>
    <w:unhideWhenUsed/>
    <w:rsid w:val="009F0A25"/>
  </w:style>
  <w:style w:type="numbering" w:customStyle="1" w:styleId="112111">
    <w:name w:val="Нет списка112111"/>
    <w:next w:val="NoList"/>
    <w:semiHidden/>
    <w:unhideWhenUsed/>
    <w:rsid w:val="009F0A25"/>
  </w:style>
  <w:style w:type="numbering" w:customStyle="1" w:styleId="NoList10111">
    <w:name w:val="No List10111"/>
    <w:next w:val="NoList"/>
    <w:uiPriority w:val="99"/>
    <w:semiHidden/>
    <w:unhideWhenUsed/>
    <w:rsid w:val="009F0A25"/>
  </w:style>
  <w:style w:type="numbering" w:customStyle="1" w:styleId="NoList15111">
    <w:name w:val="No List15111"/>
    <w:next w:val="NoList"/>
    <w:semiHidden/>
    <w:unhideWhenUsed/>
    <w:rsid w:val="009F0A25"/>
  </w:style>
  <w:style w:type="numbering" w:customStyle="1" w:styleId="NoList1113111">
    <w:name w:val="No List1113111"/>
    <w:next w:val="NoList"/>
    <w:semiHidden/>
    <w:rsid w:val="009F0A25"/>
  </w:style>
  <w:style w:type="numbering" w:customStyle="1" w:styleId="NoList24111">
    <w:name w:val="No List24111"/>
    <w:next w:val="NoList"/>
    <w:semiHidden/>
    <w:rsid w:val="009F0A25"/>
  </w:style>
  <w:style w:type="numbering" w:customStyle="1" w:styleId="NoList34111">
    <w:name w:val="No List34111"/>
    <w:next w:val="NoList"/>
    <w:semiHidden/>
    <w:unhideWhenUsed/>
    <w:rsid w:val="009F0A25"/>
  </w:style>
  <w:style w:type="numbering" w:customStyle="1" w:styleId="14111">
    <w:name w:val="Нет списка14111"/>
    <w:next w:val="NoList"/>
    <w:semiHidden/>
    <w:unhideWhenUsed/>
    <w:rsid w:val="009F0A25"/>
  </w:style>
  <w:style w:type="numbering" w:customStyle="1" w:styleId="NoList43111">
    <w:name w:val="No List43111"/>
    <w:next w:val="NoList"/>
    <w:semiHidden/>
    <w:rsid w:val="009F0A25"/>
  </w:style>
  <w:style w:type="numbering" w:customStyle="1" w:styleId="113111">
    <w:name w:val="Нет списка113111"/>
    <w:next w:val="NoList"/>
    <w:semiHidden/>
    <w:unhideWhenUsed/>
    <w:rsid w:val="009F0A25"/>
  </w:style>
  <w:style w:type="numbering" w:customStyle="1" w:styleId="NoList52111">
    <w:name w:val="No List52111"/>
    <w:next w:val="NoList"/>
    <w:uiPriority w:val="99"/>
    <w:semiHidden/>
    <w:unhideWhenUsed/>
    <w:rsid w:val="009F0A25"/>
  </w:style>
  <w:style w:type="numbering" w:customStyle="1" w:styleId="NoList122111">
    <w:name w:val="No List122111"/>
    <w:next w:val="NoList"/>
    <w:semiHidden/>
    <w:rsid w:val="009F0A25"/>
  </w:style>
  <w:style w:type="numbering" w:customStyle="1" w:styleId="NoList1122111">
    <w:name w:val="No List1122111"/>
    <w:next w:val="NoList"/>
    <w:semiHidden/>
    <w:rsid w:val="009F0A25"/>
  </w:style>
  <w:style w:type="numbering" w:customStyle="1" w:styleId="NoList11112111">
    <w:name w:val="No List11112111"/>
    <w:next w:val="NoList"/>
    <w:semiHidden/>
    <w:rsid w:val="009F0A25"/>
  </w:style>
  <w:style w:type="numbering" w:customStyle="1" w:styleId="NoList212111">
    <w:name w:val="No List212111"/>
    <w:next w:val="NoList"/>
    <w:semiHidden/>
    <w:rsid w:val="009F0A25"/>
  </w:style>
  <w:style w:type="numbering" w:customStyle="1" w:styleId="NoList312111">
    <w:name w:val="No List312111"/>
    <w:next w:val="NoList"/>
    <w:uiPriority w:val="99"/>
    <w:semiHidden/>
    <w:unhideWhenUsed/>
    <w:rsid w:val="009F0A25"/>
  </w:style>
  <w:style w:type="numbering" w:customStyle="1" w:styleId="NoList16111">
    <w:name w:val="No List16111"/>
    <w:next w:val="NoList"/>
    <w:uiPriority w:val="99"/>
    <w:semiHidden/>
    <w:unhideWhenUsed/>
    <w:rsid w:val="009F0A25"/>
  </w:style>
  <w:style w:type="numbering" w:customStyle="1" w:styleId="NoList17111">
    <w:name w:val="No List17111"/>
    <w:next w:val="NoList"/>
    <w:uiPriority w:val="99"/>
    <w:semiHidden/>
    <w:unhideWhenUsed/>
    <w:rsid w:val="009F0A25"/>
  </w:style>
  <w:style w:type="table" w:customStyle="1" w:styleId="LightList-Accent12211">
    <w:name w:val="Light List - Accent 12211"/>
    <w:basedOn w:val="TableNormal"/>
    <w:next w:val="LightList-Accent1"/>
    <w:uiPriority w:val="61"/>
    <w:rsid w:val="009F0A25"/>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111">
    <w:name w:val="Medium List 2 - Accent 111"/>
    <w:basedOn w:val="TableNormal"/>
    <w:next w:val="MediumList2-Accent1"/>
    <w:uiPriority w:val="66"/>
    <w:rsid w:val="009F0A25"/>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3-Accent611">
    <w:name w:val="Medium Grid 3 - Accent 611"/>
    <w:basedOn w:val="TableNormal"/>
    <w:next w:val="MediumGrid3-Accent6"/>
    <w:uiPriority w:val="69"/>
    <w:rsid w:val="009F0A2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Accent511">
    <w:name w:val="Medium List 1 - Accent 511"/>
    <w:basedOn w:val="TableNormal"/>
    <w:next w:val="MediumList1-Accent5"/>
    <w:uiPriority w:val="65"/>
    <w:rsid w:val="009F0A25"/>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Accent311">
    <w:name w:val="Light List - Accent 311"/>
    <w:basedOn w:val="TableNormal"/>
    <w:next w:val="LightList-Accent3"/>
    <w:uiPriority w:val="61"/>
    <w:rsid w:val="009F0A25"/>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1">
    <w:name w:val="Medium List 2 - Accent 311"/>
    <w:basedOn w:val="TableNormal"/>
    <w:next w:val="MediumList2-Accent3"/>
    <w:uiPriority w:val="66"/>
    <w:rsid w:val="009F0A25"/>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
    <w:name w:val="Medium List 2 - Accent 411"/>
    <w:basedOn w:val="TableNormal"/>
    <w:next w:val="MediumList2-Accent4"/>
    <w:uiPriority w:val="66"/>
    <w:rsid w:val="009F0A25"/>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TableList7131">
    <w:name w:val="Table List 7131"/>
    <w:basedOn w:val="TableNormal"/>
    <w:next w:val="TableList7"/>
    <w:rsid w:val="009F0A25"/>
    <w:pPr>
      <w:spacing w:after="200"/>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1">
    <w:name w:val="Table Web 3131"/>
    <w:basedOn w:val="TableNormal"/>
    <w:next w:val="TableWeb3"/>
    <w:rsid w:val="009F0A25"/>
    <w:pPr>
      <w:spacing w:after="200"/>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1">
    <w:name w:val="Table Elegant131"/>
    <w:basedOn w:val="TableNormal"/>
    <w:next w:val="TableElegant"/>
    <w:rsid w:val="009F0A25"/>
    <w:pPr>
      <w:spacing w:after="200"/>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31">
    <w:name w:val="Table Web 2131"/>
    <w:basedOn w:val="TableNormal"/>
    <w:next w:val="TableWeb2"/>
    <w:rsid w:val="009F0A25"/>
    <w:pPr>
      <w:spacing w:after="200"/>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1">
    <w:name w:val="Table Web 1131"/>
    <w:basedOn w:val="TableNormal"/>
    <w:next w:val="TableWeb1"/>
    <w:rsid w:val="009F0A25"/>
    <w:pPr>
      <w:spacing w:after="200"/>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31">
    <w:name w:val="Table Grid 8131"/>
    <w:basedOn w:val="TableNormal"/>
    <w:next w:val="TableGrid8"/>
    <w:rsid w:val="009F0A25"/>
    <w:pPr>
      <w:spacing w:after="200"/>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1">
    <w:name w:val="Table Contemporary131"/>
    <w:basedOn w:val="TableNormal"/>
    <w:next w:val="TableContemporary"/>
    <w:rsid w:val="009F0A25"/>
    <w:pPr>
      <w:spacing w:after="200"/>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7131">
    <w:name w:val="Table Grid 7131"/>
    <w:basedOn w:val="TableNormal"/>
    <w:next w:val="TableGrid7"/>
    <w:rsid w:val="009F0A25"/>
    <w:pPr>
      <w:spacing w:after="200"/>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Simple3131">
    <w:name w:val="Table Simple 3131"/>
    <w:basedOn w:val="TableNormal"/>
    <w:next w:val="TableSimple3"/>
    <w:rsid w:val="009F0A25"/>
    <w:pPr>
      <w:spacing w:after="200"/>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1">
    <w:name w:val="Table Grid 5131"/>
    <w:basedOn w:val="TableNormal"/>
    <w:next w:val="TableGrid5"/>
    <w:rsid w:val="009F0A25"/>
    <w:pPr>
      <w:spacing w:after="200"/>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1">
    <w:name w:val="Table Grid 3131"/>
    <w:basedOn w:val="TableNormal"/>
    <w:next w:val="TableGrid3"/>
    <w:rsid w:val="009F0A25"/>
    <w:pPr>
      <w:spacing w:after="200"/>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1">
    <w:name w:val="Table Grid 1131"/>
    <w:basedOn w:val="TableNormal"/>
    <w:next w:val="TableGrid10"/>
    <w:rsid w:val="009F0A25"/>
    <w:pPr>
      <w:spacing w:after="200"/>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1">
    <w:name w:val="Table Columns 5131"/>
    <w:basedOn w:val="TableNormal"/>
    <w:next w:val="TableColumns5"/>
    <w:rsid w:val="009F0A25"/>
    <w:pPr>
      <w:spacing w:after="200"/>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NoList4131">
    <w:name w:val="No List4131"/>
    <w:next w:val="NoList"/>
    <w:semiHidden/>
    <w:rsid w:val="009F0A25"/>
  </w:style>
  <w:style w:type="table" w:customStyle="1" w:styleId="Table3Deffects3131">
    <w:name w:val="Table 3D effects 3131"/>
    <w:basedOn w:val="TableNormal"/>
    <w:next w:val="Table3Deffects3"/>
    <w:rsid w:val="009F0A25"/>
    <w:pPr>
      <w:spacing w:after="200"/>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631">
    <w:name w:val="No List631"/>
    <w:next w:val="NoList"/>
    <w:uiPriority w:val="99"/>
    <w:semiHidden/>
    <w:unhideWhenUsed/>
    <w:rsid w:val="009F0A25"/>
  </w:style>
  <w:style w:type="numbering" w:customStyle="1" w:styleId="NoList731">
    <w:name w:val="No List731"/>
    <w:next w:val="NoList"/>
    <w:uiPriority w:val="99"/>
    <w:semiHidden/>
    <w:unhideWhenUsed/>
    <w:rsid w:val="009F0A25"/>
  </w:style>
  <w:style w:type="table" w:customStyle="1" w:styleId="TableGrid3310">
    <w:name w:val="Table Grid331"/>
    <w:basedOn w:val="TableNormal"/>
    <w:next w:val="TableGrid"/>
    <w:rsid w:val="009F0A25"/>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1">
    <w:name w:val="Colorful Grid - Accent 1231"/>
    <w:basedOn w:val="TableNormal"/>
    <w:next w:val="ColorfulGrid-Accent1"/>
    <w:rsid w:val="009F0A25"/>
    <w:pPr>
      <w:spacing w:after="200"/>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1">
    <w:name w:val="Light List - Accent 5231"/>
    <w:basedOn w:val="TableNormal"/>
    <w:next w:val="LightList-Accent5"/>
    <w:rsid w:val="009F0A25"/>
    <w:pPr>
      <w:spacing w:after="200"/>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31">
    <w:name w:val="No List831"/>
    <w:next w:val="NoList"/>
    <w:uiPriority w:val="99"/>
    <w:semiHidden/>
    <w:unhideWhenUsed/>
    <w:rsid w:val="009F0A25"/>
  </w:style>
  <w:style w:type="numbering" w:customStyle="1" w:styleId="1231">
    <w:name w:val="Нет списка1231"/>
    <w:next w:val="NoList"/>
    <w:uiPriority w:val="99"/>
    <w:semiHidden/>
    <w:unhideWhenUsed/>
    <w:rsid w:val="009F0A25"/>
  </w:style>
  <w:style w:type="numbering" w:customStyle="1" w:styleId="NoList1331">
    <w:name w:val="No List1331"/>
    <w:next w:val="NoList"/>
    <w:semiHidden/>
    <w:unhideWhenUsed/>
    <w:rsid w:val="009F0A25"/>
  </w:style>
  <w:style w:type="table" w:customStyle="1" w:styleId="TableGrid431">
    <w:name w:val="Table Grid431"/>
    <w:basedOn w:val="TableNormal"/>
    <w:next w:val="TableGrid"/>
    <w:uiPriority w:val="39"/>
    <w:rsid w:val="009F0A25"/>
    <w:pPr>
      <w:spacing w:after="200"/>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9F0A25"/>
  </w:style>
  <w:style w:type="numbering" w:customStyle="1" w:styleId="NoList7121">
    <w:name w:val="No List7121"/>
    <w:next w:val="NoList"/>
    <w:uiPriority w:val="99"/>
    <w:semiHidden/>
    <w:unhideWhenUsed/>
    <w:rsid w:val="009F0A25"/>
  </w:style>
  <w:style w:type="table" w:customStyle="1" w:styleId="TableGrid31210">
    <w:name w:val="Table Grid3121"/>
    <w:basedOn w:val="TableNormal"/>
    <w:next w:val="TableGrid"/>
    <w:rsid w:val="009F0A25"/>
    <w:pPr>
      <w:spacing w:after="20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1">
    <w:name w:val="Table Web 21121"/>
    <w:basedOn w:val="TableNormal"/>
    <w:next w:val="TableWeb2"/>
    <w:rsid w:val="009F0A25"/>
    <w:pPr>
      <w:spacing w:after="200"/>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1">
    <w:name w:val="Table Web 11121"/>
    <w:basedOn w:val="TableNormal"/>
    <w:next w:val="TableWeb1"/>
    <w:rsid w:val="009F0A25"/>
    <w:pPr>
      <w:spacing w:after="200"/>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1">
    <w:name w:val="Table Grid 81121"/>
    <w:basedOn w:val="TableNormal"/>
    <w:next w:val="TableGrid8"/>
    <w:rsid w:val="009F0A25"/>
    <w:pPr>
      <w:spacing w:after="200"/>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1">
    <w:name w:val="Table Contemporary1121"/>
    <w:basedOn w:val="TableNormal"/>
    <w:next w:val="TableContemporary"/>
    <w:rsid w:val="009F0A25"/>
    <w:pPr>
      <w:spacing w:after="200"/>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1">
    <w:name w:val="Colorful Grid - Accent 12121"/>
    <w:basedOn w:val="TableNormal"/>
    <w:next w:val="ColorfulGrid-Accent1"/>
    <w:rsid w:val="009F0A25"/>
    <w:pPr>
      <w:spacing w:after="200"/>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1">
    <w:name w:val="Light List - Accent 52121"/>
    <w:basedOn w:val="TableNormal"/>
    <w:next w:val="LightList-Accent5"/>
    <w:rsid w:val="009F0A25"/>
    <w:pPr>
      <w:spacing w:after="200"/>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1">
    <w:name w:val="No List8121"/>
    <w:next w:val="NoList"/>
    <w:uiPriority w:val="99"/>
    <w:semiHidden/>
    <w:unhideWhenUsed/>
    <w:rsid w:val="009F0A25"/>
  </w:style>
  <w:style w:type="numbering" w:customStyle="1" w:styleId="12121">
    <w:name w:val="Нет списка12121"/>
    <w:next w:val="NoList"/>
    <w:uiPriority w:val="99"/>
    <w:semiHidden/>
    <w:unhideWhenUsed/>
    <w:rsid w:val="009F0A25"/>
  </w:style>
  <w:style w:type="numbering" w:customStyle="1" w:styleId="NoList13121">
    <w:name w:val="No List13121"/>
    <w:next w:val="NoList"/>
    <w:semiHidden/>
    <w:unhideWhenUsed/>
    <w:rsid w:val="009F0A25"/>
  </w:style>
  <w:style w:type="numbering" w:customStyle="1" w:styleId="NoList41121">
    <w:name w:val="No List41121"/>
    <w:next w:val="NoList"/>
    <w:semiHidden/>
    <w:rsid w:val="009F0A25"/>
  </w:style>
  <w:style w:type="table" w:customStyle="1" w:styleId="TableGrid4121">
    <w:name w:val="Table Grid41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 Grid8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9F0A25"/>
  </w:style>
  <w:style w:type="numbering" w:customStyle="1" w:styleId="NoList7211">
    <w:name w:val="No List7211"/>
    <w:next w:val="NoList"/>
    <w:uiPriority w:val="99"/>
    <w:semiHidden/>
    <w:unhideWhenUsed/>
    <w:rsid w:val="009F0A25"/>
  </w:style>
  <w:style w:type="table" w:customStyle="1" w:styleId="TableGrid32110">
    <w:name w:val="Table Grid3211"/>
    <w:basedOn w:val="TableNormal"/>
    <w:next w:val="TableGrid"/>
    <w:rsid w:val="009F0A25"/>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11">
    <w:name w:val="Table Web 21211"/>
    <w:basedOn w:val="TableNormal"/>
    <w:next w:val="TableWeb2"/>
    <w:rsid w:val="009F0A25"/>
    <w:pPr>
      <w:spacing w:after="200"/>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11">
    <w:name w:val="Table Web 11211"/>
    <w:basedOn w:val="TableNormal"/>
    <w:next w:val="TableWeb1"/>
    <w:rsid w:val="009F0A25"/>
    <w:pPr>
      <w:spacing w:after="200"/>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11">
    <w:name w:val="Table Grid 81211"/>
    <w:basedOn w:val="TableNormal"/>
    <w:next w:val="TableGrid8"/>
    <w:rsid w:val="009F0A25"/>
    <w:pPr>
      <w:spacing w:after="200"/>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11">
    <w:name w:val="Table Contemporary1211"/>
    <w:basedOn w:val="TableNormal"/>
    <w:next w:val="TableContemporary"/>
    <w:rsid w:val="009F0A25"/>
    <w:pPr>
      <w:spacing w:after="200"/>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11">
    <w:name w:val="Colorful Grid - Accent 12211"/>
    <w:basedOn w:val="TableNormal"/>
    <w:next w:val="ColorfulGrid-Accent1"/>
    <w:rsid w:val="009F0A25"/>
    <w:pPr>
      <w:spacing w:after="200"/>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11">
    <w:name w:val="Light List - Accent 52211"/>
    <w:basedOn w:val="TableNormal"/>
    <w:next w:val="LightList-Accent5"/>
    <w:rsid w:val="009F0A25"/>
    <w:pPr>
      <w:spacing w:after="200"/>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11">
    <w:name w:val="No List8211"/>
    <w:next w:val="NoList"/>
    <w:uiPriority w:val="99"/>
    <w:semiHidden/>
    <w:unhideWhenUsed/>
    <w:rsid w:val="009F0A25"/>
  </w:style>
  <w:style w:type="numbering" w:customStyle="1" w:styleId="12211">
    <w:name w:val="Нет списка12211"/>
    <w:next w:val="NoList"/>
    <w:uiPriority w:val="99"/>
    <w:semiHidden/>
    <w:unhideWhenUsed/>
    <w:rsid w:val="009F0A25"/>
  </w:style>
  <w:style w:type="numbering" w:customStyle="1" w:styleId="NoList13211">
    <w:name w:val="No List13211"/>
    <w:next w:val="NoList"/>
    <w:semiHidden/>
    <w:unhideWhenUsed/>
    <w:rsid w:val="009F0A25"/>
  </w:style>
  <w:style w:type="numbering" w:customStyle="1" w:styleId="111311">
    <w:name w:val="Нет списка111311"/>
    <w:next w:val="NoList"/>
    <w:semiHidden/>
    <w:unhideWhenUsed/>
    <w:rsid w:val="009F0A25"/>
  </w:style>
  <w:style w:type="numbering" w:customStyle="1" w:styleId="NoList41211">
    <w:name w:val="No List41211"/>
    <w:next w:val="NoList"/>
    <w:semiHidden/>
    <w:rsid w:val="009F0A25"/>
  </w:style>
  <w:style w:type="numbering" w:customStyle="1" w:styleId="1111211">
    <w:name w:val="Нет списка1111211"/>
    <w:next w:val="NoList"/>
    <w:semiHidden/>
    <w:unhideWhenUsed/>
    <w:rsid w:val="009F0A25"/>
  </w:style>
  <w:style w:type="table" w:customStyle="1" w:styleId="TableGrid4211">
    <w:name w:val="Table Grid4211"/>
    <w:basedOn w:val="TableNormal"/>
    <w:next w:val="TableGrid"/>
    <w:uiPriority w:val="39"/>
    <w:rsid w:val="009F0A25"/>
    <w:pPr>
      <w:spacing w:after="200"/>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11">
    <w:name w:val="Table List 71211"/>
    <w:basedOn w:val="TableNormal"/>
    <w:next w:val="TableList7"/>
    <w:rsid w:val="009F0A25"/>
    <w:pPr>
      <w:spacing w:after="200"/>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11">
    <w:name w:val="Table Web 31211"/>
    <w:basedOn w:val="TableNormal"/>
    <w:next w:val="TableWeb3"/>
    <w:rsid w:val="009F0A25"/>
    <w:pPr>
      <w:spacing w:after="200"/>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11">
    <w:name w:val="Table Elegant1211"/>
    <w:basedOn w:val="TableNormal"/>
    <w:next w:val="TableElegant"/>
    <w:rsid w:val="009F0A25"/>
    <w:pPr>
      <w:spacing w:after="200"/>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71211">
    <w:name w:val="Table Grid 71211"/>
    <w:basedOn w:val="TableNormal"/>
    <w:next w:val="TableGrid7"/>
    <w:rsid w:val="009F0A25"/>
    <w:pPr>
      <w:spacing w:after="200"/>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Simple31211">
    <w:name w:val="Table Simple 31211"/>
    <w:basedOn w:val="TableNormal"/>
    <w:next w:val="TableSimple3"/>
    <w:rsid w:val="009F0A25"/>
    <w:pPr>
      <w:spacing w:after="200"/>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11">
    <w:name w:val="Table Grid 51211"/>
    <w:basedOn w:val="TableNormal"/>
    <w:next w:val="TableGrid5"/>
    <w:rsid w:val="009F0A25"/>
    <w:pPr>
      <w:spacing w:after="200"/>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11">
    <w:name w:val="Table Grid 31211"/>
    <w:basedOn w:val="TableNormal"/>
    <w:next w:val="TableGrid3"/>
    <w:rsid w:val="009F0A25"/>
    <w:pPr>
      <w:spacing w:after="200"/>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11">
    <w:name w:val="Table Grid 11211"/>
    <w:basedOn w:val="TableNormal"/>
    <w:next w:val="TableGrid10"/>
    <w:rsid w:val="009F0A25"/>
    <w:pPr>
      <w:spacing w:after="200"/>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11">
    <w:name w:val="Table Columns 51211"/>
    <w:basedOn w:val="TableNormal"/>
    <w:next w:val="TableColumns5"/>
    <w:rsid w:val="009F0A25"/>
    <w:pPr>
      <w:spacing w:after="200"/>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3Deffects31211">
    <w:name w:val="Table 3D effects 31211"/>
    <w:basedOn w:val="TableNormal"/>
    <w:next w:val="Table3Deffects3"/>
    <w:rsid w:val="009F0A25"/>
    <w:pPr>
      <w:spacing w:after="200"/>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110">
    <w:name w:val="Table Grid11211"/>
    <w:basedOn w:val="TableNormal"/>
    <w:next w:val="TableGrid"/>
    <w:rsid w:val="009F0A25"/>
    <w:pPr>
      <w:spacing w:after="200"/>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111">
    <w:name w:val="No List61111"/>
    <w:next w:val="NoList"/>
    <w:uiPriority w:val="99"/>
    <w:semiHidden/>
    <w:unhideWhenUsed/>
    <w:rsid w:val="009F0A25"/>
  </w:style>
  <w:style w:type="numbering" w:customStyle="1" w:styleId="NoList71111">
    <w:name w:val="No List71111"/>
    <w:next w:val="NoList"/>
    <w:uiPriority w:val="99"/>
    <w:semiHidden/>
    <w:unhideWhenUsed/>
    <w:rsid w:val="009F0A25"/>
  </w:style>
  <w:style w:type="table" w:customStyle="1" w:styleId="TableGrid31111">
    <w:name w:val="Table Grid31111"/>
    <w:basedOn w:val="TableNormal"/>
    <w:next w:val="TableGrid"/>
    <w:rsid w:val="009F0A25"/>
    <w:pPr>
      <w:spacing w:after="20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11">
    <w:name w:val="Table Web 211111"/>
    <w:basedOn w:val="TableNormal"/>
    <w:next w:val="TableWeb2"/>
    <w:rsid w:val="009F0A25"/>
    <w:pPr>
      <w:spacing w:after="200"/>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11">
    <w:name w:val="Table Web 111111"/>
    <w:basedOn w:val="TableNormal"/>
    <w:next w:val="TableWeb1"/>
    <w:rsid w:val="009F0A25"/>
    <w:pPr>
      <w:spacing w:after="200"/>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11">
    <w:name w:val="Table Grid 811111"/>
    <w:basedOn w:val="TableNormal"/>
    <w:next w:val="TableGrid8"/>
    <w:rsid w:val="009F0A25"/>
    <w:pPr>
      <w:spacing w:after="200"/>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11">
    <w:name w:val="Table Contemporary11111"/>
    <w:basedOn w:val="TableNormal"/>
    <w:next w:val="TableContemporary"/>
    <w:rsid w:val="009F0A25"/>
    <w:pPr>
      <w:spacing w:after="200"/>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11">
    <w:name w:val="Colorful Grid - Accent 121111"/>
    <w:basedOn w:val="TableNormal"/>
    <w:next w:val="ColorfulGrid-Accent1"/>
    <w:rsid w:val="009F0A25"/>
    <w:pPr>
      <w:spacing w:after="200"/>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11">
    <w:name w:val="Light List - Accent 521111"/>
    <w:basedOn w:val="TableNormal"/>
    <w:next w:val="LightList-Accent5"/>
    <w:rsid w:val="009F0A25"/>
    <w:pPr>
      <w:spacing w:after="200"/>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11">
    <w:name w:val="No List81111"/>
    <w:next w:val="NoList"/>
    <w:uiPriority w:val="99"/>
    <w:semiHidden/>
    <w:unhideWhenUsed/>
    <w:rsid w:val="009F0A25"/>
  </w:style>
  <w:style w:type="numbering" w:customStyle="1" w:styleId="121111">
    <w:name w:val="Нет списка121111"/>
    <w:next w:val="NoList"/>
    <w:uiPriority w:val="99"/>
    <w:semiHidden/>
    <w:unhideWhenUsed/>
    <w:rsid w:val="009F0A25"/>
  </w:style>
  <w:style w:type="numbering" w:customStyle="1" w:styleId="NoList131111">
    <w:name w:val="No List131111"/>
    <w:next w:val="NoList"/>
    <w:semiHidden/>
    <w:unhideWhenUsed/>
    <w:rsid w:val="009F0A25"/>
  </w:style>
  <w:style w:type="numbering" w:customStyle="1" w:styleId="1112111">
    <w:name w:val="Нет списка1112111"/>
    <w:next w:val="NoList"/>
    <w:semiHidden/>
    <w:unhideWhenUsed/>
    <w:rsid w:val="009F0A25"/>
  </w:style>
  <w:style w:type="numbering" w:customStyle="1" w:styleId="NoList411111">
    <w:name w:val="No List411111"/>
    <w:next w:val="NoList"/>
    <w:semiHidden/>
    <w:rsid w:val="009F0A25"/>
  </w:style>
  <w:style w:type="numbering" w:customStyle="1" w:styleId="11111111">
    <w:name w:val="Нет списка11111111"/>
    <w:next w:val="NoList"/>
    <w:semiHidden/>
    <w:unhideWhenUsed/>
    <w:rsid w:val="009F0A25"/>
  </w:style>
  <w:style w:type="table" w:customStyle="1" w:styleId="TableGrid41111">
    <w:name w:val="Table Grid41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0">
    <w:name w:val="Table Grid7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0">
    <w:name w:val="Table Grid8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uiPriority w:val="39"/>
    <w:rsid w:val="009F0A25"/>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1"/>
    <w:next w:val="NoList"/>
    <w:semiHidden/>
    <w:unhideWhenUsed/>
    <w:rsid w:val="009F0A25"/>
  </w:style>
  <w:style w:type="numbering" w:customStyle="1" w:styleId="111131">
    <w:name w:val="Нет списка111131"/>
    <w:next w:val="NoList"/>
    <w:semiHidden/>
    <w:unhideWhenUsed/>
    <w:rsid w:val="009F0A25"/>
  </w:style>
  <w:style w:type="table" w:customStyle="1" w:styleId="GridTable4-Accent1121">
    <w:name w:val="Grid Table 4 - Accent 1121"/>
    <w:basedOn w:val="TableNormal"/>
    <w:uiPriority w:val="49"/>
    <w:rsid w:val="009F0A25"/>
    <w:pPr>
      <w:spacing w:after="200"/>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111221">
    <w:name w:val="Нет списка111221"/>
    <w:next w:val="NoList"/>
    <w:semiHidden/>
    <w:unhideWhenUsed/>
    <w:rsid w:val="009F0A25"/>
  </w:style>
  <w:style w:type="numbering" w:customStyle="1" w:styleId="1111121">
    <w:name w:val="Нет списка1111121"/>
    <w:next w:val="NoList"/>
    <w:semiHidden/>
    <w:unhideWhenUsed/>
    <w:rsid w:val="009F0A25"/>
  </w:style>
  <w:style w:type="table" w:customStyle="1" w:styleId="TableGrid11141">
    <w:name w:val="Table Grid1114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0">
    <w:name w:val="Table Grid74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1">
    <w:name w:val="Grid Table 1 Light - Accent 1121"/>
    <w:basedOn w:val="TableNormal"/>
    <w:uiPriority w:val="46"/>
    <w:rsid w:val="009F0A25"/>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MediumGrid3-Accent121">
    <w:name w:val="Medium Grid 3 - Accent 121"/>
    <w:basedOn w:val="TableNormal"/>
    <w:next w:val="MediumGrid3-Accent1"/>
    <w:uiPriority w:val="69"/>
    <w:rsid w:val="009F0A2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ableGrid1431">
    <w:name w:val="Table Grid1431"/>
    <w:basedOn w:val="TableNormal"/>
    <w:next w:val="TableGrid"/>
    <w:uiPriority w:val="39"/>
    <w:rsid w:val="009F0A25"/>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0">
    <w:name w:val="Table Grid73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
    <w:name w:val="Table Grid14211"/>
    <w:basedOn w:val="TableNormal"/>
    <w:next w:val="TableGrid"/>
    <w:uiPriority w:val="39"/>
    <w:rsid w:val="009F0A25"/>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1">
    <w:name w:val="Table Grid1113111"/>
    <w:basedOn w:val="TableNormal"/>
    <w:next w:val="TableGrid"/>
    <w:uiPriority w:val="39"/>
    <w:rsid w:val="009F0A25"/>
    <w:pPr>
      <w:spacing w:after="200"/>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31">
    <w:name w:val="Table Grid12131"/>
    <w:basedOn w:val="TableNormal"/>
    <w:next w:val="TableGrid"/>
    <w:uiPriority w:val="39"/>
    <w:rsid w:val="009F0A25"/>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11">
    <w:name w:val="Grid Table 1 Light - Accent 51211"/>
    <w:basedOn w:val="TableNormal"/>
    <w:uiPriority w:val="46"/>
    <w:rsid w:val="009F0A25"/>
    <w:pPr>
      <w:spacing w:after="200"/>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1241">
    <w:name w:val="Table Grid1241"/>
    <w:basedOn w:val="TableNormal"/>
    <w:next w:val="TableGrid"/>
    <w:uiPriority w:val="39"/>
    <w:rsid w:val="009F0A25"/>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
    <w:name w:val="Table Grid7312"/>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9F0A25"/>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9F0A25"/>
    <w:pPr>
      <w:spacing w:after="200"/>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121">
    <w:name w:val="Table Grid11131121"/>
    <w:basedOn w:val="TableNormal"/>
    <w:next w:val="TableGrid"/>
    <w:uiPriority w:val="39"/>
    <w:rsid w:val="00005BEA"/>
    <w:pPr>
      <w:spacing w:after="200"/>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1">
    <w:name w:val="Table Grid9121"/>
    <w:basedOn w:val="TableNormal"/>
    <w:next w:val="TableGrid"/>
    <w:uiPriority w:val="39"/>
    <w:rsid w:val="00005B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1">
    <w:name w:val="Table Grid73121"/>
    <w:basedOn w:val="TableNormal"/>
    <w:next w:val="TableGrid"/>
    <w:uiPriority w:val="39"/>
    <w:rsid w:val="00005B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1">
    <w:name w:val="Table Grid142121"/>
    <w:basedOn w:val="TableNormal"/>
    <w:next w:val="TableGrid"/>
    <w:uiPriority w:val="39"/>
    <w:rsid w:val="00005BEA"/>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2">
    <w:name w:val="Table Grid11131122"/>
    <w:basedOn w:val="TableNormal"/>
    <w:next w:val="TableGrid"/>
    <w:uiPriority w:val="39"/>
    <w:rsid w:val="00005BEA"/>
    <w:pPr>
      <w:spacing w:after="200"/>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0">
    <w:name w:val="Основной текст5"/>
    <w:basedOn w:val="Normal"/>
    <w:link w:val="ac"/>
    <w:rsid w:val="00CF740B"/>
    <w:pPr>
      <w:widowControl w:val="0"/>
      <w:shd w:val="clear" w:color="auto" w:fill="FFFFFF"/>
      <w:spacing w:before="0" w:line="322" w:lineRule="exact"/>
      <w:ind w:hanging="440"/>
      <w:jc w:val="right"/>
    </w:pPr>
    <w:rPr>
      <w:rFonts w:ascii="Sylfaen" w:hAnsi="Sylfaen" w:cs="Sylfaen"/>
      <w:b w:val="0"/>
      <w:spacing w:val="20"/>
      <w:w w:val="80"/>
      <w:sz w:val="20"/>
      <w:szCs w:val="20"/>
      <w:lang w:val="en-US" w:eastAsia="en-US"/>
    </w:rPr>
  </w:style>
  <w:style w:type="paragraph" w:customStyle="1" w:styleId="Char100">
    <w:name w:val="Char10"/>
    <w:basedOn w:val="Normal"/>
    <w:locked/>
    <w:rsid w:val="00840AE8"/>
    <w:pPr>
      <w:spacing w:before="0" w:after="160" w:line="240" w:lineRule="auto"/>
      <w:jc w:val="left"/>
    </w:pPr>
    <w:rPr>
      <w:rFonts w:ascii="Verdana" w:eastAsia="Batang" w:hAnsi="Verdana" w:cs="Verdana"/>
      <w:b w:val="0"/>
      <w:sz w:val="24"/>
      <w:lang w:val="en-GB"/>
    </w:rPr>
  </w:style>
  <w:style w:type="paragraph" w:customStyle="1" w:styleId="61">
    <w:name w:val="Основной текст6"/>
    <w:basedOn w:val="Normal"/>
    <w:rsid w:val="00453D56"/>
    <w:pPr>
      <w:widowControl w:val="0"/>
      <w:shd w:val="clear" w:color="auto" w:fill="FFFFFF"/>
      <w:spacing w:before="0" w:line="322" w:lineRule="exact"/>
      <w:ind w:hanging="440"/>
      <w:jc w:val="right"/>
    </w:pPr>
    <w:rPr>
      <w:rFonts w:ascii="Sylfaen" w:hAnsi="Sylfaen" w:cs="Sylfaen"/>
      <w:b w:val="0"/>
      <w:spacing w:val="20"/>
      <w:w w:val="80"/>
      <w:sz w:val="20"/>
      <w:szCs w:val="20"/>
      <w:lang w:val="en-US" w:eastAsia="en-US"/>
    </w:rPr>
  </w:style>
  <w:style w:type="table" w:customStyle="1" w:styleId="GridTable4-Accent51">
    <w:name w:val="Grid Table 4 - Accent 51"/>
    <w:basedOn w:val="TableNormal"/>
    <w:uiPriority w:val="49"/>
    <w:rsid w:val="00453D56"/>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af">
    <w:name w:val="Աղյուսակներ"/>
    <w:basedOn w:val="Normal"/>
    <w:qFormat/>
    <w:rsid w:val="008624F6"/>
    <w:pPr>
      <w:spacing w:before="60" w:after="40"/>
    </w:pPr>
    <w:rPr>
      <w:rFonts w:eastAsia="Calibri" w:cs="Sylfaen"/>
      <w:bCs/>
      <w:i/>
      <w:szCs w:val="22"/>
      <w:lang w:val="hy-AM" w:eastAsia="en-US"/>
    </w:rPr>
  </w:style>
  <w:style w:type="numbering" w:customStyle="1" w:styleId="NoList11111111111">
    <w:name w:val="No List11111111111"/>
    <w:next w:val="NoList"/>
    <w:semiHidden/>
    <w:rsid w:val="009B3790"/>
  </w:style>
  <w:style w:type="character" w:customStyle="1" w:styleId="Chara">
    <w:name w:val="Գծապատկեր Char"/>
    <w:link w:val="af0"/>
    <w:locked/>
    <w:rsid w:val="009B3790"/>
    <w:rPr>
      <w:rFonts w:ascii="GHEA Grapalat" w:eastAsia="GHEA Grapalat" w:hAnsi="GHEA Grapalat" w:cs="GHEA Grapalat"/>
      <w:noProof/>
    </w:rPr>
  </w:style>
  <w:style w:type="paragraph" w:customStyle="1" w:styleId="af0">
    <w:name w:val="Գծապատկեր"/>
    <w:basedOn w:val="Normal"/>
    <w:link w:val="Chara"/>
    <w:autoRedefine/>
    <w:qFormat/>
    <w:rsid w:val="009B3790"/>
    <w:pPr>
      <w:keepNext/>
      <w:keepLines/>
      <w:tabs>
        <w:tab w:val="left" w:pos="2160"/>
        <w:tab w:val="left" w:pos="2552"/>
      </w:tabs>
      <w:autoSpaceDE w:val="0"/>
      <w:autoSpaceDN w:val="0"/>
      <w:adjustRightInd w:val="0"/>
      <w:spacing w:before="0" w:line="240" w:lineRule="auto"/>
      <w:ind w:left="360"/>
      <w:jc w:val="center"/>
    </w:pPr>
    <w:rPr>
      <w:rFonts w:eastAsia="GHEA Grapalat" w:cs="GHEA Grapalat"/>
      <w:b w:val="0"/>
      <w:noProof/>
      <w:sz w:val="20"/>
      <w:szCs w:val="20"/>
      <w:lang w:val="en-US" w:eastAsia="en-US"/>
    </w:rPr>
  </w:style>
  <w:style w:type="paragraph" w:customStyle="1" w:styleId="af1">
    <w:name w:val="Հղումներ"/>
    <w:basedOn w:val="Normal"/>
    <w:qFormat/>
    <w:rsid w:val="009B3790"/>
    <w:pPr>
      <w:spacing w:before="60" w:after="40" w:line="240" w:lineRule="auto"/>
    </w:pPr>
    <w:rPr>
      <w:b w:val="0"/>
      <w:sz w:val="20"/>
      <w:szCs w:val="20"/>
      <w:lang w:val="hy-AM" w:eastAsia="en-US"/>
    </w:rPr>
  </w:style>
  <w:style w:type="paragraph" w:customStyle="1" w:styleId="af2">
    <w:name w:val="Գծապատկերներ"/>
    <w:basedOn w:val="Normal"/>
    <w:qFormat/>
    <w:rsid w:val="009B3790"/>
    <w:pPr>
      <w:keepNext/>
      <w:keepLines/>
      <w:spacing w:before="60" w:after="40" w:line="240" w:lineRule="auto"/>
      <w:jc w:val="left"/>
    </w:pPr>
    <w:rPr>
      <w:rFonts w:eastAsiaTheme="majorEastAsia"/>
      <w:i/>
      <w:szCs w:val="22"/>
      <w:lang w:val="hy-AM" w:eastAsia="en-US"/>
    </w:rPr>
  </w:style>
  <w:style w:type="numbering" w:customStyle="1" w:styleId="NoList67">
    <w:name w:val="No List67"/>
    <w:next w:val="NoList"/>
    <w:uiPriority w:val="99"/>
    <w:semiHidden/>
    <w:unhideWhenUsed/>
    <w:rsid w:val="008F7DB9"/>
  </w:style>
  <w:style w:type="numbering" w:customStyle="1" w:styleId="NoList138">
    <w:name w:val="No List138"/>
    <w:next w:val="NoList"/>
    <w:uiPriority w:val="99"/>
    <w:semiHidden/>
    <w:unhideWhenUsed/>
    <w:rsid w:val="008F7DB9"/>
  </w:style>
  <w:style w:type="table" w:customStyle="1" w:styleId="TableGrid390">
    <w:name w:val="Table Grid39"/>
    <w:basedOn w:val="TableNormal"/>
    <w:next w:val="TableGrid"/>
    <w:uiPriority w:val="39"/>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0">
    <w:name w:val="No List1130"/>
    <w:next w:val="NoList"/>
    <w:uiPriority w:val="99"/>
    <w:semiHidden/>
    <w:unhideWhenUsed/>
    <w:rsid w:val="008F7DB9"/>
  </w:style>
  <w:style w:type="numbering" w:customStyle="1" w:styleId="NoList11120">
    <w:name w:val="No List11120"/>
    <w:next w:val="NoList"/>
    <w:semiHidden/>
    <w:rsid w:val="008F7DB9"/>
  </w:style>
  <w:style w:type="table" w:customStyle="1" w:styleId="TableGrid1200">
    <w:name w:val="Table Grid120"/>
    <w:basedOn w:val="TableNormal"/>
    <w:next w:val="TableGrid"/>
    <w:uiPriority w:val="39"/>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5">
    <w:name w:val="No List111115"/>
    <w:next w:val="NoList"/>
    <w:semiHidden/>
    <w:rsid w:val="008F7DB9"/>
  </w:style>
  <w:style w:type="numbering" w:customStyle="1" w:styleId="NoList226">
    <w:name w:val="No List226"/>
    <w:next w:val="NoList"/>
    <w:semiHidden/>
    <w:rsid w:val="008F7DB9"/>
  </w:style>
  <w:style w:type="numbering" w:customStyle="1" w:styleId="NoList320">
    <w:name w:val="No List320"/>
    <w:next w:val="NoList"/>
    <w:semiHidden/>
    <w:unhideWhenUsed/>
    <w:rsid w:val="008F7DB9"/>
  </w:style>
  <w:style w:type="table" w:customStyle="1" w:styleId="TableList716">
    <w:name w:val="Table List 716"/>
    <w:basedOn w:val="TableNormal"/>
    <w:next w:val="TableList7"/>
    <w:uiPriority w:val="99"/>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6">
    <w:name w:val="Table Web 316"/>
    <w:basedOn w:val="TableNormal"/>
    <w:next w:val="TableWeb3"/>
    <w:uiPriority w:val="99"/>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6">
    <w:name w:val="Table Elegant16"/>
    <w:basedOn w:val="TableNormal"/>
    <w:next w:val="TableElegant"/>
    <w:uiPriority w:val="99"/>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6">
    <w:name w:val="Table Web 216"/>
    <w:basedOn w:val="TableNormal"/>
    <w:next w:val="TableWeb2"/>
    <w:uiPriority w:val="99"/>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6">
    <w:name w:val="Table Web 116"/>
    <w:basedOn w:val="TableNormal"/>
    <w:next w:val="TableWeb1"/>
    <w:uiPriority w:val="99"/>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6">
    <w:name w:val="Table Grid 816"/>
    <w:basedOn w:val="TableNormal"/>
    <w:next w:val="TableGrid8"/>
    <w:uiPriority w:val="99"/>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6">
    <w:name w:val="Table Contemporary16"/>
    <w:basedOn w:val="TableNormal"/>
    <w:next w:val="TableContemporary"/>
    <w:uiPriority w:val="99"/>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35">
    <w:name w:val="Light List - Accent 135"/>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6">
    <w:name w:val="Table Grid 716"/>
    <w:basedOn w:val="TableNormal"/>
    <w:next w:val="TableGrid7"/>
    <w:uiPriority w:val="99"/>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6">
    <w:name w:val="Colorful Grid - Accent 126"/>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6">
    <w:name w:val="Light List - Accent 526"/>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6">
    <w:name w:val="Table Simple 316"/>
    <w:basedOn w:val="TableNormal"/>
    <w:next w:val="TableSimple3"/>
    <w:uiPriority w:val="99"/>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6">
    <w:name w:val="Table Grid 516"/>
    <w:basedOn w:val="TableNormal"/>
    <w:next w:val="TableGrid5"/>
    <w:uiPriority w:val="99"/>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6">
    <w:name w:val="Table Grid 316"/>
    <w:basedOn w:val="TableNormal"/>
    <w:next w:val="TableGrid3"/>
    <w:uiPriority w:val="99"/>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60">
    <w:name w:val="Table Grid 116"/>
    <w:basedOn w:val="TableNormal"/>
    <w:next w:val="TableGrid10"/>
    <w:uiPriority w:val="99"/>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6">
    <w:name w:val="Table Columns 516"/>
    <w:basedOn w:val="TableNormal"/>
    <w:next w:val="TableColumns5"/>
    <w:uiPriority w:val="99"/>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9">
    <w:name w:val="Light List - Accent 1119"/>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6">
    <w:name w:val="Нет списка126"/>
    <w:next w:val="NoList"/>
    <w:semiHidden/>
    <w:unhideWhenUsed/>
    <w:rsid w:val="008F7DB9"/>
  </w:style>
  <w:style w:type="table" w:customStyle="1" w:styleId="ColorfulGrid-Accent1116">
    <w:name w:val="Colorful Grid - Accent 1116"/>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7">
    <w:name w:val="Light List - Accent 5117"/>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9">
    <w:name w:val="No List419"/>
    <w:next w:val="NoList"/>
    <w:semiHidden/>
    <w:rsid w:val="008F7DB9"/>
  </w:style>
  <w:style w:type="table" w:customStyle="1" w:styleId="Table3Deffects316">
    <w:name w:val="Table 3D effects 316"/>
    <w:basedOn w:val="TableNormal"/>
    <w:next w:val="Table3Deffects3"/>
    <w:uiPriority w:val="99"/>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6"/>
    <w:next w:val="NoList"/>
    <w:semiHidden/>
    <w:unhideWhenUsed/>
    <w:rsid w:val="008F7DB9"/>
  </w:style>
  <w:style w:type="numbering" w:customStyle="1" w:styleId="NoList516">
    <w:name w:val="No List516"/>
    <w:next w:val="NoList"/>
    <w:uiPriority w:val="99"/>
    <w:semiHidden/>
    <w:unhideWhenUsed/>
    <w:rsid w:val="008F7DB9"/>
  </w:style>
  <w:style w:type="numbering" w:customStyle="1" w:styleId="NoList1218">
    <w:name w:val="No List1218"/>
    <w:next w:val="NoList"/>
    <w:uiPriority w:val="99"/>
    <w:semiHidden/>
    <w:rsid w:val="008F7DB9"/>
  </w:style>
  <w:style w:type="numbering" w:customStyle="1" w:styleId="NoList11210">
    <w:name w:val="No List11210"/>
    <w:next w:val="NoList"/>
    <w:semiHidden/>
    <w:rsid w:val="008F7DB9"/>
  </w:style>
  <w:style w:type="numbering" w:customStyle="1" w:styleId="NoList111116">
    <w:name w:val="No List111116"/>
    <w:next w:val="NoList"/>
    <w:semiHidden/>
    <w:rsid w:val="008F7DB9"/>
  </w:style>
  <w:style w:type="numbering" w:customStyle="1" w:styleId="NoList2116">
    <w:name w:val="No List2116"/>
    <w:next w:val="NoList"/>
    <w:semiHidden/>
    <w:rsid w:val="008F7DB9"/>
  </w:style>
  <w:style w:type="table" w:customStyle="1" w:styleId="TableGrid218">
    <w:name w:val="Table Grid218"/>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6">
    <w:name w:val="No List3116"/>
    <w:next w:val="NoList"/>
    <w:semiHidden/>
    <w:unhideWhenUsed/>
    <w:rsid w:val="008F7DB9"/>
  </w:style>
  <w:style w:type="numbering" w:customStyle="1" w:styleId="NoList68">
    <w:name w:val="No List68"/>
    <w:next w:val="NoList"/>
    <w:uiPriority w:val="99"/>
    <w:semiHidden/>
    <w:unhideWhenUsed/>
    <w:rsid w:val="008F7DB9"/>
  </w:style>
  <w:style w:type="numbering" w:customStyle="1" w:styleId="NoList76">
    <w:name w:val="No List76"/>
    <w:next w:val="NoList"/>
    <w:uiPriority w:val="99"/>
    <w:semiHidden/>
    <w:unhideWhenUsed/>
    <w:rsid w:val="008F7DB9"/>
  </w:style>
  <w:style w:type="table" w:customStyle="1" w:styleId="TableGrid3101">
    <w:name w:val="Table Grid310"/>
    <w:basedOn w:val="TableNormal"/>
    <w:next w:val="TableGrid"/>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9">
    <w:name w:val="No List139"/>
    <w:next w:val="NoList"/>
    <w:semiHidden/>
    <w:unhideWhenUsed/>
    <w:rsid w:val="008F7DB9"/>
  </w:style>
  <w:style w:type="numbering" w:customStyle="1" w:styleId="NoList1135">
    <w:name w:val="No List1135"/>
    <w:next w:val="NoList"/>
    <w:semiHidden/>
    <w:rsid w:val="008F7DB9"/>
  </w:style>
  <w:style w:type="table" w:customStyle="1" w:styleId="TableGrid11100">
    <w:name w:val="Table Grid1110"/>
    <w:basedOn w:val="TableNormal"/>
    <w:next w:val="TableGrid"/>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5">
    <w:name w:val="No List11125"/>
    <w:next w:val="NoList"/>
    <w:semiHidden/>
    <w:rsid w:val="008F7DB9"/>
  </w:style>
  <w:style w:type="numbering" w:customStyle="1" w:styleId="NoList227">
    <w:name w:val="No List227"/>
    <w:next w:val="NoList"/>
    <w:semiHidden/>
    <w:rsid w:val="008F7DB9"/>
  </w:style>
  <w:style w:type="numbering" w:customStyle="1" w:styleId="NoList326">
    <w:name w:val="No List326"/>
    <w:next w:val="NoList"/>
    <w:semiHidden/>
    <w:unhideWhenUsed/>
    <w:rsid w:val="008F7DB9"/>
  </w:style>
  <w:style w:type="table" w:customStyle="1" w:styleId="TableList717">
    <w:name w:val="Table List 717"/>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7">
    <w:name w:val="Table Web 317"/>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7">
    <w:name w:val="Table Elegant17"/>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7">
    <w:name w:val="Table Web 217"/>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7">
    <w:name w:val="Table Web 117"/>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7">
    <w:name w:val="Table Grid 817"/>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7">
    <w:name w:val="Table Contemporary17"/>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4">
    <w:name w:val="Light List - Accent 1214"/>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7">
    <w:name w:val="Table Grid 717"/>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7">
    <w:name w:val="Colorful Grid - Accent 127"/>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7">
    <w:name w:val="Light List - Accent 527"/>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7">
    <w:name w:val="Table Simple 317"/>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7">
    <w:name w:val="Table Grid 517"/>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7">
    <w:name w:val="Table Grid 317"/>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70">
    <w:name w:val="Table Grid 117"/>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7">
    <w:name w:val="Table Columns 517"/>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0">
    <w:name w:val="Light List - Accent 11110"/>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7">
    <w:name w:val="Нет списка127"/>
    <w:next w:val="NoList"/>
    <w:uiPriority w:val="99"/>
    <w:semiHidden/>
    <w:unhideWhenUsed/>
    <w:rsid w:val="008F7DB9"/>
  </w:style>
  <w:style w:type="table" w:customStyle="1" w:styleId="ColorfulGrid-Accent1117">
    <w:name w:val="Colorful Grid - Accent 1117"/>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8">
    <w:name w:val="Light List - Accent 5118"/>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0">
    <w:name w:val="No List4110"/>
    <w:next w:val="NoList"/>
    <w:semiHidden/>
    <w:rsid w:val="008F7DB9"/>
  </w:style>
  <w:style w:type="table" w:customStyle="1" w:styleId="Table3Deffects317">
    <w:name w:val="Table 3D effects 317"/>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
    <w:name w:val="Нет списка1117"/>
    <w:next w:val="NoList"/>
    <w:semiHidden/>
    <w:unhideWhenUsed/>
    <w:rsid w:val="008F7DB9"/>
  </w:style>
  <w:style w:type="numbering" w:customStyle="1" w:styleId="NoList517">
    <w:name w:val="No List517"/>
    <w:next w:val="NoList"/>
    <w:uiPriority w:val="99"/>
    <w:semiHidden/>
    <w:unhideWhenUsed/>
    <w:rsid w:val="008F7DB9"/>
  </w:style>
  <w:style w:type="numbering" w:customStyle="1" w:styleId="NoList1219">
    <w:name w:val="No List1219"/>
    <w:next w:val="NoList"/>
    <w:uiPriority w:val="99"/>
    <w:semiHidden/>
    <w:rsid w:val="008F7DB9"/>
  </w:style>
  <w:style w:type="numbering" w:customStyle="1" w:styleId="NoList11215">
    <w:name w:val="No List11215"/>
    <w:next w:val="NoList"/>
    <w:semiHidden/>
    <w:rsid w:val="008F7DB9"/>
  </w:style>
  <w:style w:type="numbering" w:customStyle="1" w:styleId="NoList1111113">
    <w:name w:val="No List1111113"/>
    <w:next w:val="NoList"/>
    <w:semiHidden/>
    <w:rsid w:val="008F7DB9"/>
  </w:style>
  <w:style w:type="numbering" w:customStyle="1" w:styleId="NoList2117">
    <w:name w:val="No List2117"/>
    <w:next w:val="NoList"/>
    <w:semiHidden/>
    <w:rsid w:val="008F7DB9"/>
  </w:style>
  <w:style w:type="table" w:customStyle="1" w:styleId="TableGrid219">
    <w:name w:val="Table Grid219"/>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7">
    <w:name w:val="No List3117"/>
    <w:next w:val="NoList"/>
    <w:semiHidden/>
    <w:unhideWhenUsed/>
    <w:rsid w:val="008F7DB9"/>
  </w:style>
  <w:style w:type="numbering" w:customStyle="1" w:styleId="NoList86">
    <w:name w:val="No List86"/>
    <w:next w:val="NoList"/>
    <w:uiPriority w:val="99"/>
    <w:semiHidden/>
    <w:unhideWhenUsed/>
    <w:rsid w:val="008F7DB9"/>
  </w:style>
  <w:style w:type="numbering" w:customStyle="1" w:styleId="NoList96">
    <w:name w:val="No List96"/>
    <w:next w:val="NoList"/>
    <w:uiPriority w:val="99"/>
    <w:semiHidden/>
    <w:unhideWhenUsed/>
    <w:rsid w:val="008F7DB9"/>
  </w:style>
  <w:style w:type="table" w:customStyle="1" w:styleId="TableGrid46">
    <w:name w:val="Table Grid4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5">
    <w:name w:val="Table List 725"/>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5">
    <w:name w:val="Table Web 325"/>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5">
    <w:name w:val="Table Elegant25"/>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6">
    <w:name w:val="Table Web 226"/>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6">
    <w:name w:val="Table Web 126"/>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6">
    <w:name w:val="Table Grid 826"/>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6">
    <w:name w:val="Table Contemporary26"/>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6">
    <w:name w:val="No List146"/>
    <w:next w:val="NoList"/>
    <w:semiHidden/>
    <w:unhideWhenUsed/>
    <w:rsid w:val="008F7DB9"/>
  </w:style>
  <w:style w:type="numbering" w:customStyle="1" w:styleId="NoList235">
    <w:name w:val="No List235"/>
    <w:next w:val="NoList"/>
    <w:semiHidden/>
    <w:unhideWhenUsed/>
    <w:rsid w:val="008F7DB9"/>
  </w:style>
  <w:style w:type="numbering" w:customStyle="1" w:styleId="NoList335">
    <w:name w:val="No List335"/>
    <w:next w:val="NoList"/>
    <w:semiHidden/>
    <w:unhideWhenUsed/>
    <w:rsid w:val="008F7DB9"/>
  </w:style>
  <w:style w:type="table" w:customStyle="1" w:styleId="LightList-Accent136">
    <w:name w:val="Light List - Accent 136"/>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5">
    <w:name w:val="Table Grid 725"/>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6">
    <w:name w:val="Colorful Grid - Accent 136"/>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6">
    <w:name w:val="Light List - Accent 536"/>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5">
    <w:name w:val="Table Simple 325"/>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5">
    <w:name w:val="Table Grid 525"/>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5">
    <w:name w:val="Table Grid 325"/>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5">
    <w:name w:val="Table Grid 125"/>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5">
    <w:name w:val="Table Columns 525"/>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5">
    <w:name w:val="Light List - Accent 1125"/>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6">
    <w:name w:val="Нет списка136"/>
    <w:next w:val="NoList"/>
    <w:semiHidden/>
    <w:unhideWhenUsed/>
    <w:rsid w:val="008F7DB9"/>
  </w:style>
  <w:style w:type="table" w:customStyle="1" w:styleId="ColorfulGrid-Accent1125">
    <w:name w:val="Colorful Grid - Accent 1125"/>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5">
    <w:name w:val="Light List - Accent 5125"/>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6">
    <w:name w:val="No List426"/>
    <w:next w:val="NoList"/>
    <w:semiHidden/>
    <w:rsid w:val="008F7DB9"/>
  </w:style>
  <w:style w:type="numbering" w:customStyle="1" w:styleId="NoList1143">
    <w:name w:val="No List1143"/>
    <w:next w:val="NoList"/>
    <w:semiHidden/>
    <w:unhideWhenUsed/>
    <w:rsid w:val="008F7DB9"/>
  </w:style>
  <w:style w:type="table" w:customStyle="1" w:styleId="Table3Deffects325">
    <w:name w:val="Table 3D effects 325"/>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6">
    <w:name w:val="Нет списка1126"/>
    <w:next w:val="NoList"/>
    <w:semiHidden/>
    <w:unhideWhenUsed/>
    <w:rsid w:val="008F7DB9"/>
  </w:style>
  <w:style w:type="numbering" w:customStyle="1" w:styleId="NoList106">
    <w:name w:val="No List106"/>
    <w:next w:val="NoList"/>
    <w:uiPriority w:val="99"/>
    <w:semiHidden/>
    <w:unhideWhenUsed/>
    <w:rsid w:val="008F7DB9"/>
  </w:style>
  <w:style w:type="table" w:customStyle="1" w:styleId="TableGrid560">
    <w:name w:val="Table Grid56"/>
    <w:basedOn w:val="TableNormal"/>
    <w:next w:val="TableGrid"/>
    <w:uiPriority w:val="39"/>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5">
    <w:name w:val="No List155"/>
    <w:next w:val="NoList"/>
    <w:uiPriority w:val="99"/>
    <w:semiHidden/>
    <w:unhideWhenUsed/>
    <w:rsid w:val="008F7DB9"/>
  </w:style>
  <w:style w:type="numbering" w:customStyle="1" w:styleId="NoList1153">
    <w:name w:val="No List1153"/>
    <w:next w:val="NoList"/>
    <w:semiHidden/>
    <w:rsid w:val="008F7DB9"/>
  </w:style>
  <w:style w:type="table" w:customStyle="1" w:styleId="TableGrid1250">
    <w:name w:val="Table Grid125"/>
    <w:basedOn w:val="TableNormal"/>
    <w:next w:val="TableGrid"/>
    <w:uiPriority w:val="39"/>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3">
    <w:name w:val="No List11133"/>
    <w:next w:val="NoList"/>
    <w:semiHidden/>
    <w:rsid w:val="008F7DB9"/>
  </w:style>
  <w:style w:type="numbering" w:customStyle="1" w:styleId="NoList243">
    <w:name w:val="No List243"/>
    <w:next w:val="NoList"/>
    <w:semiHidden/>
    <w:rsid w:val="008F7DB9"/>
  </w:style>
  <w:style w:type="numbering" w:customStyle="1" w:styleId="NoList343">
    <w:name w:val="No List343"/>
    <w:next w:val="NoList"/>
    <w:semiHidden/>
    <w:unhideWhenUsed/>
    <w:rsid w:val="008F7DB9"/>
  </w:style>
  <w:style w:type="table" w:customStyle="1" w:styleId="TableList733">
    <w:name w:val="Table List 733"/>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3">
    <w:name w:val="Table Web 333"/>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3">
    <w:name w:val="Table Elegant33"/>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5">
    <w:name w:val="Table Web 235"/>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5">
    <w:name w:val="Table Web 135"/>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5">
    <w:name w:val="Table Grid 835"/>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5">
    <w:name w:val="Table Contemporary35"/>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3">
    <w:name w:val="Light List - Accent 143"/>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3">
    <w:name w:val="Table Grid 733"/>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5">
    <w:name w:val="Colorful Grid - Accent 145"/>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5">
    <w:name w:val="Light List - Accent 545"/>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3">
    <w:name w:val="Table Simple 333"/>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3">
    <w:name w:val="Table Grid 533"/>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3">
    <w:name w:val="Table Grid 333"/>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30">
    <w:name w:val="Table Grid 133"/>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3">
    <w:name w:val="Table Columns 533"/>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3">
    <w:name w:val="Light List - Accent 1133"/>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5">
    <w:name w:val="Нет списка145"/>
    <w:next w:val="NoList"/>
    <w:semiHidden/>
    <w:unhideWhenUsed/>
    <w:rsid w:val="008F7DB9"/>
  </w:style>
  <w:style w:type="table" w:customStyle="1" w:styleId="ColorfulGrid-Accent1133">
    <w:name w:val="Colorful Grid - Accent 1133"/>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3">
    <w:name w:val="Light List - Accent 5133"/>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5">
    <w:name w:val="No List435"/>
    <w:next w:val="NoList"/>
    <w:semiHidden/>
    <w:rsid w:val="008F7DB9"/>
  </w:style>
  <w:style w:type="table" w:customStyle="1" w:styleId="Table3Deffects333">
    <w:name w:val="Table 3D effects 333"/>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5">
    <w:name w:val="Нет списка1135"/>
    <w:next w:val="NoList"/>
    <w:semiHidden/>
    <w:unhideWhenUsed/>
    <w:rsid w:val="008F7DB9"/>
  </w:style>
  <w:style w:type="numbering" w:customStyle="1" w:styleId="NoList525">
    <w:name w:val="No List525"/>
    <w:next w:val="NoList"/>
    <w:uiPriority w:val="99"/>
    <w:semiHidden/>
    <w:unhideWhenUsed/>
    <w:rsid w:val="008F7DB9"/>
  </w:style>
  <w:style w:type="numbering" w:customStyle="1" w:styleId="NoList1225">
    <w:name w:val="No List1225"/>
    <w:next w:val="NoList"/>
    <w:uiPriority w:val="99"/>
    <w:semiHidden/>
    <w:rsid w:val="008F7DB9"/>
  </w:style>
  <w:style w:type="numbering" w:customStyle="1" w:styleId="NoList11223">
    <w:name w:val="No List11223"/>
    <w:next w:val="NoList"/>
    <w:semiHidden/>
    <w:rsid w:val="008F7DB9"/>
  </w:style>
  <w:style w:type="numbering" w:customStyle="1" w:styleId="NoList111125">
    <w:name w:val="No List111125"/>
    <w:next w:val="NoList"/>
    <w:semiHidden/>
    <w:rsid w:val="008F7DB9"/>
  </w:style>
  <w:style w:type="numbering" w:customStyle="1" w:styleId="NoList2125">
    <w:name w:val="No List2125"/>
    <w:next w:val="NoList"/>
    <w:semiHidden/>
    <w:rsid w:val="008F7DB9"/>
  </w:style>
  <w:style w:type="table" w:customStyle="1" w:styleId="TableGrid226">
    <w:name w:val="Table Grid22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5">
    <w:name w:val="No List3125"/>
    <w:next w:val="NoList"/>
    <w:semiHidden/>
    <w:unhideWhenUsed/>
    <w:rsid w:val="008F7DB9"/>
  </w:style>
  <w:style w:type="table" w:customStyle="1" w:styleId="LightShading-Accent115">
    <w:name w:val="Light Shading - Accent 115"/>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5">
    <w:name w:val="Medium Grid 2 - Accent 115"/>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5">
    <w:name w:val="Medium List 2 - Accent 515"/>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4">
    <w:name w:val="Light List - Accent 154"/>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5">
    <w:name w:val="Medium Grid 3 - Accent 515"/>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5">
    <w:name w:val="Light Shading - Accent 515"/>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5">
    <w:name w:val="Medium Grid 2 - Accent 515"/>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5">
    <w:name w:val="Light Grid - Accent 115"/>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5">
    <w:name w:val="Table List 45"/>
    <w:basedOn w:val="TableNormal"/>
    <w:next w:val="TableList4"/>
    <w:rsid w:val="008F7DB9"/>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4">
    <w:name w:val="Table List 414"/>
    <w:basedOn w:val="TableNormal"/>
    <w:next w:val="TableList4"/>
    <w:rsid w:val="008F7DB9"/>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3">
    <w:name w:val="Table Theme3"/>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3">
    <w:name w:val="Table Professional3"/>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30">
    <w:name w:val="Table Grid 63"/>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3">
    <w:name w:val="Table List 423"/>
    <w:basedOn w:val="TableNormal"/>
    <w:next w:val="TableList4"/>
    <w:rsid w:val="008F7DB9"/>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3">
    <w:name w:val="Table List 4113"/>
    <w:basedOn w:val="TableNormal"/>
    <w:next w:val="TableList4"/>
    <w:rsid w:val="008F7DB9"/>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7">
    <w:name w:val="Style117"/>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8">
    <w:name w:val="Style218"/>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7">
    <w:name w:val="Style2117"/>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5">
    <w:name w:val="No List165"/>
    <w:next w:val="NoList"/>
    <w:semiHidden/>
    <w:unhideWhenUsed/>
    <w:rsid w:val="008F7DB9"/>
  </w:style>
  <w:style w:type="table" w:customStyle="1" w:styleId="TableGrid66">
    <w:name w:val="Table Grid6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8F7DB9"/>
  </w:style>
  <w:style w:type="numbering" w:customStyle="1" w:styleId="NoList1163">
    <w:name w:val="No List1163"/>
    <w:next w:val="NoList"/>
    <w:semiHidden/>
    <w:rsid w:val="008F7DB9"/>
  </w:style>
  <w:style w:type="table" w:customStyle="1" w:styleId="TableGrid135">
    <w:name w:val="Table Grid135"/>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4">
    <w:name w:val="Light List - Accent 164"/>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2">
    <w:name w:val="Light Shading - Accent 12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22">
    <w:name w:val="Medium Grid 2 - Accent 12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22">
    <w:name w:val="Medium List 2 - Accent 52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72">
    <w:name w:val="Light List - Accent 17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22">
    <w:name w:val="Medium Grid 3 - Accent 52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2">
    <w:name w:val="Light Shading - Accent 52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22">
    <w:name w:val="Medium Grid 2 - Accent 52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22">
    <w:name w:val="Light Grid - Accent 12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82">
    <w:name w:val="No List182"/>
    <w:next w:val="NoList"/>
    <w:semiHidden/>
    <w:unhideWhenUsed/>
    <w:rsid w:val="008F7DB9"/>
  </w:style>
  <w:style w:type="table" w:customStyle="1" w:styleId="TableGrid760">
    <w:name w:val="Table Grid7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2">
    <w:name w:val="Table List 74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2">
    <w:name w:val="Table Web 34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2">
    <w:name w:val="Table Elegant4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2">
    <w:name w:val="Table Web 24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2">
    <w:name w:val="Table Web 14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2">
    <w:name w:val="Table Grid 84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2">
    <w:name w:val="Table Contemporary4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2">
    <w:name w:val="No List192"/>
    <w:next w:val="NoList"/>
    <w:semiHidden/>
    <w:unhideWhenUsed/>
    <w:rsid w:val="008F7DB9"/>
  </w:style>
  <w:style w:type="numbering" w:customStyle="1" w:styleId="NoList252">
    <w:name w:val="No List252"/>
    <w:next w:val="NoList"/>
    <w:semiHidden/>
    <w:unhideWhenUsed/>
    <w:rsid w:val="008F7DB9"/>
  </w:style>
  <w:style w:type="numbering" w:customStyle="1" w:styleId="NoList352">
    <w:name w:val="No List352"/>
    <w:next w:val="NoList"/>
    <w:semiHidden/>
    <w:unhideWhenUsed/>
    <w:rsid w:val="008F7DB9"/>
  </w:style>
  <w:style w:type="table" w:customStyle="1" w:styleId="LightList-Accent182">
    <w:name w:val="Light List - Accent 18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2">
    <w:name w:val="Table Grid 74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2">
    <w:name w:val="Colorful Grid - Accent 15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2">
    <w:name w:val="Light List - Accent 55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2">
    <w:name w:val="Table Simple 34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2">
    <w:name w:val="Table Grid 54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2">
    <w:name w:val="Table Grid 34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20">
    <w:name w:val="Table Grid 14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2">
    <w:name w:val="Table Columns 54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2">
    <w:name w:val="Light List - Accent 114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2">
    <w:name w:val="Нет списка152"/>
    <w:next w:val="NoList"/>
    <w:semiHidden/>
    <w:unhideWhenUsed/>
    <w:rsid w:val="008F7DB9"/>
  </w:style>
  <w:style w:type="table" w:customStyle="1" w:styleId="ColorfulGrid-Accent1142">
    <w:name w:val="Colorful Grid - Accent 114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2">
    <w:name w:val="Light List - Accent 514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2">
    <w:name w:val="No List442"/>
    <w:next w:val="NoList"/>
    <w:semiHidden/>
    <w:rsid w:val="008F7DB9"/>
  </w:style>
  <w:style w:type="numbering" w:customStyle="1" w:styleId="NoList1172">
    <w:name w:val="No List1172"/>
    <w:next w:val="NoList"/>
    <w:semiHidden/>
    <w:unhideWhenUsed/>
    <w:rsid w:val="008F7DB9"/>
  </w:style>
  <w:style w:type="table" w:customStyle="1" w:styleId="Table3Deffects342">
    <w:name w:val="Table 3D effects 34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
    <w:name w:val="Нет списка1142"/>
    <w:next w:val="NoList"/>
    <w:semiHidden/>
    <w:unhideWhenUsed/>
    <w:rsid w:val="008F7DB9"/>
  </w:style>
  <w:style w:type="table" w:customStyle="1" w:styleId="Style1112">
    <w:name w:val="Style111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2">
    <w:name w:val="Style212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2">
    <w:name w:val="Style2111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2">
    <w:name w:val="Style112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2">
    <w:name w:val="Style213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2">
    <w:name w:val="Style2112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2">
    <w:name w:val="No List202"/>
    <w:next w:val="NoList"/>
    <w:uiPriority w:val="99"/>
    <w:semiHidden/>
    <w:unhideWhenUsed/>
    <w:rsid w:val="008F7DB9"/>
  </w:style>
  <w:style w:type="numbering" w:customStyle="1" w:styleId="NoList1102">
    <w:name w:val="No List1102"/>
    <w:next w:val="NoList"/>
    <w:uiPriority w:val="99"/>
    <w:semiHidden/>
    <w:unhideWhenUsed/>
    <w:rsid w:val="008F7DB9"/>
  </w:style>
  <w:style w:type="table" w:customStyle="1" w:styleId="TableGrid850">
    <w:name w:val="Table Grid85"/>
    <w:basedOn w:val="TableNormal"/>
    <w:next w:val="TableGrid"/>
    <w:uiPriority w:val="39"/>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2">
    <w:name w:val="No List1182"/>
    <w:next w:val="NoList"/>
    <w:semiHidden/>
    <w:unhideWhenUsed/>
    <w:rsid w:val="008F7DB9"/>
  </w:style>
  <w:style w:type="numbering" w:customStyle="1" w:styleId="NoList11142">
    <w:name w:val="No List11142"/>
    <w:next w:val="NoList"/>
    <w:semiHidden/>
    <w:rsid w:val="008F7DB9"/>
  </w:style>
  <w:style w:type="table" w:customStyle="1" w:styleId="TableGrid144">
    <w:name w:val="Table Grid144"/>
    <w:basedOn w:val="TableNormal"/>
    <w:next w:val="TableGrid"/>
    <w:uiPriority w:val="39"/>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2">
    <w:name w:val="No List111132"/>
    <w:next w:val="NoList"/>
    <w:semiHidden/>
    <w:rsid w:val="008F7DB9"/>
  </w:style>
  <w:style w:type="numbering" w:customStyle="1" w:styleId="NoList262">
    <w:name w:val="No List262"/>
    <w:next w:val="NoList"/>
    <w:semiHidden/>
    <w:rsid w:val="008F7DB9"/>
  </w:style>
  <w:style w:type="numbering" w:customStyle="1" w:styleId="NoList362">
    <w:name w:val="No List362"/>
    <w:next w:val="NoList"/>
    <w:semiHidden/>
    <w:unhideWhenUsed/>
    <w:rsid w:val="008F7DB9"/>
  </w:style>
  <w:style w:type="table" w:customStyle="1" w:styleId="TableList752">
    <w:name w:val="Table List 75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2">
    <w:name w:val="Table Web 35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2">
    <w:name w:val="Table Elegant5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2">
    <w:name w:val="Table Web 25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2">
    <w:name w:val="Table Web 15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2">
    <w:name w:val="Table Grid 85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2">
    <w:name w:val="Table Contemporary5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2">
    <w:name w:val="Light List - Accent 19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2">
    <w:name w:val="Table Grid 75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2">
    <w:name w:val="Colorful Grid - Accent 16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2">
    <w:name w:val="Light List - Accent 56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2">
    <w:name w:val="Table Simple 35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2">
    <w:name w:val="Table Grid 55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2">
    <w:name w:val="Table Grid 35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2">
    <w:name w:val="Table Grid 15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2">
    <w:name w:val="Table Columns 55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2">
    <w:name w:val="Light List - Accent 115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2">
    <w:name w:val="Нет списка162"/>
    <w:next w:val="NoList"/>
    <w:semiHidden/>
    <w:unhideWhenUsed/>
    <w:rsid w:val="008F7DB9"/>
  </w:style>
  <w:style w:type="table" w:customStyle="1" w:styleId="ColorfulGrid-Accent1152">
    <w:name w:val="Colorful Grid - Accent 115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2">
    <w:name w:val="Light List - Accent 515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2">
    <w:name w:val="No List452"/>
    <w:next w:val="NoList"/>
    <w:semiHidden/>
    <w:rsid w:val="008F7DB9"/>
  </w:style>
  <w:style w:type="table" w:customStyle="1" w:styleId="Table3Deffects352">
    <w:name w:val="Table 3D effects 35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
    <w:name w:val="Нет списка1152"/>
    <w:next w:val="NoList"/>
    <w:semiHidden/>
    <w:unhideWhenUsed/>
    <w:rsid w:val="008F7DB9"/>
  </w:style>
  <w:style w:type="numbering" w:customStyle="1" w:styleId="NoList532">
    <w:name w:val="No List532"/>
    <w:next w:val="NoList"/>
    <w:uiPriority w:val="99"/>
    <w:semiHidden/>
    <w:unhideWhenUsed/>
    <w:rsid w:val="008F7DB9"/>
  </w:style>
  <w:style w:type="numbering" w:customStyle="1" w:styleId="NoList1232">
    <w:name w:val="No List1232"/>
    <w:next w:val="NoList"/>
    <w:semiHidden/>
    <w:rsid w:val="008F7DB9"/>
  </w:style>
  <w:style w:type="numbering" w:customStyle="1" w:styleId="NoList11232">
    <w:name w:val="No List11232"/>
    <w:next w:val="NoList"/>
    <w:semiHidden/>
    <w:rsid w:val="008F7DB9"/>
  </w:style>
  <w:style w:type="numbering" w:customStyle="1" w:styleId="NoList11111112">
    <w:name w:val="No List11111112"/>
    <w:next w:val="NoList"/>
    <w:semiHidden/>
    <w:rsid w:val="008F7DB9"/>
  </w:style>
  <w:style w:type="numbering" w:customStyle="1" w:styleId="NoList2132">
    <w:name w:val="No List2132"/>
    <w:next w:val="NoList"/>
    <w:semiHidden/>
    <w:rsid w:val="008F7DB9"/>
  </w:style>
  <w:style w:type="table" w:customStyle="1" w:styleId="TableGrid234">
    <w:name w:val="Table Grid234"/>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2">
    <w:name w:val="No List3132"/>
    <w:next w:val="NoList"/>
    <w:uiPriority w:val="99"/>
    <w:semiHidden/>
    <w:unhideWhenUsed/>
    <w:rsid w:val="008F7DB9"/>
  </w:style>
  <w:style w:type="numbering" w:customStyle="1" w:styleId="NoList615">
    <w:name w:val="No List615"/>
    <w:next w:val="NoList"/>
    <w:uiPriority w:val="99"/>
    <w:semiHidden/>
    <w:unhideWhenUsed/>
    <w:rsid w:val="008F7DB9"/>
  </w:style>
  <w:style w:type="numbering" w:customStyle="1" w:styleId="NoList715">
    <w:name w:val="No List715"/>
    <w:next w:val="NoList"/>
    <w:uiPriority w:val="99"/>
    <w:semiHidden/>
    <w:unhideWhenUsed/>
    <w:rsid w:val="008F7DB9"/>
  </w:style>
  <w:style w:type="table" w:customStyle="1" w:styleId="TableGrid3150">
    <w:name w:val="Table Grid315"/>
    <w:basedOn w:val="TableNormal"/>
    <w:next w:val="TableGrid"/>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5">
    <w:name w:val="No List1315"/>
    <w:next w:val="NoList"/>
    <w:semiHidden/>
    <w:unhideWhenUsed/>
    <w:rsid w:val="008F7DB9"/>
  </w:style>
  <w:style w:type="numbering" w:customStyle="1" w:styleId="NoList11312">
    <w:name w:val="No List11312"/>
    <w:next w:val="NoList"/>
    <w:semiHidden/>
    <w:rsid w:val="008F7DB9"/>
  </w:style>
  <w:style w:type="table" w:customStyle="1" w:styleId="TableGrid1116">
    <w:name w:val="Table Grid1116"/>
    <w:basedOn w:val="TableNormal"/>
    <w:next w:val="TableGrid"/>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2">
    <w:name w:val="No List111212"/>
    <w:next w:val="NoList"/>
    <w:semiHidden/>
    <w:rsid w:val="008F7DB9"/>
  </w:style>
  <w:style w:type="numbering" w:customStyle="1" w:styleId="NoList2214">
    <w:name w:val="No List2214"/>
    <w:next w:val="NoList"/>
    <w:semiHidden/>
    <w:rsid w:val="008F7DB9"/>
  </w:style>
  <w:style w:type="numbering" w:customStyle="1" w:styleId="NoList3214">
    <w:name w:val="No List3214"/>
    <w:next w:val="NoList"/>
    <w:semiHidden/>
    <w:unhideWhenUsed/>
    <w:rsid w:val="008F7DB9"/>
  </w:style>
  <w:style w:type="table" w:customStyle="1" w:styleId="TableList7114">
    <w:name w:val="Table List 7114"/>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4">
    <w:name w:val="Table Web 3114"/>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4">
    <w:name w:val="Table Elegant114"/>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5">
    <w:name w:val="Table Web 2115"/>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5">
    <w:name w:val="Table Web 1115"/>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5">
    <w:name w:val="Table Grid 8115"/>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5">
    <w:name w:val="Table Contemporary115"/>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5">
    <w:name w:val="Light List - Accent 1215"/>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4">
    <w:name w:val="Table Grid 7114"/>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5">
    <w:name w:val="Colorful Grid - Accent 1215"/>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5">
    <w:name w:val="Light List - Accent 5215"/>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4">
    <w:name w:val="Table Simple 3114"/>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4">
    <w:name w:val="Table Grid 5114"/>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4">
    <w:name w:val="Table Grid 3114"/>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40">
    <w:name w:val="Table Grid 1114"/>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4">
    <w:name w:val="Table Columns 5114"/>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4">
    <w:name w:val="Light List - Accent 11114"/>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5">
    <w:name w:val="Нет списка1215"/>
    <w:next w:val="NoList"/>
    <w:uiPriority w:val="99"/>
    <w:semiHidden/>
    <w:unhideWhenUsed/>
    <w:rsid w:val="008F7DB9"/>
  </w:style>
  <w:style w:type="table" w:customStyle="1" w:styleId="ColorfulGrid-Accent11114">
    <w:name w:val="Colorful Grid - Accent 11114"/>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4">
    <w:name w:val="Light List - Accent 51114"/>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5">
    <w:name w:val="No List4115"/>
    <w:next w:val="NoList"/>
    <w:semiHidden/>
    <w:rsid w:val="008F7DB9"/>
  </w:style>
  <w:style w:type="table" w:customStyle="1" w:styleId="Table3Deffects3114">
    <w:name w:val="Table 3D effects 3114"/>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5">
    <w:name w:val="Нет списка11115"/>
    <w:next w:val="NoList"/>
    <w:semiHidden/>
    <w:unhideWhenUsed/>
    <w:rsid w:val="008F7DB9"/>
  </w:style>
  <w:style w:type="numbering" w:customStyle="1" w:styleId="NoList5114">
    <w:name w:val="No List5114"/>
    <w:next w:val="NoList"/>
    <w:uiPriority w:val="99"/>
    <w:semiHidden/>
    <w:unhideWhenUsed/>
    <w:rsid w:val="008F7DB9"/>
  </w:style>
  <w:style w:type="numbering" w:customStyle="1" w:styleId="NoList12114">
    <w:name w:val="No List12114"/>
    <w:next w:val="NoList"/>
    <w:uiPriority w:val="99"/>
    <w:semiHidden/>
    <w:rsid w:val="008F7DB9"/>
  </w:style>
  <w:style w:type="numbering" w:customStyle="1" w:styleId="NoList112112">
    <w:name w:val="No List112112"/>
    <w:next w:val="NoList"/>
    <w:semiHidden/>
    <w:rsid w:val="008F7DB9"/>
  </w:style>
  <w:style w:type="numbering" w:customStyle="1" w:styleId="NoList111111112">
    <w:name w:val="No List111111112"/>
    <w:next w:val="NoList"/>
    <w:semiHidden/>
    <w:rsid w:val="008F7DB9"/>
  </w:style>
  <w:style w:type="numbering" w:customStyle="1" w:styleId="NoList21114">
    <w:name w:val="No List21114"/>
    <w:next w:val="NoList"/>
    <w:semiHidden/>
    <w:rsid w:val="008F7DB9"/>
  </w:style>
  <w:style w:type="table" w:customStyle="1" w:styleId="TableGrid2114">
    <w:name w:val="Table Grid2114"/>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4">
    <w:name w:val="No List31114"/>
    <w:next w:val="NoList"/>
    <w:semiHidden/>
    <w:unhideWhenUsed/>
    <w:rsid w:val="008F7DB9"/>
  </w:style>
  <w:style w:type="numbering" w:customStyle="1" w:styleId="NoList815">
    <w:name w:val="No List815"/>
    <w:next w:val="NoList"/>
    <w:uiPriority w:val="99"/>
    <w:semiHidden/>
    <w:unhideWhenUsed/>
    <w:rsid w:val="008F7DB9"/>
  </w:style>
  <w:style w:type="numbering" w:customStyle="1" w:styleId="NoList914">
    <w:name w:val="No List914"/>
    <w:next w:val="NoList"/>
    <w:uiPriority w:val="99"/>
    <w:semiHidden/>
    <w:unhideWhenUsed/>
    <w:rsid w:val="008F7DB9"/>
  </w:style>
  <w:style w:type="table" w:customStyle="1" w:styleId="TableGrid415">
    <w:name w:val="Table Grid41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2">
    <w:name w:val="Table List 721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2">
    <w:name w:val="Table Web 321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2">
    <w:name w:val="Table Elegant21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4">
    <w:name w:val="Table Web 2214"/>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4">
    <w:name w:val="Table Web 1214"/>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4">
    <w:name w:val="Table Grid 8214"/>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4">
    <w:name w:val="Table Contemporary214"/>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4">
    <w:name w:val="No List1414"/>
    <w:next w:val="NoList"/>
    <w:semiHidden/>
    <w:unhideWhenUsed/>
    <w:rsid w:val="008F7DB9"/>
  </w:style>
  <w:style w:type="numbering" w:customStyle="1" w:styleId="NoList2312">
    <w:name w:val="No List2312"/>
    <w:next w:val="NoList"/>
    <w:semiHidden/>
    <w:unhideWhenUsed/>
    <w:rsid w:val="008F7DB9"/>
  </w:style>
  <w:style w:type="numbering" w:customStyle="1" w:styleId="NoList3312">
    <w:name w:val="No List3312"/>
    <w:next w:val="NoList"/>
    <w:semiHidden/>
    <w:unhideWhenUsed/>
    <w:rsid w:val="008F7DB9"/>
  </w:style>
  <w:style w:type="table" w:customStyle="1" w:styleId="LightList-Accent1312">
    <w:name w:val="Light List - Accent 131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2">
    <w:name w:val="Table Grid 721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4">
    <w:name w:val="Colorful Grid - Accent 1314"/>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4">
    <w:name w:val="Light List - Accent 5314"/>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2">
    <w:name w:val="Table Simple 321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2">
    <w:name w:val="Table Grid 521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2">
    <w:name w:val="Table Grid 321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20">
    <w:name w:val="Table Grid 121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2">
    <w:name w:val="Table Columns 521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2">
    <w:name w:val="Light List - Accent 1121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4">
    <w:name w:val="Нет списка1314"/>
    <w:next w:val="NoList"/>
    <w:semiHidden/>
    <w:unhideWhenUsed/>
    <w:rsid w:val="008F7DB9"/>
  </w:style>
  <w:style w:type="table" w:customStyle="1" w:styleId="ColorfulGrid-Accent11212">
    <w:name w:val="Colorful Grid - Accent 1121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2">
    <w:name w:val="Light List - Accent 5121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4">
    <w:name w:val="No List4214"/>
    <w:next w:val="NoList"/>
    <w:semiHidden/>
    <w:rsid w:val="008F7DB9"/>
  </w:style>
  <w:style w:type="numbering" w:customStyle="1" w:styleId="NoList11412">
    <w:name w:val="No List11412"/>
    <w:next w:val="NoList"/>
    <w:semiHidden/>
    <w:unhideWhenUsed/>
    <w:rsid w:val="008F7DB9"/>
  </w:style>
  <w:style w:type="table" w:customStyle="1" w:styleId="Table3Deffects3212">
    <w:name w:val="Table 3D effects 321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4">
    <w:name w:val="Нет списка11214"/>
    <w:next w:val="NoList"/>
    <w:semiHidden/>
    <w:unhideWhenUsed/>
    <w:rsid w:val="008F7DB9"/>
  </w:style>
  <w:style w:type="numbering" w:customStyle="1" w:styleId="NoList1014">
    <w:name w:val="No List1014"/>
    <w:next w:val="NoList"/>
    <w:uiPriority w:val="99"/>
    <w:semiHidden/>
    <w:unhideWhenUsed/>
    <w:rsid w:val="008F7DB9"/>
  </w:style>
  <w:style w:type="table" w:customStyle="1" w:styleId="TableGrid5140">
    <w:name w:val="Table Grid514"/>
    <w:basedOn w:val="TableNormal"/>
    <w:next w:val="TableGrid"/>
    <w:uiPriority w:val="39"/>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semiHidden/>
    <w:unhideWhenUsed/>
    <w:rsid w:val="008F7DB9"/>
  </w:style>
  <w:style w:type="numbering" w:customStyle="1" w:styleId="NoList11512">
    <w:name w:val="No List11512"/>
    <w:next w:val="NoList"/>
    <w:semiHidden/>
    <w:rsid w:val="008F7DB9"/>
  </w:style>
  <w:style w:type="table" w:customStyle="1" w:styleId="TableGrid1214">
    <w:name w:val="Table Grid1214"/>
    <w:basedOn w:val="TableNormal"/>
    <w:next w:val="TableGrid"/>
    <w:uiPriority w:val="39"/>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2">
    <w:name w:val="No List111312"/>
    <w:next w:val="NoList"/>
    <w:semiHidden/>
    <w:rsid w:val="008F7DB9"/>
  </w:style>
  <w:style w:type="numbering" w:customStyle="1" w:styleId="NoList2412">
    <w:name w:val="No List2412"/>
    <w:next w:val="NoList"/>
    <w:semiHidden/>
    <w:rsid w:val="008F7DB9"/>
  </w:style>
  <w:style w:type="numbering" w:customStyle="1" w:styleId="NoList3412">
    <w:name w:val="No List3412"/>
    <w:next w:val="NoList"/>
    <w:semiHidden/>
    <w:unhideWhenUsed/>
    <w:rsid w:val="008F7DB9"/>
  </w:style>
  <w:style w:type="table" w:customStyle="1" w:styleId="TableList7312">
    <w:name w:val="Table List 731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2">
    <w:name w:val="Table Web 331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2">
    <w:name w:val="Table Elegant31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2">
    <w:name w:val="Table Web 231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2">
    <w:name w:val="Table Web 131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2">
    <w:name w:val="Table Grid 831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2">
    <w:name w:val="Table Contemporary31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2">
    <w:name w:val="Light List - Accent 141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20">
    <w:name w:val="Table Grid 731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2">
    <w:name w:val="Colorful Grid - Accent 141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2">
    <w:name w:val="Light List - Accent 541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2">
    <w:name w:val="Table Simple 331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2">
    <w:name w:val="Table Grid 531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2">
    <w:name w:val="Table Grid 331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2">
    <w:name w:val="Table Grid 131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2">
    <w:name w:val="Table Columns 531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2">
    <w:name w:val="Light List - Accent 1131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2">
    <w:name w:val="Нет списка1412"/>
    <w:next w:val="NoList"/>
    <w:semiHidden/>
    <w:unhideWhenUsed/>
    <w:rsid w:val="008F7DB9"/>
  </w:style>
  <w:style w:type="table" w:customStyle="1" w:styleId="ColorfulGrid-Accent11312">
    <w:name w:val="Colorful Grid - Accent 1131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2">
    <w:name w:val="Light List - Accent 5131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2">
    <w:name w:val="No List4312"/>
    <w:next w:val="NoList"/>
    <w:semiHidden/>
    <w:rsid w:val="008F7DB9"/>
  </w:style>
  <w:style w:type="table" w:customStyle="1" w:styleId="Table3Deffects3312">
    <w:name w:val="Table 3D effects 331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2">
    <w:name w:val="Нет списка11312"/>
    <w:next w:val="NoList"/>
    <w:semiHidden/>
    <w:unhideWhenUsed/>
    <w:rsid w:val="008F7DB9"/>
  </w:style>
  <w:style w:type="numbering" w:customStyle="1" w:styleId="NoList5212">
    <w:name w:val="No List5212"/>
    <w:next w:val="NoList"/>
    <w:uiPriority w:val="99"/>
    <w:semiHidden/>
    <w:unhideWhenUsed/>
    <w:rsid w:val="008F7DB9"/>
  </w:style>
  <w:style w:type="numbering" w:customStyle="1" w:styleId="NoList12212">
    <w:name w:val="No List12212"/>
    <w:next w:val="NoList"/>
    <w:semiHidden/>
    <w:rsid w:val="008F7DB9"/>
  </w:style>
  <w:style w:type="numbering" w:customStyle="1" w:styleId="NoList112212">
    <w:name w:val="No List112212"/>
    <w:next w:val="NoList"/>
    <w:semiHidden/>
    <w:rsid w:val="008F7DB9"/>
  </w:style>
  <w:style w:type="numbering" w:customStyle="1" w:styleId="NoList1111212">
    <w:name w:val="No List1111212"/>
    <w:next w:val="NoList"/>
    <w:semiHidden/>
    <w:rsid w:val="008F7DB9"/>
  </w:style>
  <w:style w:type="numbering" w:customStyle="1" w:styleId="NoList21212">
    <w:name w:val="No List21212"/>
    <w:next w:val="NoList"/>
    <w:semiHidden/>
    <w:rsid w:val="008F7DB9"/>
  </w:style>
  <w:style w:type="table" w:customStyle="1" w:styleId="TableGrid2215">
    <w:name w:val="Table Grid221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2">
    <w:name w:val="No List31212"/>
    <w:next w:val="NoList"/>
    <w:uiPriority w:val="99"/>
    <w:semiHidden/>
    <w:unhideWhenUsed/>
    <w:rsid w:val="008F7DB9"/>
  </w:style>
  <w:style w:type="table" w:customStyle="1" w:styleId="LightShading-Accent1112">
    <w:name w:val="Light Shading - Accent 111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2">
    <w:name w:val="Medium Grid 2 - Accent 111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2">
    <w:name w:val="Medium List 2 - Accent 511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2">
    <w:name w:val="Light List - Accent 151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2">
    <w:name w:val="Medium Grid 3 - Accent 511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2">
    <w:name w:val="Light Shading - Accent 511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2">
    <w:name w:val="Medium Grid 2 - Accent 511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2">
    <w:name w:val="Light Grid - Accent 111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2">
    <w:name w:val="Table List 432"/>
    <w:basedOn w:val="TableNormal"/>
    <w:next w:val="TableList4"/>
    <w:rsid w:val="008F7DB9"/>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2">
    <w:name w:val="Table List 4122"/>
    <w:basedOn w:val="TableNormal"/>
    <w:next w:val="TableList4"/>
    <w:rsid w:val="008F7DB9"/>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2">
    <w:name w:val="Table Theme12"/>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2">
    <w:name w:val="Table Professional12"/>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20">
    <w:name w:val="Table Grid 612"/>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2">
    <w:name w:val="Table List 4212"/>
    <w:basedOn w:val="TableNormal"/>
    <w:next w:val="TableList4"/>
    <w:rsid w:val="008F7DB9"/>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2">
    <w:name w:val="Table List 41112"/>
    <w:basedOn w:val="TableNormal"/>
    <w:next w:val="TableList4"/>
    <w:rsid w:val="008F7DB9"/>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2">
    <w:name w:val="Style113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2">
    <w:name w:val="Style214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2">
    <w:name w:val="Style2113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2">
    <w:name w:val="No List1612"/>
    <w:next w:val="NoList"/>
    <w:uiPriority w:val="99"/>
    <w:semiHidden/>
    <w:unhideWhenUsed/>
    <w:rsid w:val="008F7DB9"/>
  </w:style>
  <w:style w:type="table" w:customStyle="1" w:styleId="TableGrid614">
    <w:name w:val="Table Grid614"/>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2">
    <w:name w:val="No List1712"/>
    <w:next w:val="NoList"/>
    <w:uiPriority w:val="99"/>
    <w:semiHidden/>
    <w:unhideWhenUsed/>
    <w:rsid w:val="008F7DB9"/>
  </w:style>
  <w:style w:type="numbering" w:customStyle="1" w:styleId="NoList11612">
    <w:name w:val="No List11612"/>
    <w:next w:val="NoList"/>
    <w:semiHidden/>
    <w:rsid w:val="008F7DB9"/>
  </w:style>
  <w:style w:type="table" w:customStyle="1" w:styleId="TableGrid13120">
    <w:name w:val="Table Grid131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2">
    <w:name w:val="Light List - Accent 161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2">
    <w:name w:val="Light Shading - Accent 132"/>
    <w:basedOn w:val="TableNormal"/>
    <w:next w:val="LightShading-Accent1"/>
    <w:uiPriority w:val="60"/>
    <w:semiHidden/>
    <w:unhideWhenUsed/>
    <w:rsid w:val="008F7DB9"/>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2">
    <w:name w:val="Medium Grid 2 - Accent 132"/>
    <w:basedOn w:val="TableNormal"/>
    <w:next w:val="MediumGrid2-Accent1"/>
    <w:uiPriority w:val="68"/>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2">
    <w:name w:val="Medium List 2 - Accent 532"/>
    <w:basedOn w:val="TableNormal"/>
    <w:next w:val="MediumList2-Accent5"/>
    <w:uiPriority w:val="66"/>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2">
    <w:name w:val="Medium Grid 3 - Accent 532"/>
    <w:basedOn w:val="TableNormal"/>
    <w:next w:val="MediumGrid3-Accent5"/>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2">
    <w:name w:val="Light Shading - Accent 532"/>
    <w:basedOn w:val="TableNormal"/>
    <w:next w:val="LightShading-Accent5"/>
    <w:uiPriority w:val="60"/>
    <w:semiHidden/>
    <w:unhideWhenUsed/>
    <w:rsid w:val="008F7DB9"/>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2">
    <w:name w:val="Medium Grid 2 - Accent 532"/>
    <w:basedOn w:val="TableNormal"/>
    <w:next w:val="MediumGrid2-Accent5"/>
    <w:uiPriority w:val="68"/>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2">
    <w:name w:val="Light Grid - Accent 132"/>
    <w:basedOn w:val="TableNormal"/>
    <w:next w:val="LightGrid-Accent1"/>
    <w:uiPriority w:val="62"/>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2">
    <w:name w:val="Light Shading - Accent 14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42">
    <w:name w:val="Medium Grid 2 - Accent 14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42">
    <w:name w:val="Medium List 2 - Accent 54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02">
    <w:name w:val="Light List - Accent 110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42">
    <w:name w:val="Medium Grid 3 - Accent 54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42">
    <w:name w:val="Light Shading - Accent 54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42">
    <w:name w:val="Medium Grid 2 - Accent 54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2">
    <w:name w:val="Light Grid - Accent 14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52">
    <w:name w:val="Light Shading - Accent 15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52">
    <w:name w:val="Medium Grid 2 - Accent 15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52">
    <w:name w:val="Medium List 2 - Accent 55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62">
    <w:name w:val="Light List - Accent 116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52">
    <w:name w:val="Medium Grid 3 - Accent 55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52">
    <w:name w:val="Light Shading - Accent 55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52">
    <w:name w:val="Medium Grid 2 - Accent 55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52">
    <w:name w:val="Light Grid - Accent 15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72">
    <w:name w:val="No List272"/>
    <w:next w:val="NoList"/>
    <w:uiPriority w:val="99"/>
    <w:semiHidden/>
    <w:unhideWhenUsed/>
    <w:rsid w:val="008F7DB9"/>
  </w:style>
  <w:style w:type="table" w:customStyle="1" w:styleId="TableGrid95">
    <w:name w:val="Table Grid9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2">
    <w:name w:val="Table List 76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2">
    <w:name w:val="Table Web 36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2">
    <w:name w:val="Table Elegant6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2">
    <w:name w:val="Table Web 26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2">
    <w:name w:val="Table Web 16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2">
    <w:name w:val="Table Grid 86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2">
    <w:name w:val="Table Contemporary6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2">
    <w:name w:val="No List1192"/>
    <w:next w:val="NoList"/>
    <w:semiHidden/>
    <w:unhideWhenUsed/>
    <w:rsid w:val="008F7DB9"/>
  </w:style>
  <w:style w:type="numbering" w:customStyle="1" w:styleId="NoList282">
    <w:name w:val="No List282"/>
    <w:next w:val="NoList"/>
    <w:semiHidden/>
    <w:unhideWhenUsed/>
    <w:rsid w:val="008F7DB9"/>
  </w:style>
  <w:style w:type="numbering" w:customStyle="1" w:styleId="NoList372">
    <w:name w:val="No List372"/>
    <w:next w:val="NoList"/>
    <w:semiHidden/>
    <w:unhideWhenUsed/>
    <w:rsid w:val="008F7DB9"/>
  </w:style>
  <w:style w:type="table" w:customStyle="1" w:styleId="LightList-Accent1172">
    <w:name w:val="Light List - Accent 117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2">
    <w:name w:val="Table Grid 76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2">
    <w:name w:val="Colorful Grid - Accent 17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2">
    <w:name w:val="Light List - Accent 57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2">
    <w:name w:val="Table Simple 36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2">
    <w:name w:val="Table Grid 56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2">
    <w:name w:val="Table Grid 36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2">
    <w:name w:val="Table Grid 16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2">
    <w:name w:val="Table Columns 56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2">
    <w:name w:val="Light List - Accent 118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2">
    <w:name w:val="Нет списка172"/>
    <w:next w:val="NoList"/>
    <w:semiHidden/>
    <w:unhideWhenUsed/>
    <w:rsid w:val="008F7DB9"/>
  </w:style>
  <w:style w:type="table" w:customStyle="1" w:styleId="ColorfulGrid-Accent1162">
    <w:name w:val="Colorful Grid - Accent 116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2">
    <w:name w:val="Light List - Accent 516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2">
    <w:name w:val="No List462"/>
    <w:next w:val="NoList"/>
    <w:semiHidden/>
    <w:rsid w:val="008F7DB9"/>
  </w:style>
  <w:style w:type="numbering" w:customStyle="1" w:styleId="NoList11102">
    <w:name w:val="No List11102"/>
    <w:next w:val="NoList"/>
    <w:semiHidden/>
    <w:unhideWhenUsed/>
    <w:rsid w:val="008F7DB9"/>
  </w:style>
  <w:style w:type="table" w:customStyle="1" w:styleId="Table3Deffects362">
    <w:name w:val="Table 3D effects 36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
    <w:name w:val="Нет списка1162"/>
    <w:next w:val="NoList"/>
    <w:semiHidden/>
    <w:unhideWhenUsed/>
    <w:rsid w:val="008F7DB9"/>
  </w:style>
  <w:style w:type="table" w:customStyle="1" w:styleId="LightShading-Accent162">
    <w:name w:val="Light Shading - Accent 16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2">
    <w:name w:val="Medium Grid 2 - Accent 16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2">
    <w:name w:val="Medium List 2 - Accent 56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2">
    <w:name w:val="Light List - Accent 152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2">
    <w:name w:val="Medium Grid 3 - Accent 56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2">
    <w:name w:val="Light Shading - Accent 56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2">
    <w:name w:val="Medium Grid 2 - Accent 56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2">
    <w:name w:val="Light Grid - Accent 16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Unicode" w:eastAsia="Times New Roman" w:hAnsi="Time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Unicode" w:eastAsia="Times New Roman" w:hAnsi="Time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Unicode" w:eastAsia="Times New Roman" w:hAnsi="Times Unicode" w:cs="Times New Roman"/>
        <w:b/>
        <w:bCs/>
      </w:rPr>
    </w:tblStylePr>
    <w:tblStylePr w:type="lastCol">
      <w:rPr>
        <w:rFonts w:ascii="Times Unicode" w:eastAsia="Times New Roman" w:hAnsi="Time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2">
    <w:name w:val="Style114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2">
    <w:name w:val="Style215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2">
    <w:name w:val="Style2114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2">
    <w:name w:val="Light Shading - Accent 112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2">
    <w:name w:val="Medium Grid 2 - Accent 112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2">
    <w:name w:val="Medium List 2 - Accent 512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2">
    <w:name w:val="Light List - Accent 162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2">
    <w:name w:val="Medium Grid 3 - Accent 512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2">
    <w:name w:val="Light Shading - Accent 512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2">
    <w:name w:val="Medium Grid 2 - Accent 512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2">
    <w:name w:val="Light Grid - Accent 112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Unicode" w:eastAsia="Times New Roman" w:hAnsi="Time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Unicode" w:eastAsia="Times New Roman" w:hAnsi="Time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Unicode" w:eastAsia="Times New Roman" w:hAnsi="Times Unicode" w:cs="Times New Roman"/>
        <w:b/>
        <w:bCs/>
      </w:rPr>
    </w:tblStylePr>
    <w:tblStylePr w:type="lastCol">
      <w:rPr>
        <w:rFonts w:ascii="Times Unicode" w:eastAsia="Times New Roman" w:hAnsi="Time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2">
    <w:name w:val="No List292"/>
    <w:next w:val="NoList"/>
    <w:uiPriority w:val="99"/>
    <w:semiHidden/>
    <w:unhideWhenUsed/>
    <w:rsid w:val="008F7DB9"/>
  </w:style>
  <w:style w:type="table" w:customStyle="1" w:styleId="TableGrid105">
    <w:name w:val="Table Grid10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2">
    <w:name w:val="No List1202"/>
    <w:next w:val="NoList"/>
    <w:uiPriority w:val="99"/>
    <w:semiHidden/>
    <w:unhideWhenUsed/>
    <w:rsid w:val="008F7DB9"/>
  </w:style>
  <w:style w:type="numbering" w:customStyle="1" w:styleId="NoList11152">
    <w:name w:val="No List11152"/>
    <w:next w:val="NoList"/>
    <w:semiHidden/>
    <w:rsid w:val="008F7DB9"/>
  </w:style>
  <w:style w:type="table" w:customStyle="1" w:styleId="TableGrid1520">
    <w:name w:val="Table Grid152"/>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2">
    <w:name w:val="No List302"/>
    <w:next w:val="NoList"/>
    <w:uiPriority w:val="99"/>
    <w:semiHidden/>
    <w:unhideWhenUsed/>
    <w:rsid w:val="008F7DB9"/>
  </w:style>
  <w:style w:type="table" w:customStyle="1" w:styleId="LightShading-Accent172">
    <w:name w:val="Light Shading - Accent 17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72">
    <w:name w:val="Medium Grid 2 - Accent 17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72">
    <w:name w:val="Medium List 2 - Accent 57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92">
    <w:name w:val="Light List - Accent 119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72">
    <w:name w:val="Medium Grid 3 - Accent 57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72">
    <w:name w:val="Light Shading - Accent 57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72">
    <w:name w:val="Medium Grid 2 - Accent 57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72">
    <w:name w:val="Light Grid - Accent 17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82">
    <w:name w:val="No List382"/>
    <w:next w:val="NoList"/>
    <w:uiPriority w:val="99"/>
    <w:semiHidden/>
    <w:unhideWhenUsed/>
    <w:rsid w:val="008F7DB9"/>
  </w:style>
  <w:style w:type="table" w:customStyle="1" w:styleId="TableGrid1620">
    <w:name w:val="Table Grid162"/>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8F7DB9"/>
  </w:style>
  <w:style w:type="numbering" w:customStyle="1" w:styleId="NoList11162">
    <w:name w:val="No List11162"/>
    <w:next w:val="NoList"/>
    <w:semiHidden/>
    <w:rsid w:val="008F7DB9"/>
  </w:style>
  <w:style w:type="table" w:customStyle="1" w:styleId="TableGrid172">
    <w:name w:val="Table Grid17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2">
    <w:name w:val="Light Shading - Accent 18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82">
    <w:name w:val="Medium Grid 2 - Accent 18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82">
    <w:name w:val="Medium List 2 - Accent 58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02">
    <w:name w:val="Light List - Accent 120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82">
    <w:name w:val="Medium Grid 3 - Accent 58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82">
    <w:name w:val="Light Shading - Accent 58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82">
    <w:name w:val="Medium Grid 2 - Accent 58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82">
    <w:name w:val="Light Grid - Accent 18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92">
    <w:name w:val="Light Shading - Accent 19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92">
    <w:name w:val="Medium Grid 2 - Accent 19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92">
    <w:name w:val="Medium List 2 - Accent 59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22">
    <w:name w:val="Light List - Accent 122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92">
    <w:name w:val="Medium Grid 3 - Accent 59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92">
    <w:name w:val="Light Shading - Accent 59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92">
    <w:name w:val="Medium Grid 2 - Accent 59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92">
    <w:name w:val="Light Grid - Accent 19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53">
    <w:name w:val="Style1153"/>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2">
    <w:name w:val="Style2115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2">
    <w:name w:val="No List392"/>
    <w:next w:val="NoList"/>
    <w:uiPriority w:val="99"/>
    <w:semiHidden/>
    <w:unhideWhenUsed/>
    <w:rsid w:val="008F7DB9"/>
  </w:style>
  <w:style w:type="table" w:customStyle="1" w:styleId="TableGrid182">
    <w:name w:val="Table Grid182"/>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8F7DB9"/>
  </w:style>
  <w:style w:type="numbering" w:customStyle="1" w:styleId="NoList11172">
    <w:name w:val="No List11172"/>
    <w:next w:val="NoList"/>
    <w:semiHidden/>
    <w:rsid w:val="008F7DB9"/>
  </w:style>
  <w:style w:type="table" w:customStyle="1" w:styleId="TableGrid192">
    <w:name w:val="Table Grid19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2">
    <w:name w:val="Style1151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2">
    <w:name w:val="Style216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2">
    <w:name w:val="No List402"/>
    <w:next w:val="NoList"/>
    <w:uiPriority w:val="99"/>
    <w:semiHidden/>
    <w:unhideWhenUsed/>
    <w:rsid w:val="008F7DB9"/>
  </w:style>
  <w:style w:type="table" w:customStyle="1" w:styleId="TableGrid202">
    <w:name w:val="Table Grid202"/>
    <w:basedOn w:val="TableNormal"/>
    <w:next w:val="TableGrid"/>
    <w:uiPriority w:val="5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2">
    <w:name w:val="Light Shading - Accent 110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82">
    <w:name w:val="Light List - Accent 582"/>
    <w:basedOn w:val="TableNormal"/>
    <w:next w:val="LightList-Accent5"/>
    <w:uiPriority w:val="61"/>
    <w:rsid w:val="008F7DB9"/>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112">
    <w:name w:val="Medium List 2 - Accent 112"/>
    <w:basedOn w:val="TableNormal"/>
    <w:next w:val="MediumList2-Accent1"/>
    <w:uiPriority w:val="66"/>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02">
    <w:name w:val="Medium Grid 2 - Accent 110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612">
    <w:name w:val="Medium Grid 3 - Accent 612"/>
    <w:basedOn w:val="TableNormal"/>
    <w:next w:val="MediumGrid3-Accent6"/>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2-Accent5102">
    <w:name w:val="Medium List 2 - Accent 510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2">
    <w:name w:val="Light List - Accent 123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512">
    <w:name w:val="Medium List 1 - Accent 512"/>
    <w:basedOn w:val="TableNormal"/>
    <w:next w:val="MediumList1-Accent5"/>
    <w:uiPriority w:val="65"/>
    <w:rsid w:val="008F7DB9"/>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3-Accent5102">
    <w:name w:val="Medium Grid 3 - Accent 510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02">
    <w:name w:val="Light Shading - Accent 510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02">
    <w:name w:val="Medium Grid 2 - Accent 510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312">
    <w:name w:val="Light List - Accent 312"/>
    <w:basedOn w:val="TableNormal"/>
    <w:next w:val="LightList-Accent3"/>
    <w:uiPriority w:val="61"/>
    <w:rsid w:val="008F7DB9"/>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2">
    <w:name w:val="Medium List 2 - Accent 312"/>
    <w:basedOn w:val="TableNormal"/>
    <w:next w:val="MediumList2-Accent3"/>
    <w:uiPriority w:val="66"/>
    <w:rsid w:val="008F7DB9"/>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2">
    <w:name w:val="Medium List 2 - Accent 412"/>
    <w:basedOn w:val="TableNormal"/>
    <w:next w:val="MediumList2-Accent4"/>
    <w:uiPriority w:val="66"/>
    <w:rsid w:val="008F7DB9"/>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Grid-Accent1102">
    <w:name w:val="Light Grid - Accent 110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72">
    <w:name w:val="No List472"/>
    <w:next w:val="NoList"/>
    <w:uiPriority w:val="99"/>
    <w:semiHidden/>
    <w:unhideWhenUsed/>
    <w:rsid w:val="008F7DB9"/>
  </w:style>
  <w:style w:type="table" w:customStyle="1" w:styleId="TableGrid242">
    <w:name w:val="Table Grid242"/>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2">
    <w:name w:val="No List1262"/>
    <w:next w:val="NoList"/>
    <w:uiPriority w:val="99"/>
    <w:semiHidden/>
    <w:unhideWhenUsed/>
    <w:rsid w:val="008F7DB9"/>
  </w:style>
  <w:style w:type="numbering" w:customStyle="1" w:styleId="NoList11182">
    <w:name w:val="No List11182"/>
    <w:next w:val="NoList"/>
    <w:semiHidden/>
    <w:rsid w:val="008F7DB9"/>
  </w:style>
  <w:style w:type="table" w:customStyle="1" w:styleId="TableGrid11020">
    <w:name w:val="Table Grid110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semiHidden/>
    <w:rsid w:val="008F7DB9"/>
  </w:style>
  <w:style w:type="numbering" w:customStyle="1" w:styleId="NoList1271">
    <w:name w:val="No List1271"/>
    <w:next w:val="NoList"/>
    <w:semiHidden/>
    <w:rsid w:val="008F7DB9"/>
  </w:style>
  <w:style w:type="numbering" w:customStyle="1" w:styleId="NoList2101">
    <w:name w:val="No List2101"/>
    <w:next w:val="NoList"/>
    <w:semiHidden/>
    <w:rsid w:val="008F7DB9"/>
  </w:style>
  <w:style w:type="numbering" w:customStyle="1" w:styleId="NoList491">
    <w:name w:val="No List491"/>
    <w:next w:val="NoList"/>
    <w:uiPriority w:val="99"/>
    <w:semiHidden/>
    <w:unhideWhenUsed/>
    <w:rsid w:val="008F7DB9"/>
  </w:style>
  <w:style w:type="table" w:customStyle="1" w:styleId="TableGrid251">
    <w:name w:val="Table Grid251"/>
    <w:basedOn w:val="TableNormal"/>
    <w:next w:val="TableGrid"/>
    <w:uiPriority w:val="39"/>
    <w:rsid w:val="008F7DB9"/>
    <w:rPr>
      <w:rFonts w:ascii="Calibri" w:eastAsia="Calibri" w:hAnsi="Calibri"/>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4">
    <w:name w:val="Grid Table 4 - Accent 114"/>
    <w:basedOn w:val="TableNormal"/>
    <w:uiPriority w:val="49"/>
    <w:rsid w:val="008F7DB9"/>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61">
    <w:name w:val="Table Grid261"/>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1">
    <w:name w:val="No List501"/>
    <w:next w:val="NoList"/>
    <w:uiPriority w:val="99"/>
    <w:semiHidden/>
    <w:unhideWhenUsed/>
    <w:rsid w:val="008F7DB9"/>
  </w:style>
  <w:style w:type="numbering" w:customStyle="1" w:styleId="NoList1281">
    <w:name w:val="No List1281"/>
    <w:next w:val="NoList"/>
    <w:uiPriority w:val="99"/>
    <w:semiHidden/>
    <w:unhideWhenUsed/>
    <w:rsid w:val="008F7DB9"/>
  </w:style>
  <w:style w:type="table" w:customStyle="1" w:styleId="TableGrid271">
    <w:name w:val="Table Grid271"/>
    <w:basedOn w:val="TableNormal"/>
    <w:next w:val="TableGrid"/>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semiHidden/>
    <w:unhideWhenUsed/>
    <w:rsid w:val="008F7DB9"/>
  </w:style>
  <w:style w:type="numbering" w:customStyle="1" w:styleId="NoList111101">
    <w:name w:val="No List111101"/>
    <w:next w:val="NoList"/>
    <w:semiHidden/>
    <w:rsid w:val="008F7DB9"/>
  </w:style>
  <w:style w:type="table" w:customStyle="1" w:styleId="TableGrid1123">
    <w:name w:val="Table Grid1123"/>
    <w:basedOn w:val="TableNormal"/>
    <w:next w:val="TableGrid"/>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1">
    <w:name w:val="No List111141"/>
    <w:next w:val="NoList"/>
    <w:semiHidden/>
    <w:rsid w:val="008F7DB9"/>
  </w:style>
  <w:style w:type="numbering" w:customStyle="1" w:styleId="NoList2141">
    <w:name w:val="No List2141"/>
    <w:next w:val="NoList"/>
    <w:semiHidden/>
    <w:rsid w:val="008F7DB9"/>
  </w:style>
  <w:style w:type="numbering" w:customStyle="1" w:styleId="NoList3101">
    <w:name w:val="No List3101"/>
    <w:next w:val="NoList"/>
    <w:semiHidden/>
    <w:unhideWhenUsed/>
    <w:rsid w:val="008F7DB9"/>
  </w:style>
  <w:style w:type="table" w:customStyle="1" w:styleId="TableList771">
    <w:name w:val="Table List 77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71">
    <w:name w:val="Table Web 37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71">
    <w:name w:val="Table Elegant7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71">
    <w:name w:val="Table Web 27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71">
    <w:name w:val="Table Web 17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71">
    <w:name w:val="Table Grid 87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71">
    <w:name w:val="Table Contemporary7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41">
    <w:name w:val="Light List - Accent 124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71">
    <w:name w:val="Table Grid 77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81">
    <w:name w:val="Colorful Grid - Accent 18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91">
    <w:name w:val="Light List - Accent 59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71">
    <w:name w:val="Table Simple 37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71">
    <w:name w:val="Table Grid 57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71">
    <w:name w:val="Table Grid 37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710">
    <w:name w:val="Table Grid 17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71">
    <w:name w:val="Table Columns 57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01">
    <w:name w:val="Light List - Accent 1110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81">
    <w:name w:val="Нет списка181"/>
    <w:next w:val="NoList"/>
    <w:semiHidden/>
    <w:unhideWhenUsed/>
    <w:rsid w:val="008F7DB9"/>
  </w:style>
  <w:style w:type="table" w:customStyle="1" w:styleId="ColorfulGrid-Accent1171">
    <w:name w:val="Colorful Grid - Accent 117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71">
    <w:name w:val="Light List - Accent 517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01">
    <w:name w:val="No List4101"/>
    <w:next w:val="NoList"/>
    <w:semiHidden/>
    <w:rsid w:val="008F7DB9"/>
  </w:style>
  <w:style w:type="table" w:customStyle="1" w:styleId="Table3Deffects371">
    <w:name w:val="Table 3D effects 37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
    <w:name w:val="Нет списка1171"/>
    <w:next w:val="NoList"/>
    <w:semiHidden/>
    <w:unhideWhenUsed/>
    <w:rsid w:val="008F7DB9"/>
  </w:style>
  <w:style w:type="numbering" w:customStyle="1" w:styleId="NoList541">
    <w:name w:val="No List541"/>
    <w:next w:val="NoList"/>
    <w:uiPriority w:val="99"/>
    <w:semiHidden/>
    <w:unhideWhenUsed/>
    <w:rsid w:val="008F7DB9"/>
  </w:style>
  <w:style w:type="numbering" w:customStyle="1" w:styleId="NoList1291">
    <w:name w:val="No List1291"/>
    <w:next w:val="NoList"/>
    <w:semiHidden/>
    <w:rsid w:val="008F7DB9"/>
  </w:style>
  <w:style w:type="numbering" w:customStyle="1" w:styleId="NoList11241">
    <w:name w:val="No List11241"/>
    <w:next w:val="NoList"/>
    <w:semiHidden/>
    <w:rsid w:val="008F7DB9"/>
  </w:style>
  <w:style w:type="numbering" w:customStyle="1" w:styleId="NoList1111121">
    <w:name w:val="No List1111121"/>
    <w:next w:val="NoList"/>
    <w:semiHidden/>
    <w:rsid w:val="008F7DB9"/>
  </w:style>
  <w:style w:type="numbering" w:customStyle="1" w:styleId="NoList2151">
    <w:name w:val="No List2151"/>
    <w:next w:val="NoList"/>
    <w:semiHidden/>
    <w:rsid w:val="008F7DB9"/>
  </w:style>
  <w:style w:type="table" w:customStyle="1" w:styleId="TableGrid281">
    <w:name w:val="Table Grid28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1">
    <w:name w:val="No List3141"/>
    <w:next w:val="NoList"/>
    <w:uiPriority w:val="99"/>
    <w:semiHidden/>
    <w:unhideWhenUsed/>
    <w:rsid w:val="008F7DB9"/>
  </w:style>
  <w:style w:type="numbering" w:customStyle="1" w:styleId="NoList623">
    <w:name w:val="No List623"/>
    <w:next w:val="NoList"/>
    <w:uiPriority w:val="99"/>
    <w:semiHidden/>
    <w:unhideWhenUsed/>
    <w:rsid w:val="008F7DB9"/>
  </w:style>
  <w:style w:type="numbering" w:customStyle="1" w:styleId="NoList723">
    <w:name w:val="No List723"/>
    <w:next w:val="NoList"/>
    <w:uiPriority w:val="99"/>
    <w:semiHidden/>
    <w:unhideWhenUsed/>
    <w:rsid w:val="008F7DB9"/>
  </w:style>
  <w:style w:type="table" w:customStyle="1" w:styleId="TableGrid3230">
    <w:name w:val="Table Grid323"/>
    <w:basedOn w:val="TableNormal"/>
    <w:next w:val="TableGrid"/>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3">
    <w:name w:val="No List1323"/>
    <w:next w:val="NoList"/>
    <w:semiHidden/>
    <w:unhideWhenUsed/>
    <w:rsid w:val="008F7DB9"/>
  </w:style>
  <w:style w:type="numbering" w:customStyle="1" w:styleId="NoList11321">
    <w:name w:val="No List11321"/>
    <w:next w:val="NoList"/>
    <w:semiHidden/>
    <w:rsid w:val="008F7DB9"/>
  </w:style>
  <w:style w:type="table" w:customStyle="1" w:styleId="TableGrid11310">
    <w:name w:val="Table Grid1131"/>
    <w:basedOn w:val="TableNormal"/>
    <w:next w:val="TableGrid"/>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1">
    <w:name w:val="No List111221"/>
    <w:next w:val="NoList"/>
    <w:semiHidden/>
    <w:rsid w:val="008F7DB9"/>
  </w:style>
  <w:style w:type="numbering" w:customStyle="1" w:styleId="NoList2222">
    <w:name w:val="No List2222"/>
    <w:next w:val="NoList"/>
    <w:semiHidden/>
    <w:rsid w:val="008F7DB9"/>
  </w:style>
  <w:style w:type="numbering" w:customStyle="1" w:styleId="NoList3222">
    <w:name w:val="No List3222"/>
    <w:next w:val="NoList"/>
    <w:semiHidden/>
    <w:unhideWhenUsed/>
    <w:rsid w:val="008F7DB9"/>
  </w:style>
  <w:style w:type="table" w:customStyle="1" w:styleId="TableList7123">
    <w:name w:val="Table List 7123"/>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3">
    <w:name w:val="Table Web 3123"/>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3">
    <w:name w:val="Table Elegant123"/>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23">
    <w:name w:val="Table Web 2123"/>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3">
    <w:name w:val="Table Web 1123"/>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3">
    <w:name w:val="Table Grid 8123"/>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3">
    <w:name w:val="Table Contemporary123"/>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51">
    <w:name w:val="Light List - Accent 125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3">
    <w:name w:val="Table Grid 7123"/>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23">
    <w:name w:val="Colorful Grid - Accent 1223"/>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3">
    <w:name w:val="Light List - Accent 5223"/>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3">
    <w:name w:val="Table Simple 3123"/>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3">
    <w:name w:val="Table Grid 5123"/>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3">
    <w:name w:val="Table Grid 3123"/>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30">
    <w:name w:val="Table Grid 1123"/>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3">
    <w:name w:val="Table Columns 5123"/>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21">
    <w:name w:val="Light List - Accent 1112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23">
    <w:name w:val="Нет списка1223"/>
    <w:next w:val="NoList"/>
    <w:uiPriority w:val="99"/>
    <w:semiHidden/>
    <w:unhideWhenUsed/>
    <w:rsid w:val="008F7DB9"/>
  </w:style>
  <w:style w:type="table" w:customStyle="1" w:styleId="ColorfulGrid-Accent11121">
    <w:name w:val="Colorful Grid - Accent 1112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21">
    <w:name w:val="Light List - Accent 5112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23">
    <w:name w:val="No List4123"/>
    <w:next w:val="NoList"/>
    <w:semiHidden/>
    <w:rsid w:val="008F7DB9"/>
  </w:style>
  <w:style w:type="table" w:customStyle="1" w:styleId="Table3Deffects3123">
    <w:name w:val="Table 3D effects 3123"/>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4">
    <w:name w:val="Нет списка11124"/>
    <w:next w:val="NoList"/>
    <w:semiHidden/>
    <w:unhideWhenUsed/>
    <w:rsid w:val="008F7DB9"/>
  </w:style>
  <w:style w:type="numbering" w:customStyle="1" w:styleId="NoList5122">
    <w:name w:val="No List5122"/>
    <w:next w:val="NoList"/>
    <w:uiPriority w:val="99"/>
    <w:semiHidden/>
    <w:unhideWhenUsed/>
    <w:rsid w:val="008F7DB9"/>
  </w:style>
  <w:style w:type="numbering" w:customStyle="1" w:styleId="NoList12122">
    <w:name w:val="No List12122"/>
    <w:next w:val="NoList"/>
    <w:semiHidden/>
    <w:rsid w:val="008F7DB9"/>
  </w:style>
  <w:style w:type="numbering" w:customStyle="1" w:styleId="NoList112121">
    <w:name w:val="No List112121"/>
    <w:next w:val="NoList"/>
    <w:semiHidden/>
    <w:rsid w:val="008F7DB9"/>
  </w:style>
  <w:style w:type="numbering" w:customStyle="1" w:styleId="NoList11111121">
    <w:name w:val="No List11111121"/>
    <w:next w:val="NoList"/>
    <w:semiHidden/>
    <w:rsid w:val="008F7DB9"/>
  </w:style>
  <w:style w:type="numbering" w:customStyle="1" w:styleId="NoList21122">
    <w:name w:val="No List21122"/>
    <w:next w:val="NoList"/>
    <w:semiHidden/>
    <w:rsid w:val="008F7DB9"/>
  </w:style>
  <w:style w:type="table" w:customStyle="1" w:styleId="TableGrid2121">
    <w:name w:val="Table Grid212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2">
    <w:name w:val="No List31122"/>
    <w:next w:val="NoList"/>
    <w:uiPriority w:val="99"/>
    <w:semiHidden/>
    <w:unhideWhenUsed/>
    <w:rsid w:val="008F7DB9"/>
  </w:style>
  <w:style w:type="numbering" w:customStyle="1" w:styleId="NoList823">
    <w:name w:val="No List823"/>
    <w:next w:val="NoList"/>
    <w:uiPriority w:val="99"/>
    <w:semiHidden/>
    <w:unhideWhenUsed/>
    <w:rsid w:val="008F7DB9"/>
  </w:style>
  <w:style w:type="numbering" w:customStyle="1" w:styleId="NoList922">
    <w:name w:val="No List922"/>
    <w:next w:val="NoList"/>
    <w:uiPriority w:val="99"/>
    <w:semiHidden/>
    <w:unhideWhenUsed/>
    <w:rsid w:val="008F7DB9"/>
  </w:style>
  <w:style w:type="table" w:customStyle="1" w:styleId="TableGrid423">
    <w:name w:val="Table Grid42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21">
    <w:name w:val="Table List 722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21">
    <w:name w:val="Table Web 322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21">
    <w:name w:val="Table Elegant22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21">
    <w:name w:val="Table Web 222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21">
    <w:name w:val="Table Web 122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21">
    <w:name w:val="Table Grid 822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21">
    <w:name w:val="Table Contemporary22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22">
    <w:name w:val="No List1422"/>
    <w:next w:val="NoList"/>
    <w:semiHidden/>
    <w:unhideWhenUsed/>
    <w:rsid w:val="008F7DB9"/>
  </w:style>
  <w:style w:type="numbering" w:customStyle="1" w:styleId="NoList2321">
    <w:name w:val="No List2321"/>
    <w:next w:val="NoList"/>
    <w:semiHidden/>
    <w:unhideWhenUsed/>
    <w:rsid w:val="008F7DB9"/>
  </w:style>
  <w:style w:type="numbering" w:customStyle="1" w:styleId="NoList3321">
    <w:name w:val="No List3321"/>
    <w:next w:val="NoList"/>
    <w:semiHidden/>
    <w:unhideWhenUsed/>
    <w:rsid w:val="008F7DB9"/>
  </w:style>
  <w:style w:type="table" w:customStyle="1" w:styleId="LightList-Accent1321">
    <w:name w:val="Light List - Accent 132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21">
    <w:name w:val="Table Grid 722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21">
    <w:name w:val="Colorful Grid - Accent 132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21">
    <w:name w:val="Light List - Accent 532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21">
    <w:name w:val="Table Simple 322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21">
    <w:name w:val="Table Grid 522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21">
    <w:name w:val="Table Grid 322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21">
    <w:name w:val="Table Grid 122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21">
    <w:name w:val="Table Columns 522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21">
    <w:name w:val="Light List - Accent 1122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22">
    <w:name w:val="Нет списка1322"/>
    <w:next w:val="NoList"/>
    <w:semiHidden/>
    <w:unhideWhenUsed/>
    <w:rsid w:val="008F7DB9"/>
  </w:style>
  <w:style w:type="table" w:customStyle="1" w:styleId="ColorfulGrid-Accent11221">
    <w:name w:val="Colorful Grid - Accent 1122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21">
    <w:name w:val="Light List - Accent 5122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22">
    <w:name w:val="No List4222"/>
    <w:next w:val="NoList"/>
    <w:semiHidden/>
    <w:rsid w:val="008F7DB9"/>
  </w:style>
  <w:style w:type="numbering" w:customStyle="1" w:styleId="NoList11421">
    <w:name w:val="No List11421"/>
    <w:next w:val="NoList"/>
    <w:semiHidden/>
    <w:unhideWhenUsed/>
    <w:rsid w:val="008F7DB9"/>
  </w:style>
  <w:style w:type="table" w:customStyle="1" w:styleId="Table3Deffects3221">
    <w:name w:val="Table 3D effects 322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2">
    <w:name w:val="Нет списка11222"/>
    <w:next w:val="NoList"/>
    <w:semiHidden/>
    <w:unhideWhenUsed/>
    <w:rsid w:val="008F7DB9"/>
  </w:style>
  <w:style w:type="numbering" w:customStyle="1" w:styleId="NoList1022">
    <w:name w:val="No List1022"/>
    <w:next w:val="NoList"/>
    <w:uiPriority w:val="99"/>
    <w:semiHidden/>
    <w:unhideWhenUsed/>
    <w:rsid w:val="008F7DB9"/>
  </w:style>
  <w:style w:type="table" w:customStyle="1" w:styleId="TableGrid5210">
    <w:name w:val="Table Grid521"/>
    <w:basedOn w:val="TableNormal"/>
    <w:next w:val="TableGrid"/>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semiHidden/>
    <w:unhideWhenUsed/>
    <w:rsid w:val="008F7DB9"/>
  </w:style>
  <w:style w:type="numbering" w:customStyle="1" w:styleId="NoList11521">
    <w:name w:val="No List11521"/>
    <w:next w:val="NoList"/>
    <w:semiHidden/>
    <w:rsid w:val="008F7DB9"/>
  </w:style>
  <w:style w:type="table" w:customStyle="1" w:styleId="TableGrid12210">
    <w:name w:val="Table Grid1221"/>
    <w:basedOn w:val="TableNormal"/>
    <w:next w:val="TableGrid"/>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1">
    <w:name w:val="No List111321"/>
    <w:next w:val="NoList"/>
    <w:semiHidden/>
    <w:rsid w:val="008F7DB9"/>
  </w:style>
  <w:style w:type="numbering" w:customStyle="1" w:styleId="NoList2421">
    <w:name w:val="No List2421"/>
    <w:next w:val="NoList"/>
    <w:semiHidden/>
    <w:rsid w:val="008F7DB9"/>
  </w:style>
  <w:style w:type="numbering" w:customStyle="1" w:styleId="NoList3421">
    <w:name w:val="No List3421"/>
    <w:next w:val="NoList"/>
    <w:semiHidden/>
    <w:unhideWhenUsed/>
    <w:rsid w:val="008F7DB9"/>
  </w:style>
  <w:style w:type="table" w:customStyle="1" w:styleId="TableList7321">
    <w:name w:val="Table List 732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21">
    <w:name w:val="Table Web 332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21">
    <w:name w:val="Table Elegant32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21">
    <w:name w:val="Table Web 232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21">
    <w:name w:val="Table Web 132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21">
    <w:name w:val="Table Grid 832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21">
    <w:name w:val="Table Contemporary32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21">
    <w:name w:val="Light List - Accent 142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21">
    <w:name w:val="Table Grid 732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21">
    <w:name w:val="Colorful Grid - Accent 142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21">
    <w:name w:val="Light List - Accent 542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21">
    <w:name w:val="Table Simple 332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21">
    <w:name w:val="Table Grid 532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21">
    <w:name w:val="Table Grid 332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21">
    <w:name w:val="Table Grid 132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21">
    <w:name w:val="Table Columns 532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21">
    <w:name w:val="Light List - Accent 1132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21">
    <w:name w:val="Нет списка1421"/>
    <w:next w:val="NoList"/>
    <w:semiHidden/>
    <w:unhideWhenUsed/>
    <w:rsid w:val="008F7DB9"/>
  </w:style>
  <w:style w:type="table" w:customStyle="1" w:styleId="ColorfulGrid-Accent11321">
    <w:name w:val="Colorful Grid - Accent 1132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21">
    <w:name w:val="Light List - Accent 5132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21">
    <w:name w:val="No List4321"/>
    <w:next w:val="NoList"/>
    <w:semiHidden/>
    <w:rsid w:val="008F7DB9"/>
  </w:style>
  <w:style w:type="table" w:customStyle="1" w:styleId="Table3Deffects3321">
    <w:name w:val="Table 3D effects 332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1">
    <w:name w:val="Нет списка11321"/>
    <w:next w:val="NoList"/>
    <w:semiHidden/>
    <w:unhideWhenUsed/>
    <w:rsid w:val="008F7DB9"/>
  </w:style>
  <w:style w:type="numbering" w:customStyle="1" w:styleId="NoList5221">
    <w:name w:val="No List5221"/>
    <w:next w:val="NoList"/>
    <w:uiPriority w:val="99"/>
    <w:semiHidden/>
    <w:unhideWhenUsed/>
    <w:rsid w:val="008F7DB9"/>
  </w:style>
  <w:style w:type="numbering" w:customStyle="1" w:styleId="NoList12221">
    <w:name w:val="No List12221"/>
    <w:next w:val="NoList"/>
    <w:semiHidden/>
    <w:rsid w:val="008F7DB9"/>
  </w:style>
  <w:style w:type="numbering" w:customStyle="1" w:styleId="NoList112221">
    <w:name w:val="No List112221"/>
    <w:next w:val="NoList"/>
    <w:semiHidden/>
    <w:rsid w:val="008F7DB9"/>
  </w:style>
  <w:style w:type="numbering" w:customStyle="1" w:styleId="NoList1111221">
    <w:name w:val="No List1111221"/>
    <w:next w:val="NoList"/>
    <w:semiHidden/>
    <w:rsid w:val="008F7DB9"/>
  </w:style>
  <w:style w:type="numbering" w:customStyle="1" w:styleId="NoList21221">
    <w:name w:val="No List21221"/>
    <w:next w:val="NoList"/>
    <w:semiHidden/>
    <w:rsid w:val="008F7DB9"/>
  </w:style>
  <w:style w:type="table" w:customStyle="1" w:styleId="TableGrid2221">
    <w:name w:val="Table Grid222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21">
    <w:name w:val="No List31221"/>
    <w:next w:val="NoList"/>
    <w:uiPriority w:val="99"/>
    <w:semiHidden/>
    <w:unhideWhenUsed/>
    <w:rsid w:val="008F7DB9"/>
  </w:style>
  <w:style w:type="table" w:customStyle="1" w:styleId="LightShading-Accent1131">
    <w:name w:val="Light Shading - Accent 113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31">
    <w:name w:val="Medium Grid 2 - Accent 113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31">
    <w:name w:val="Medium List 2 - Accent 513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31">
    <w:name w:val="Light List - Accent 153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31">
    <w:name w:val="Medium Grid 3 - Accent 513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31">
    <w:name w:val="Light Shading - Accent 513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31">
    <w:name w:val="Medium Grid 2 - Accent 513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31">
    <w:name w:val="Light Grid - Accent 113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41">
    <w:name w:val="Table List 441"/>
    <w:basedOn w:val="TableNormal"/>
    <w:next w:val="TableList4"/>
    <w:rsid w:val="008F7DB9"/>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31">
    <w:name w:val="Table List 4131"/>
    <w:basedOn w:val="TableNormal"/>
    <w:next w:val="TableList4"/>
    <w:rsid w:val="008F7DB9"/>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21">
    <w:name w:val="Table Theme21"/>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21">
    <w:name w:val="Table Professional21"/>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21">
    <w:name w:val="Table Grid 621"/>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21">
    <w:name w:val="Table List 4221"/>
    <w:basedOn w:val="TableNormal"/>
    <w:next w:val="TableList4"/>
    <w:rsid w:val="008F7DB9"/>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21">
    <w:name w:val="Table List 41121"/>
    <w:basedOn w:val="TableNormal"/>
    <w:next w:val="TableList4"/>
    <w:rsid w:val="008F7DB9"/>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61">
    <w:name w:val="Style116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71">
    <w:name w:val="Style217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61">
    <w:name w:val="Style2116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21">
    <w:name w:val="No List1621"/>
    <w:next w:val="NoList"/>
    <w:uiPriority w:val="99"/>
    <w:semiHidden/>
    <w:unhideWhenUsed/>
    <w:rsid w:val="008F7DB9"/>
  </w:style>
  <w:style w:type="table" w:customStyle="1" w:styleId="TableGrid6210">
    <w:name w:val="Table Grid62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1">
    <w:name w:val="No List1721"/>
    <w:next w:val="NoList"/>
    <w:uiPriority w:val="99"/>
    <w:semiHidden/>
    <w:unhideWhenUsed/>
    <w:rsid w:val="008F7DB9"/>
  </w:style>
  <w:style w:type="numbering" w:customStyle="1" w:styleId="NoList11621">
    <w:name w:val="No List11621"/>
    <w:next w:val="NoList"/>
    <w:semiHidden/>
    <w:rsid w:val="008F7DB9"/>
  </w:style>
  <w:style w:type="table" w:customStyle="1" w:styleId="TableGrid13210">
    <w:name w:val="Table Grid132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31">
    <w:name w:val="Light List - Accent 163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11">
    <w:name w:val="Light Shading - Accent 12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211">
    <w:name w:val="Medium Grid 2 - Accent 12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211">
    <w:name w:val="Medium List 2 - Accent 52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711">
    <w:name w:val="Light List - Accent 17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211">
    <w:name w:val="Medium Grid 3 - Accent 52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11">
    <w:name w:val="Light Shading - Accent 52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211">
    <w:name w:val="Medium Grid 2 - Accent 52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211">
    <w:name w:val="Light Grid - Accent 12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812">
    <w:name w:val="No List1812"/>
    <w:next w:val="NoList"/>
    <w:uiPriority w:val="99"/>
    <w:semiHidden/>
    <w:unhideWhenUsed/>
    <w:rsid w:val="008F7DB9"/>
  </w:style>
  <w:style w:type="table" w:customStyle="1" w:styleId="TableGrid7130">
    <w:name w:val="Table Grid71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11">
    <w:name w:val="Table List 74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11">
    <w:name w:val="Table Web 34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11">
    <w:name w:val="Table Elegant4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11">
    <w:name w:val="Table Web 24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11">
    <w:name w:val="Table Web 14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11">
    <w:name w:val="Table Grid 84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11">
    <w:name w:val="Table Contemporary4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11">
    <w:name w:val="No List1911"/>
    <w:next w:val="NoList"/>
    <w:semiHidden/>
    <w:unhideWhenUsed/>
    <w:rsid w:val="008F7DB9"/>
  </w:style>
  <w:style w:type="numbering" w:customStyle="1" w:styleId="NoList2511">
    <w:name w:val="No List2511"/>
    <w:next w:val="NoList"/>
    <w:semiHidden/>
    <w:unhideWhenUsed/>
    <w:rsid w:val="008F7DB9"/>
  </w:style>
  <w:style w:type="numbering" w:customStyle="1" w:styleId="NoList3511">
    <w:name w:val="No List3511"/>
    <w:next w:val="NoList"/>
    <w:semiHidden/>
    <w:unhideWhenUsed/>
    <w:rsid w:val="008F7DB9"/>
  </w:style>
  <w:style w:type="table" w:customStyle="1" w:styleId="LightList-Accent1811">
    <w:name w:val="Light List - Accent 18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11">
    <w:name w:val="Table Grid 74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11">
    <w:name w:val="Colorful Grid - Accent 15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11">
    <w:name w:val="Light List - Accent 55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11">
    <w:name w:val="Table Simple 34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11">
    <w:name w:val="Table Grid 54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11">
    <w:name w:val="Table Grid 34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110">
    <w:name w:val="Table Grid 14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11">
    <w:name w:val="Table Columns 54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11">
    <w:name w:val="Light List - Accent 114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12">
    <w:name w:val="Нет списка1512"/>
    <w:next w:val="NoList"/>
    <w:semiHidden/>
    <w:unhideWhenUsed/>
    <w:rsid w:val="008F7DB9"/>
  </w:style>
  <w:style w:type="table" w:customStyle="1" w:styleId="ColorfulGrid-Accent11411">
    <w:name w:val="Colorful Grid - Accent 114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11">
    <w:name w:val="Light List - Accent 514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12">
    <w:name w:val="No List4412"/>
    <w:next w:val="NoList"/>
    <w:semiHidden/>
    <w:rsid w:val="008F7DB9"/>
  </w:style>
  <w:style w:type="numbering" w:customStyle="1" w:styleId="NoList11711">
    <w:name w:val="No List11711"/>
    <w:next w:val="NoList"/>
    <w:semiHidden/>
    <w:unhideWhenUsed/>
    <w:rsid w:val="008F7DB9"/>
  </w:style>
  <w:style w:type="table" w:customStyle="1" w:styleId="Table3Deffects3411">
    <w:name w:val="Table 3D effects 34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2">
    <w:name w:val="Нет списка11412"/>
    <w:next w:val="NoList"/>
    <w:semiHidden/>
    <w:unhideWhenUsed/>
    <w:rsid w:val="008F7DB9"/>
  </w:style>
  <w:style w:type="table" w:customStyle="1" w:styleId="Style11111">
    <w:name w:val="Style111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11">
    <w:name w:val="Style212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11">
    <w:name w:val="Style2111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11">
    <w:name w:val="Style112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11">
    <w:name w:val="Style213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11">
    <w:name w:val="Style2112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11">
    <w:name w:val="No List2011"/>
    <w:next w:val="NoList"/>
    <w:uiPriority w:val="99"/>
    <w:semiHidden/>
    <w:unhideWhenUsed/>
    <w:rsid w:val="008F7DB9"/>
  </w:style>
  <w:style w:type="numbering" w:customStyle="1" w:styleId="NoList11011">
    <w:name w:val="No List11011"/>
    <w:next w:val="NoList"/>
    <w:uiPriority w:val="99"/>
    <w:semiHidden/>
    <w:unhideWhenUsed/>
    <w:rsid w:val="008F7DB9"/>
  </w:style>
  <w:style w:type="table" w:customStyle="1" w:styleId="TableGrid8130">
    <w:name w:val="Table Grid813"/>
    <w:basedOn w:val="TableNormal"/>
    <w:next w:val="TableGrid"/>
    <w:uiPriority w:val="39"/>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1">
    <w:name w:val="No List11811"/>
    <w:next w:val="NoList"/>
    <w:semiHidden/>
    <w:unhideWhenUsed/>
    <w:rsid w:val="008F7DB9"/>
  </w:style>
  <w:style w:type="numbering" w:customStyle="1" w:styleId="NoList111411">
    <w:name w:val="No List111411"/>
    <w:next w:val="NoList"/>
    <w:semiHidden/>
    <w:rsid w:val="008F7DB9"/>
  </w:style>
  <w:style w:type="table" w:customStyle="1" w:styleId="TableGrid1413">
    <w:name w:val="Table Grid1413"/>
    <w:basedOn w:val="TableNormal"/>
    <w:next w:val="TableGrid"/>
    <w:uiPriority w:val="39"/>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2">
    <w:name w:val="No List1111312"/>
    <w:next w:val="NoList"/>
    <w:semiHidden/>
    <w:rsid w:val="008F7DB9"/>
  </w:style>
  <w:style w:type="numbering" w:customStyle="1" w:styleId="NoList2611">
    <w:name w:val="No List2611"/>
    <w:next w:val="NoList"/>
    <w:semiHidden/>
    <w:rsid w:val="008F7DB9"/>
  </w:style>
  <w:style w:type="numbering" w:customStyle="1" w:styleId="NoList3611">
    <w:name w:val="No List3611"/>
    <w:next w:val="NoList"/>
    <w:semiHidden/>
    <w:unhideWhenUsed/>
    <w:rsid w:val="008F7DB9"/>
  </w:style>
  <w:style w:type="table" w:customStyle="1" w:styleId="TableList7511">
    <w:name w:val="Table List 75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11">
    <w:name w:val="Table Web 35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11">
    <w:name w:val="Table Elegant5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11">
    <w:name w:val="Table Web 25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11">
    <w:name w:val="Table Web 15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11">
    <w:name w:val="Table Grid 85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11">
    <w:name w:val="Table Contemporary5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11">
    <w:name w:val="Light List - Accent 19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11">
    <w:name w:val="Table Grid 75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11">
    <w:name w:val="Colorful Grid - Accent 16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11">
    <w:name w:val="Light List - Accent 56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11">
    <w:name w:val="Table Simple 35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11">
    <w:name w:val="Table Grid 55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11">
    <w:name w:val="Table Grid 35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11">
    <w:name w:val="Table Grid 15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11">
    <w:name w:val="Table Columns 55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11">
    <w:name w:val="Light List - Accent 115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11">
    <w:name w:val="Нет списка1611"/>
    <w:next w:val="NoList"/>
    <w:semiHidden/>
    <w:unhideWhenUsed/>
    <w:rsid w:val="008F7DB9"/>
  </w:style>
  <w:style w:type="table" w:customStyle="1" w:styleId="ColorfulGrid-Accent11511">
    <w:name w:val="Colorful Grid - Accent 115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11">
    <w:name w:val="Light List - Accent 515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11">
    <w:name w:val="No List4511"/>
    <w:next w:val="NoList"/>
    <w:semiHidden/>
    <w:rsid w:val="008F7DB9"/>
  </w:style>
  <w:style w:type="table" w:customStyle="1" w:styleId="Table3Deffects3511">
    <w:name w:val="Table 3D effects 35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1">
    <w:name w:val="Нет списка11511"/>
    <w:next w:val="NoList"/>
    <w:semiHidden/>
    <w:unhideWhenUsed/>
    <w:rsid w:val="008F7DB9"/>
  </w:style>
  <w:style w:type="numbering" w:customStyle="1" w:styleId="NoList5312">
    <w:name w:val="No List5312"/>
    <w:next w:val="NoList"/>
    <w:uiPriority w:val="99"/>
    <w:semiHidden/>
    <w:unhideWhenUsed/>
    <w:rsid w:val="008F7DB9"/>
  </w:style>
  <w:style w:type="numbering" w:customStyle="1" w:styleId="NoList12312">
    <w:name w:val="No List12312"/>
    <w:next w:val="NoList"/>
    <w:semiHidden/>
    <w:rsid w:val="008F7DB9"/>
  </w:style>
  <w:style w:type="numbering" w:customStyle="1" w:styleId="NoList112311">
    <w:name w:val="No List112311"/>
    <w:next w:val="NoList"/>
    <w:semiHidden/>
    <w:rsid w:val="008F7DB9"/>
  </w:style>
  <w:style w:type="numbering" w:customStyle="1" w:styleId="NoList1111111112">
    <w:name w:val="No List1111111112"/>
    <w:next w:val="NoList"/>
    <w:semiHidden/>
    <w:rsid w:val="008F7DB9"/>
  </w:style>
  <w:style w:type="numbering" w:customStyle="1" w:styleId="NoList21312">
    <w:name w:val="No List21312"/>
    <w:next w:val="NoList"/>
    <w:semiHidden/>
    <w:rsid w:val="008F7DB9"/>
  </w:style>
  <w:style w:type="table" w:customStyle="1" w:styleId="TableGrid2311">
    <w:name w:val="Table Grid231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12">
    <w:name w:val="No List31312"/>
    <w:next w:val="NoList"/>
    <w:uiPriority w:val="99"/>
    <w:semiHidden/>
    <w:unhideWhenUsed/>
    <w:rsid w:val="008F7DB9"/>
  </w:style>
  <w:style w:type="numbering" w:customStyle="1" w:styleId="NoList6113">
    <w:name w:val="No List6113"/>
    <w:next w:val="NoList"/>
    <w:uiPriority w:val="99"/>
    <w:semiHidden/>
    <w:unhideWhenUsed/>
    <w:rsid w:val="008F7DB9"/>
  </w:style>
  <w:style w:type="numbering" w:customStyle="1" w:styleId="NoList7113">
    <w:name w:val="No List7113"/>
    <w:next w:val="NoList"/>
    <w:uiPriority w:val="99"/>
    <w:semiHidden/>
    <w:unhideWhenUsed/>
    <w:rsid w:val="008F7DB9"/>
  </w:style>
  <w:style w:type="table" w:customStyle="1" w:styleId="TableGrid31130">
    <w:name w:val="Table Grid3113"/>
    <w:basedOn w:val="TableNormal"/>
    <w:next w:val="TableGrid"/>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3">
    <w:name w:val="No List13113"/>
    <w:next w:val="NoList"/>
    <w:semiHidden/>
    <w:unhideWhenUsed/>
    <w:rsid w:val="008F7DB9"/>
  </w:style>
  <w:style w:type="numbering" w:customStyle="1" w:styleId="NoList113112">
    <w:name w:val="No List113112"/>
    <w:next w:val="NoList"/>
    <w:semiHidden/>
    <w:rsid w:val="008F7DB9"/>
  </w:style>
  <w:style w:type="table" w:customStyle="1" w:styleId="TableGrid11113">
    <w:name w:val="Table Grid11113"/>
    <w:basedOn w:val="TableNormal"/>
    <w:next w:val="TableGrid"/>
    <w:uiPriority w:val="39"/>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2">
    <w:name w:val="No List1112112"/>
    <w:next w:val="NoList"/>
    <w:semiHidden/>
    <w:rsid w:val="008F7DB9"/>
  </w:style>
  <w:style w:type="numbering" w:customStyle="1" w:styleId="NoList22112">
    <w:name w:val="No List22112"/>
    <w:next w:val="NoList"/>
    <w:semiHidden/>
    <w:rsid w:val="008F7DB9"/>
  </w:style>
  <w:style w:type="numbering" w:customStyle="1" w:styleId="NoList32112">
    <w:name w:val="No List32112"/>
    <w:next w:val="NoList"/>
    <w:semiHidden/>
    <w:unhideWhenUsed/>
    <w:rsid w:val="008F7DB9"/>
  </w:style>
  <w:style w:type="table" w:customStyle="1" w:styleId="TableList71111">
    <w:name w:val="Table List 711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11">
    <w:name w:val="Table Web 311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11">
    <w:name w:val="Table Elegant11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13">
    <w:name w:val="Table Web 21113"/>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3">
    <w:name w:val="Table Web 11113"/>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3">
    <w:name w:val="Table Grid 81113"/>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3">
    <w:name w:val="Table Contemporary1113"/>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11">
    <w:name w:val="Light List - Accent 121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11">
    <w:name w:val="Table Grid 711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13">
    <w:name w:val="Colorful Grid - Accent 12113"/>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3">
    <w:name w:val="Light List - Accent 52113"/>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11">
    <w:name w:val="Table Simple 311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11">
    <w:name w:val="Table Grid 511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110">
    <w:name w:val="Table Grid 311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110">
    <w:name w:val="Table Grid 111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11">
    <w:name w:val="Table Columns 511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11">
    <w:name w:val="Light List - Accent 1111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13">
    <w:name w:val="Нет списка12113"/>
    <w:next w:val="NoList"/>
    <w:uiPriority w:val="99"/>
    <w:semiHidden/>
    <w:unhideWhenUsed/>
    <w:rsid w:val="008F7DB9"/>
  </w:style>
  <w:style w:type="table" w:customStyle="1" w:styleId="ColorfulGrid-Accent111111">
    <w:name w:val="Colorful Grid - Accent 1111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11">
    <w:name w:val="Light List - Accent 5111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13">
    <w:name w:val="No List41113"/>
    <w:next w:val="NoList"/>
    <w:semiHidden/>
    <w:rsid w:val="008F7DB9"/>
  </w:style>
  <w:style w:type="table" w:customStyle="1" w:styleId="Table3Deffects31111">
    <w:name w:val="Table 3D effects 311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4">
    <w:name w:val="Нет списка111114"/>
    <w:next w:val="NoList"/>
    <w:semiHidden/>
    <w:unhideWhenUsed/>
    <w:rsid w:val="008F7DB9"/>
  </w:style>
  <w:style w:type="numbering" w:customStyle="1" w:styleId="NoList51112">
    <w:name w:val="No List51112"/>
    <w:next w:val="NoList"/>
    <w:uiPriority w:val="99"/>
    <w:semiHidden/>
    <w:unhideWhenUsed/>
    <w:rsid w:val="008F7DB9"/>
  </w:style>
  <w:style w:type="numbering" w:customStyle="1" w:styleId="NoList121112">
    <w:name w:val="No List121112"/>
    <w:next w:val="NoList"/>
    <w:semiHidden/>
    <w:rsid w:val="008F7DB9"/>
  </w:style>
  <w:style w:type="numbering" w:customStyle="1" w:styleId="NoList1121112">
    <w:name w:val="No List1121112"/>
    <w:next w:val="NoList"/>
    <w:semiHidden/>
    <w:rsid w:val="008F7DB9"/>
  </w:style>
  <w:style w:type="numbering" w:customStyle="1" w:styleId="NoList11111111112">
    <w:name w:val="No List11111111112"/>
    <w:next w:val="NoList"/>
    <w:semiHidden/>
    <w:rsid w:val="008F7DB9"/>
  </w:style>
  <w:style w:type="numbering" w:customStyle="1" w:styleId="NoList211112">
    <w:name w:val="No List211112"/>
    <w:next w:val="NoList"/>
    <w:semiHidden/>
    <w:rsid w:val="008F7DB9"/>
  </w:style>
  <w:style w:type="table" w:customStyle="1" w:styleId="TableGrid21111">
    <w:name w:val="Table Grid2111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2">
    <w:name w:val="No List311112"/>
    <w:next w:val="NoList"/>
    <w:uiPriority w:val="99"/>
    <w:semiHidden/>
    <w:unhideWhenUsed/>
    <w:rsid w:val="008F7DB9"/>
  </w:style>
  <w:style w:type="numbering" w:customStyle="1" w:styleId="NoList8113">
    <w:name w:val="No List8113"/>
    <w:next w:val="NoList"/>
    <w:uiPriority w:val="99"/>
    <w:semiHidden/>
    <w:unhideWhenUsed/>
    <w:rsid w:val="008F7DB9"/>
  </w:style>
  <w:style w:type="numbering" w:customStyle="1" w:styleId="NoList9112">
    <w:name w:val="No List9112"/>
    <w:next w:val="NoList"/>
    <w:uiPriority w:val="99"/>
    <w:semiHidden/>
    <w:unhideWhenUsed/>
    <w:rsid w:val="008F7DB9"/>
  </w:style>
  <w:style w:type="table" w:customStyle="1" w:styleId="TableGrid4114">
    <w:name w:val="Table Grid4114"/>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11">
    <w:name w:val="Table List 721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11">
    <w:name w:val="Table Web 321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11">
    <w:name w:val="Table Elegant21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11">
    <w:name w:val="Table Web 221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11">
    <w:name w:val="Table Web 121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11">
    <w:name w:val="Table Grid 821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11">
    <w:name w:val="Table Contemporary21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12">
    <w:name w:val="No List14112"/>
    <w:next w:val="NoList"/>
    <w:semiHidden/>
    <w:unhideWhenUsed/>
    <w:rsid w:val="008F7DB9"/>
  </w:style>
  <w:style w:type="numbering" w:customStyle="1" w:styleId="NoList23112">
    <w:name w:val="No List23112"/>
    <w:next w:val="NoList"/>
    <w:semiHidden/>
    <w:unhideWhenUsed/>
    <w:rsid w:val="008F7DB9"/>
  </w:style>
  <w:style w:type="numbering" w:customStyle="1" w:styleId="NoList33112">
    <w:name w:val="No List33112"/>
    <w:next w:val="NoList"/>
    <w:semiHidden/>
    <w:unhideWhenUsed/>
    <w:rsid w:val="008F7DB9"/>
  </w:style>
  <w:style w:type="table" w:customStyle="1" w:styleId="LightList-Accent13111">
    <w:name w:val="Light List - Accent 131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11">
    <w:name w:val="Table Grid 721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11">
    <w:name w:val="Colorful Grid - Accent 131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11">
    <w:name w:val="Light List - Accent 531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11">
    <w:name w:val="Table Simple 321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11">
    <w:name w:val="Table Grid 521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11">
    <w:name w:val="Table Grid 321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11">
    <w:name w:val="Table Grid 121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11">
    <w:name w:val="Table Columns 521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11">
    <w:name w:val="Light List - Accent 1121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12">
    <w:name w:val="Нет списка13112"/>
    <w:next w:val="NoList"/>
    <w:semiHidden/>
    <w:unhideWhenUsed/>
    <w:rsid w:val="008F7DB9"/>
  </w:style>
  <w:style w:type="table" w:customStyle="1" w:styleId="ColorfulGrid-Accent112111">
    <w:name w:val="Colorful Grid - Accent 1121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11">
    <w:name w:val="Light List - Accent 5121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12">
    <w:name w:val="No List42112"/>
    <w:next w:val="NoList"/>
    <w:semiHidden/>
    <w:rsid w:val="008F7DB9"/>
  </w:style>
  <w:style w:type="numbering" w:customStyle="1" w:styleId="NoList114112">
    <w:name w:val="No List114112"/>
    <w:next w:val="NoList"/>
    <w:semiHidden/>
    <w:unhideWhenUsed/>
    <w:rsid w:val="008F7DB9"/>
  </w:style>
  <w:style w:type="table" w:customStyle="1" w:styleId="Table3Deffects32111">
    <w:name w:val="Table 3D effects 321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2">
    <w:name w:val="Нет списка112112"/>
    <w:next w:val="NoList"/>
    <w:semiHidden/>
    <w:unhideWhenUsed/>
    <w:rsid w:val="008F7DB9"/>
  </w:style>
  <w:style w:type="numbering" w:customStyle="1" w:styleId="NoList10112">
    <w:name w:val="No List10112"/>
    <w:next w:val="NoList"/>
    <w:uiPriority w:val="99"/>
    <w:semiHidden/>
    <w:unhideWhenUsed/>
    <w:rsid w:val="008F7DB9"/>
  </w:style>
  <w:style w:type="table" w:customStyle="1" w:styleId="TableGrid51110">
    <w:name w:val="Table Grid5111"/>
    <w:basedOn w:val="TableNormal"/>
    <w:next w:val="TableGrid"/>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2">
    <w:name w:val="No List15112"/>
    <w:next w:val="NoList"/>
    <w:semiHidden/>
    <w:unhideWhenUsed/>
    <w:rsid w:val="008F7DB9"/>
  </w:style>
  <w:style w:type="numbering" w:customStyle="1" w:styleId="NoList115111">
    <w:name w:val="No List115111"/>
    <w:next w:val="NoList"/>
    <w:semiHidden/>
    <w:rsid w:val="008F7DB9"/>
  </w:style>
  <w:style w:type="table" w:customStyle="1" w:styleId="TableGrid121110">
    <w:name w:val="Table Grid12111"/>
    <w:basedOn w:val="TableNormal"/>
    <w:next w:val="TableGrid"/>
    <w:rsid w:val="008F7DB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12">
    <w:name w:val="No List1113112"/>
    <w:next w:val="NoList"/>
    <w:semiHidden/>
    <w:rsid w:val="008F7DB9"/>
  </w:style>
  <w:style w:type="numbering" w:customStyle="1" w:styleId="NoList24112">
    <w:name w:val="No List24112"/>
    <w:next w:val="NoList"/>
    <w:semiHidden/>
    <w:rsid w:val="008F7DB9"/>
  </w:style>
  <w:style w:type="numbering" w:customStyle="1" w:styleId="NoList34112">
    <w:name w:val="No List34112"/>
    <w:next w:val="NoList"/>
    <w:semiHidden/>
    <w:unhideWhenUsed/>
    <w:rsid w:val="008F7DB9"/>
  </w:style>
  <w:style w:type="table" w:customStyle="1" w:styleId="TableList73111">
    <w:name w:val="Table List 731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11">
    <w:name w:val="Table Web 331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11">
    <w:name w:val="Table Elegant31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11">
    <w:name w:val="Table Web 231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11">
    <w:name w:val="Table Web 131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11">
    <w:name w:val="Table Grid 831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11">
    <w:name w:val="Table Contemporary31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11">
    <w:name w:val="Light List - Accent 141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11">
    <w:name w:val="Table Grid 731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11">
    <w:name w:val="Colorful Grid - Accent 141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11">
    <w:name w:val="Light List - Accent 541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11">
    <w:name w:val="Table Simple 331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11">
    <w:name w:val="Table Grid 531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11">
    <w:name w:val="Table Grid 331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11">
    <w:name w:val="Table Grid 131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11">
    <w:name w:val="Table Columns 531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11">
    <w:name w:val="Light List - Accent 1131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12">
    <w:name w:val="Нет списка14112"/>
    <w:next w:val="NoList"/>
    <w:semiHidden/>
    <w:unhideWhenUsed/>
    <w:rsid w:val="008F7DB9"/>
  </w:style>
  <w:style w:type="table" w:customStyle="1" w:styleId="ColorfulGrid-Accent113111">
    <w:name w:val="Colorful Grid - Accent 1131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11">
    <w:name w:val="Light List - Accent 5131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12">
    <w:name w:val="No List43112"/>
    <w:next w:val="NoList"/>
    <w:semiHidden/>
    <w:rsid w:val="008F7DB9"/>
  </w:style>
  <w:style w:type="table" w:customStyle="1" w:styleId="Table3Deffects33111">
    <w:name w:val="Table 3D effects 331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2">
    <w:name w:val="Нет списка113112"/>
    <w:next w:val="NoList"/>
    <w:semiHidden/>
    <w:unhideWhenUsed/>
    <w:rsid w:val="008F7DB9"/>
  </w:style>
  <w:style w:type="numbering" w:customStyle="1" w:styleId="NoList52112">
    <w:name w:val="No List52112"/>
    <w:next w:val="NoList"/>
    <w:uiPriority w:val="99"/>
    <w:semiHidden/>
    <w:unhideWhenUsed/>
    <w:rsid w:val="008F7DB9"/>
  </w:style>
  <w:style w:type="numbering" w:customStyle="1" w:styleId="NoList122112">
    <w:name w:val="No List122112"/>
    <w:next w:val="NoList"/>
    <w:semiHidden/>
    <w:rsid w:val="008F7DB9"/>
  </w:style>
  <w:style w:type="numbering" w:customStyle="1" w:styleId="NoList1122112">
    <w:name w:val="No List1122112"/>
    <w:next w:val="NoList"/>
    <w:semiHidden/>
    <w:rsid w:val="008F7DB9"/>
  </w:style>
  <w:style w:type="numbering" w:customStyle="1" w:styleId="NoList11112112">
    <w:name w:val="No List11112112"/>
    <w:next w:val="NoList"/>
    <w:semiHidden/>
    <w:rsid w:val="008F7DB9"/>
  </w:style>
  <w:style w:type="numbering" w:customStyle="1" w:styleId="NoList212112">
    <w:name w:val="No List212112"/>
    <w:next w:val="NoList"/>
    <w:semiHidden/>
    <w:rsid w:val="008F7DB9"/>
  </w:style>
  <w:style w:type="table" w:customStyle="1" w:styleId="TableGrid22111">
    <w:name w:val="Table Grid2211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12">
    <w:name w:val="No List312112"/>
    <w:next w:val="NoList"/>
    <w:uiPriority w:val="99"/>
    <w:semiHidden/>
    <w:unhideWhenUsed/>
    <w:rsid w:val="008F7DB9"/>
  </w:style>
  <w:style w:type="table" w:customStyle="1" w:styleId="LightShading-Accent11111">
    <w:name w:val="Light Shading - Accent 111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11">
    <w:name w:val="Medium Grid 2 - Accent 111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11">
    <w:name w:val="Medium List 2 - Accent 511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11">
    <w:name w:val="Light List - Accent 151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11">
    <w:name w:val="Medium Grid 3 - Accent 511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11">
    <w:name w:val="Light Shading - Accent 511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11">
    <w:name w:val="Medium Grid 2 - Accent 511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11">
    <w:name w:val="Light Grid - Accent 111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11">
    <w:name w:val="Table List 4311"/>
    <w:basedOn w:val="TableNormal"/>
    <w:next w:val="TableList4"/>
    <w:rsid w:val="008F7DB9"/>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11">
    <w:name w:val="Table List 41211"/>
    <w:basedOn w:val="TableNormal"/>
    <w:next w:val="TableList4"/>
    <w:rsid w:val="008F7DB9"/>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11">
    <w:name w:val="Table Theme111"/>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11">
    <w:name w:val="Table Professional111"/>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11">
    <w:name w:val="Table Grid 6111"/>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11">
    <w:name w:val="Table List 42111"/>
    <w:basedOn w:val="TableNormal"/>
    <w:next w:val="TableList4"/>
    <w:rsid w:val="008F7DB9"/>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11">
    <w:name w:val="Table List 411111"/>
    <w:basedOn w:val="TableNormal"/>
    <w:next w:val="TableList4"/>
    <w:rsid w:val="008F7DB9"/>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11">
    <w:name w:val="Style113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11">
    <w:name w:val="Style214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11">
    <w:name w:val="Style2113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12">
    <w:name w:val="No List16112"/>
    <w:next w:val="NoList"/>
    <w:uiPriority w:val="99"/>
    <w:semiHidden/>
    <w:unhideWhenUsed/>
    <w:rsid w:val="008F7DB9"/>
  </w:style>
  <w:style w:type="table" w:customStyle="1" w:styleId="TableGrid61110">
    <w:name w:val="Table Grid61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2">
    <w:name w:val="No List17112"/>
    <w:next w:val="NoList"/>
    <w:uiPriority w:val="99"/>
    <w:semiHidden/>
    <w:unhideWhenUsed/>
    <w:rsid w:val="008F7DB9"/>
  </w:style>
  <w:style w:type="numbering" w:customStyle="1" w:styleId="NoList116111">
    <w:name w:val="No List116111"/>
    <w:next w:val="NoList"/>
    <w:semiHidden/>
    <w:rsid w:val="008F7DB9"/>
  </w:style>
  <w:style w:type="table" w:customStyle="1" w:styleId="TableGrid131110">
    <w:name w:val="Table Grid131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11">
    <w:name w:val="Light List - Accent 161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1">
    <w:name w:val="Light Shading - Accent 1311"/>
    <w:basedOn w:val="TableNormal"/>
    <w:next w:val="LightShading-Accent1"/>
    <w:uiPriority w:val="60"/>
    <w:semiHidden/>
    <w:unhideWhenUsed/>
    <w:rsid w:val="008F7DB9"/>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11">
    <w:name w:val="Medium Grid 2 - Accent 1311"/>
    <w:basedOn w:val="TableNormal"/>
    <w:next w:val="MediumGrid2-Accent1"/>
    <w:uiPriority w:val="68"/>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11">
    <w:name w:val="Medium List 2 - Accent 5311"/>
    <w:basedOn w:val="TableNormal"/>
    <w:next w:val="MediumList2-Accent5"/>
    <w:uiPriority w:val="66"/>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11">
    <w:name w:val="Medium Grid 3 - Accent 5311"/>
    <w:basedOn w:val="TableNormal"/>
    <w:next w:val="MediumGrid3-Accent5"/>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11">
    <w:name w:val="Light Shading - Accent 5311"/>
    <w:basedOn w:val="TableNormal"/>
    <w:next w:val="LightShading-Accent5"/>
    <w:uiPriority w:val="60"/>
    <w:semiHidden/>
    <w:unhideWhenUsed/>
    <w:rsid w:val="008F7DB9"/>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11">
    <w:name w:val="Medium Grid 2 - Accent 5311"/>
    <w:basedOn w:val="TableNormal"/>
    <w:next w:val="MediumGrid2-Accent5"/>
    <w:uiPriority w:val="68"/>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11">
    <w:name w:val="Light Grid - Accent 1311"/>
    <w:basedOn w:val="TableNormal"/>
    <w:next w:val="LightGrid-Accent1"/>
    <w:uiPriority w:val="62"/>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11">
    <w:name w:val="Light Shading - Accent 14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411">
    <w:name w:val="Medium Grid 2 - Accent 14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411">
    <w:name w:val="Medium List 2 - Accent 54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011">
    <w:name w:val="Light List - Accent 110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411">
    <w:name w:val="Medium Grid 3 - Accent 54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411">
    <w:name w:val="Light Shading - Accent 54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411">
    <w:name w:val="Medium Grid 2 - Accent 54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11">
    <w:name w:val="Light Grid - Accent 14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511">
    <w:name w:val="Light Shading - Accent 15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511">
    <w:name w:val="Medium Grid 2 - Accent 15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511">
    <w:name w:val="Medium List 2 - Accent 55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611">
    <w:name w:val="Light List - Accent 116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511">
    <w:name w:val="Medium Grid 3 - Accent 55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511">
    <w:name w:val="Light Shading - Accent 55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511">
    <w:name w:val="Medium Grid 2 - Accent 55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511">
    <w:name w:val="Light Grid - Accent 15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711">
    <w:name w:val="No List2711"/>
    <w:next w:val="NoList"/>
    <w:uiPriority w:val="99"/>
    <w:semiHidden/>
    <w:unhideWhenUsed/>
    <w:rsid w:val="008F7DB9"/>
  </w:style>
  <w:style w:type="table" w:customStyle="1" w:styleId="TableGrid913">
    <w:name w:val="Table Grid91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11">
    <w:name w:val="Table List 76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11">
    <w:name w:val="Table Web 36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11">
    <w:name w:val="Table Elegant6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11">
    <w:name w:val="Table Web 26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11">
    <w:name w:val="Table Web 16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11">
    <w:name w:val="Table Grid 86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11">
    <w:name w:val="Table Contemporary6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11">
    <w:name w:val="No List11911"/>
    <w:next w:val="NoList"/>
    <w:semiHidden/>
    <w:unhideWhenUsed/>
    <w:rsid w:val="008F7DB9"/>
  </w:style>
  <w:style w:type="numbering" w:customStyle="1" w:styleId="NoList2811">
    <w:name w:val="No List2811"/>
    <w:next w:val="NoList"/>
    <w:semiHidden/>
    <w:unhideWhenUsed/>
    <w:rsid w:val="008F7DB9"/>
  </w:style>
  <w:style w:type="numbering" w:customStyle="1" w:styleId="NoList3711">
    <w:name w:val="No List3711"/>
    <w:next w:val="NoList"/>
    <w:semiHidden/>
    <w:unhideWhenUsed/>
    <w:rsid w:val="008F7DB9"/>
  </w:style>
  <w:style w:type="table" w:customStyle="1" w:styleId="LightList-Accent11711">
    <w:name w:val="Light List - Accent 117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11">
    <w:name w:val="Table Grid 76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11">
    <w:name w:val="Colorful Grid - Accent 17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11">
    <w:name w:val="Light List - Accent 57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11">
    <w:name w:val="Table Simple 36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11">
    <w:name w:val="Table Grid 56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11">
    <w:name w:val="Table Grid 36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11">
    <w:name w:val="Table Grid 16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11">
    <w:name w:val="Table Columns 56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11">
    <w:name w:val="Light List - Accent 118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11">
    <w:name w:val="Нет списка1711"/>
    <w:next w:val="NoList"/>
    <w:semiHidden/>
    <w:unhideWhenUsed/>
    <w:rsid w:val="008F7DB9"/>
  </w:style>
  <w:style w:type="table" w:customStyle="1" w:styleId="ColorfulGrid-Accent11611">
    <w:name w:val="Colorful Grid - Accent 116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11">
    <w:name w:val="Light List - Accent 516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11">
    <w:name w:val="No List4611"/>
    <w:next w:val="NoList"/>
    <w:semiHidden/>
    <w:rsid w:val="008F7DB9"/>
  </w:style>
  <w:style w:type="numbering" w:customStyle="1" w:styleId="NoList111011">
    <w:name w:val="No List111011"/>
    <w:next w:val="NoList"/>
    <w:semiHidden/>
    <w:unhideWhenUsed/>
    <w:rsid w:val="008F7DB9"/>
  </w:style>
  <w:style w:type="table" w:customStyle="1" w:styleId="Table3Deffects3611">
    <w:name w:val="Table 3D effects 36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1">
    <w:name w:val="Нет списка11611"/>
    <w:next w:val="NoList"/>
    <w:semiHidden/>
    <w:unhideWhenUsed/>
    <w:rsid w:val="008F7DB9"/>
  </w:style>
  <w:style w:type="table" w:customStyle="1" w:styleId="LightShading-Accent1611">
    <w:name w:val="Light Shading - Accent 16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11">
    <w:name w:val="Medium Grid 2 - Accent 16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11">
    <w:name w:val="Medium List 2 - Accent 56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11">
    <w:name w:val="Light List - Accent 152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11">
    <w:name w:val="Medium Grid 3 - Accent 56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11">
    <w:name w:val="Light Shading - Accent 56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11">
    <w:name w:val="Medium Grid 2 - Accent 56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11">
    <w:name w:val="Light Grid - Accent 16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Unicode" w:eastAsia="Times New Roman" w:hAnsi="Time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Unicode" w:eastAsia="Times New Roman" w:hAnsi="Time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Unicode" w:eastAsia="Times New Roman" w:hAnsi="Times Unicode" w:cs="Times New Roman"/>
        <w:b/>
        <w:bCs/>
      </w:rPr>
    </w:tblStylePr>
    <w:tblStylePr w:type="lastCol">
      <w:rPr>
        <w:rFonts w:ascii="Times Unicode" w:eastAsia="Times New Roman" w:hAnsi="Time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11">
    <w:name w:val="Style114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11">
    <w:name w:val="Style215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11">
    <w:name w:val="Style2114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11">
    <w:name w:val="Light Shading - Accent 112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11">
    <w:name w:val="Medium Grid 2 - Accent 112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11">
    <w:name w:val="Medium List 2 - Accent 512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11">
    <w:name w:val="Light List - Accent 162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11">
    <w:name w:val="Medium Grid 3 - Accent 512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11">
    <w:name w:val="Light Shading - Accent 512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11">
    <w:name w:val="Medium Grid 2 - Accent 512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11">
    <w:name w:val="Light Grid - Accent 112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Unicode" w:eastAsia="Times New Roman" w:hAnsi="Time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Unicode" w:eastAsia="Times New Roman" w:hAnsi="Time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Unicode" w:eastAsia="Times New Roman" w:hAnsi="Times Unicode" w:cs="Times New Roman"/>
        <w:b/>
        <w:bCs/>
      </w:rPr>
    </w:tblStylePr>
    <w:tblStylePr w:type="lastCol">
      <w:rPr>
        <w:rFonts w:ascii="Times Unicode" w:eastAsia="Times New Roman" w:hAnsi="Time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11">
    <w:name w:val="No List2911"/>
    <w:next w:val="NoList"/>
    <w:uiPriority w:val="99"/>
    <w:semiHidden/>
    <w:unhideWhenUsed/>
    <w:rsid w:val="008F7DB9"/>
  </w:style>
  <w:style w:type="table" w:customStyle="1" w:styleId="TableGrid1013">
    <w:name w:val="Table Grid101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1">
    <w:name w:val="No List12011"/>
    <w:next w:val="NoList"/>
    <w:uiPriority w:val="99"/>
    <w:semiHidden/>
    <w:unhideWhenUsed/>
    <w:rsid w:val="008F7DB9"/>
  </w:style>
  <w:style w:type="numbering" w:customStyle="1" w:styleId="NoList111511">
    <w:name w:val="No List111511"/>
    <w:next w:val="NoList"/>
    <w:semiHidden/>
    <w:rsid w:val="008F7DB9"/>
  </w:style>
  <w:style w:type="table" w:customStyle="1" w:styleId="TableGrid15110">
    <w:name w:val="Table Grid15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1">
    <w:name w:val="No List3011"/>
    <w:next w:val="NoList"/>
    <w:uiPriority w:val="99"/>
    <w:semiHidden/>
    <w:unhideWhenUsed/>
    <w:rsid w:val="008F7DB9"/>
  </w:style>
  <w:style w:type="table" w:customStyle="1" w:styleId="LightShading-Accent1711">
    <w:name w:val="Light Shading - Accent 17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711">
    <w:name w:val="Medium Grid 2 - Accent 17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711">
    <w:name w:val="Medium List 2 - Accent 57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911">
    <w:name w:val="Light List - Accent 119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711">
    <w:name w:val="Medium Grid 3 - Accent 57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711">
    <w:name w:val="Light Shading - Accent 57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711">
    <w:name w:val="Medium Grid 2 - Accent 57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711">
    <w:name w:val="Light Grid - Accent 17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811">
    <w:name w:val="No List3811"/>
    <w:next w:val="NoList"/>
    <w:uiPriority w:val="99"/>
    <w:semiHidden/>
    <w:unhideWhenUsed/>
    <w:rsid w:val="008F7DB9"/>
  </w:style>
  <w:style w:type="table" w:customStyle="1" w:styleId="TableGrid16110">
    <w:name w:val="Table Grid16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1">
    <w:name w:val="No List12411"/>
    <w:next w:val="NoList"/>
    <w:uiPriority w:val="99"/>
    <w:semiHidden/>
    <w:unhideWhenUsed/>
    <w:rsid w:val="008F7DB9"/>
  </w:style>
  <w:style w:type="numbering" w:customStyle="1" w:styleId="NoList111611">
    <w:name w:val="No List111611"/>
    <w:next w:val="NoList"/>
    <w:semiHidden/>
    <w:rsid w:val="008F7DB9"/>
  </w:style>
  <w:style w:type="table" w:customStyle="1" w:styleId="TableGrid1711">
    <w:name w:val="Table Grid17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11">
    <w:name w:val="Light Shading - Accent 18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811">
    <w:name w:val="Medium Grid 2 - Accent 18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811">
    <w:name w:val="Medium List 2 - Accent 58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011">
    <w:name w:val="Light List - Accent 120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811">
    <w:name w:val="Medium Grid 3 - Accent 58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811">
    <w:name w:val="Light Shading - Accent 58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811">
    <w:name w:val="Medium Grid 2 - Accent 58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811">
    <w:name w:val="Light Grid - Accent 18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911">
    <w:name w:val="Light Shading - Accent 19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911">
    <w:name w:val="Medium Grid 2 - Accent 19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911">
    <w:name w:val="Medium List 2 - Accent 59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212">
    <w:name w:val="Light List - Accent 1221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911">
    <w:name w:val="Medium Grid 3 - Accent 59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911">
    <w:name w:val="Light Shading - Accent 59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911">
    <w:name w:val="Medium Grid 2 - Accent 59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911">
    <w:name w:val="Light Grid - Accent 19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521">
    <w:name w:val="Style1152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11">
    <w:name w:val="Style2115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11">
    <w:name w:val="No List3911"/>
    <w:next w:val="NoList"/>
    <w:uiPriority w:val="99"/>
    <w:semiHidden/>
    <w:unhideWhenUsed/>
    <w:rsid w:val="008F7DB9"/>
  </w:style>
  <w:style w:type="table" w:customStyle="1" w:styleId="TableGrid1811">
    <w:name w:val="Table Grid18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1">
    <w:name w:val="No List12511"/>
    <w:next w:val="NoList"/>
    <w:uiPriority w:val="99"/>
    <w:semiHidden/>
    <w:unhideWhenUsed/>
    <w:rsid w:val="008F7DB9"/>
  </w:style>
  <w:style w:type="numbering" w:customStyle="1" w:styleId="NoList111711">
    <w:name w:val="No List111711"/>
    <w:next w:val="NoList"/>
    <w:semiHidden/>
    <w:rsid w:val="008F7DB9"/>
  </w:style>
  <w:style w:type="table" w:customStyle="1" w:styleId="TableGrid1911">
    <w:name w:val="Table Grid19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11">
    <w:name w:val="Style1151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11">
    <w:name w:val="Style216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11">
    <w:name w:val="No List4011"/>
    <w:next w:val="NoList"/>
    <w:uiPriority w:val="99"/>
    <w:semiHidden/>
    <w:unhideWhenUsed/>
    <w:rsid w:val="008F7DB9"/>
  </w:style>
  <w:style w:type="table" w:customStyle="1" w:styleId="TableGrid2011">
    <w:name w:val="Table Grid2011"/>
    <w:basedOn w:val="TableNormal"/>
    <w:next w:val="TableGrid"/>
    <w:uiPriority w:val="5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11">
    <w:name w:val="Light Shading - Accent 110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811">
    <w:name w:val="Light List - Accent 5811"/>
    <w:basedOn w:val="TableNormal"/>
    <w:next w:val="LightList-Accent5"/>
    <w:uiPriority w:val="61"/>
    <w:rsid w:val="008F7DB9"/>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1111">
    <w:name w:val="Medium List 2 - Accent 1111"/>
    <w:basedOn w:val="TableNormal"/>
    <w:next w:val="MediumList2-Accent1"/>
    <w:uiPriority w:val="66"/>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011">
    <w:name w:val="Medium Grid 2 - Accent 110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6111">
    <w:name w:val="Medium Grid 3 - Accent 6111"/>
    <w:basedOn w:val="TableNormal"/>
    <w:next w:val="MediumGrid3-Accent6"/>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2-Accent51011">
    <w:name w:val="Medium List 2 - Accent 510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11">
    <w:name w:val="Light List - Accent 123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5111">
    <w:name w:val="Medium List 1 - Accent 5111"/>
    <w:basedOn w:val="TableNormal"/>
    <w:next w:val="MediumList1-Accent5"/>
    <w:uiPriority w:val="65"/>
    <w:rsid w:val="008F7DB9"/>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3-Accent51011">
    <w:name w:val="Medium Grid 3 - Accent 510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011">
    <w:name w:val="Light Shading - Accent 510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011">
    <w:name w:val="Medium Grid 2 - Accent 510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3111">
    <w:name w:val="Light List - Accent 3111"/>
    <w:basedOn w:val="TableNormal"/>
    <w:next w:val="LightList-Accent3"/>
    <w:uiPriority w:val="61"/>
    <w:rsid w:val="008F7DB9"/>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11">
    <w:name w:val="Medium List 2 - Accent 3111"/>
    <w:basedOn w:val="TableNormal"/>
    <w:next w:val="MediumList2-Accent3"/>
    <w:uiPriority w:val="66"/>
    <w:rsid w:val="008F7DB9"/>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1">
    <w:name w:val="Medium List 2 - Accent 4111"/>
    <w:basedOn w:val="TableNormal"/>
    <w:next w:val="MediumList2-Accent4"/>
    <w:uiPriority w:val="66"/>
    <w:rsid w:val="008F7DB9"/>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Grid-Accent11011">
    <w:name w:val="Light Grid - Accent 110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711">
    <w:name w:val="No List4711"/>
    <w:next w:val="NoList"/>
    <w:uiPriority w:val="99"/>
    <w:semiHidden/>
    <w:unhideWhenUsed/>
    <w:rsid w:val="008F7DB9"/>
  </w:style>
  <w:style w:type="table" w:customStyle="1" w:styleId="TableGrid2411">
    <w:name w:val="Table Grid24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1">
    <w:name w:val="No List12611"/>
    <w:next w:val="NoList"/>
    <w:uiPriority w:val="99"/>
    <w:semiHidden/>
    <w:unhideWhenUsed/>
    <w:rsid w:val="008F7DB9"/>
  </w:style>
  <w:style w:type="numbering" w:customStyle="1" w:styleId="NoList111811">
    <w:name w:val="No List111811"/>
    <w:next w:val="NoList"/>
    <w:semiHidden/>
    <w:rsid w:val="008F7DB9"/>
  </w:style>
  <w:style w:type="table" w:customStyle="1" w:styleId="TableGrid11011">
    <w:name w:val="Table Grid110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1">
    <w:name w:val="Light Shading - Accent 1141"/>
    <w:basedOn w:val="TableNormal"/>
    <w:next w:val="LightShading-Accent1"/>
    <w:uiPriority w:val="60"/>
    <w:semiHidden/>
    <w:unhideWhenUsed/>
    <w:rsid w:val="008F7DB9"/>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141">
    <w:name w:val="Medium Grid 2 - Accent 1141"/>
    <w:basedOn w:val="TableNormal"/>
    <w:next w:val="MediumGrid2-Accent1"/>
    <w:uiPriority w:val="68"/>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141">
    <w:name w:val="Medium List 2 - Accent 5141"/>
    <w:basedOn w:val="TableNormal"/>
    <w:next w:val="MediumList2-Accent5"/>
    <w:uiPriority w:val="66"/>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141">
    <w:name w:val="Medium Grid 3 - Accent 5141"/>
    <w:basedOn w:val="TableNormal"/>
    <w:next w:val="MediumGrid3-Accent5"/>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141">
    <w:name w:val="Light Shading - Accent 5141"/>
    <w:basedOn w:val="TableNormal"/>
    <w:next w:val="LightShading-Accent5"/>
    <w:uiPriority w:val="60"/>
    <w:semiHidden/>
    <w:unhideWhenUsed/>
    <w:rsid w:val="008F7DB9"/>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141">
    <w:name w:val="Medium Grid 2 - Accent 5141"/>
    <w:basedOn w:val="TableNormal"/>
    <w:next w:val="MediumGrid2-Accent5"/>
    <w:uiPriority w:val="68"/>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141">
    <w:name w:val="Light Grid - Accent 1141"/>
    <w:basedOn w:val="TableNormal"/>
    <w:next w:val="LightGrid-Accent1"/>
    <w:uiPriority w:val="62"/>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2-Accent121">
    <w:name w:val="Medium List 2 - Accent 121"/>
    <w:basedOn w:val="TableNormal"/>
    <w:next w:val="MediumList2-Accent1"/>
    <w:uiPriority w:val="66"/>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Grid3-Accent621">
    <w:name w:val="Medium Grid 3 - Accent 621"/>
    <w:basedOn w:val="TableNormal"/>
    <w:next w:val="MediumGrid3-Accent6"/>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Accent521">
    <w:name w:val="Medium List 1 - Accent 521"/>
    <w:basedOn w:val="TableNormal"/>
    <w:next w:val="MediumList1-Accent5"/>
    <w:uiPriority w:val="65"/>
    <w:semiHidden/>
    <w:unhideWhenUsed/>
    <w:rsid w:val="008F7DB9"/>
    <w:rPr>
      <w:rFonts w:ascii="Calibri" w:eastAsia="Calibri" w:hAnsi="Calibri"/>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Accent321">
    <w:name w:val="Light List - Accent 321"/>
    <w:basedOn w:val="TableNormal"/>
    <w:next w:val="LightList-Accent3"/>
    <w:uiPriority w:val="61"/>
    <w:semiHidden/>
    <w:unhideWhenUsed/>
    <w:rsid w:val="008F7DB9"/>
    <w:rPr>
      <w:rFonts w:ascii="Calibri" w:eastAsia="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List2-Accent321">
    <w:name w:val="Medium List 2 - Accent 321"/>
    <w:basedOn w:val="TableNormal"/>
    <w:next w:val="MediumList2-Accent3"/>
    <w:uiPriority w:val="66"/>
    <w:semiHidden/>
    <w:unhideWhenUsed/>
    <w:rsid w:val="008F7DB9"/>
    <w:rPr>
      <w:rFonts w:ascii="Calibri Light"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21">
    <w:name w:val="Medium List 2 - Accent 421"/>
    <w:basedOn w:val="TableNormal"/>
    <w:next w:val="MediumList2-Accent4"/>
    <w:uiPriority w:val="66"/>
    <w:semiHidden/>
    <w:unhideWhenUsed/>
    <w:rsid w:val="008F7DB9"/>
    <w:rPr>
      <w:rFonts w:ascii="Calibri Light" w:hAnsi="Calibri Light"/>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numbering" w:customStyle="1" w:styleId="NoList551">
    <w:name w:val="No List551"/>
    <w:next w:val="NoList"/>
    <w:uiPriority w:val="99"/>
    <w:semiHidden/>
    <w:unhideWhenUsed/>
    <w:rsid w:val="008F7DB9"/>
  </w:style>
  <w:style w:type="table" w:customStyle="1" w:styleId="TableGrid291">
    <w:name w:val="Table Grid291"/>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1">
    <w:name w:val="Medium Grid 3 - Accent 111"/>
    <w:basedOn w:val="TableNormal"/>
    <w:next w:val="MediumGrid3-Accent1"/>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numbering" w:customStyle="1" w:styleId="NoList1301">
    <w:name w:val="No List1301"/>
    <w:next w:val="NoList"/>
    <w:uiPriority w:val="99"/>
    <w:semiHidden/>
    <w:unhideWhenUsed/>
    <w:rsid w:val="008F7DB9"/>
  </w:style>
  <w:style w:type="table" w:customStyle="1" w:styleId="TableGrid1141">
    <w:name w:val="Table Grid1141"/>
    <w:basedOn w:val="TableNormal"/>
    <w:next w:val="TableGrid"/>
    <w:uiPriority w:val="39"/>
    <w:rsid w:val="008F7DB9"/>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32">
    <w:name w:val="Table List 7132"/>
    <w:basedOn w:val="TableNormal"/>
    <w:next w:val="TableList7"/>
    <w:rsid w:val="008F7DB9"/>
    <w:pPr>
      <w:spacing w:after="200"/>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2">
    <w:name w:val="Table Web 3132"/>
    <w:basedOn w:val="TableNormal"/>
    <w:next w:val="TableWeb3"/>
    <w:rsid w:val="008F7DB9"/>
    <w:pPr>
      <w:spacing w:after="200"/>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2">
    <w:name w:val="Table Elegant132"/>
    <w:basedOn w:val="TableNormal"/>
    <w:next w:val="TableElegant"/>
    <w:rsid w:val="008F7DB9"/>
    <w:pPr>
      <w:spacing w:after="200"/>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32">
    <w:name w:val="Table Web 2132"/>
    <w:basedOn w:val="TableNormal"/>
    <w:next w:val="TableWeb2"/>
    <w:rsid w:val="008F7DB9"/>
    <w:pPr>
      <w:spacing w:after="200"/>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2">
    <w:name w:val="Table Web 1132"/>
    <w:basedOn w:val="TableNormal"/>
    <w:next w:val="TableWeb1"/>
    <w:rsid w:val="008F7DB9"/>
    <w:pPr>
      <w:spacing w:after="200"/>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32">
    <w:name w:val="Table Grid 8132"/>
    <w:basedOn w:val="TableNormal"/>
    <w:next w:val="TableGrid8"/>
    <w:rsid w:val="008F7DB9"/>
    <w:pPr>
      <w:spacing w:after="200"/>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2">
    <w:name w:val="Table Contemporary132"/>
    <w:basedOn w:val="TableNormal"/>
    <w:next w:val="TableContemporary"/>
    <w:rsid w:val="008F7DB9"/>
    <w:pPr>
      <w:spacing w:after="200"/>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201">
    <w:name w:val="No List11201"/>
    <w:next w:val="NoList"/>
    <w:semiHidden/>
    <w:unhideWhenUsed/>
    <w:rsid w:val="008F7DB9"/>
  </w:style>
  <w:style w:type="numbering" w:customStyle="1" w:styleId="NoList2161">
    <w:name w:val="No List2161"/>
    <w:next w:val="NoList"/>
    <w:semiHidden/>
    <w:unhideWhenUsed/>
    <w:rsid w:val="008F7DB9"/>
  </w:style>
  <w:style w:type="numbering" w:customStyle="1" w:styleId="NoList3151">
    <w:name w:val="No List3151"/>
    <w:next w:val="NoList"/>
    <w:semiHidden/>
    <w:unhideWhenUsed/>
    <w:rsid w:val="008F7DB9"/>
  </w:style>
  <w:style w:type="table" w:customStyle="1" w:styleId="LightList-Accent11131">
    <w:name w:val="Light List - Accent 11131"/>
    <w:basedOn w:val="TableNormal"/>
    <w:next w:val="LightList-Accent1"/>
    <w:uiPriority w:val="61"/>
    <w:rsid w:val="008F7DB9"/>
    <w:pPr>
      <w:spacing w:after="200"/>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32">
    <w:name w:val="Table Grid 7132"/>
    <w:basedOn w:val="TableNormal"/>
    <w:next w:val="TableGrid7"/>
    <w:rsid w:val="008F7DB9"/>
    <w:pPr>
      <w:spacing w:after="200"/>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81">
    <w:name w:val="Colorful Grid - Accent 1181"/>
    <w:basedOn w:val="TableNormal"/>
    <w:next w:val="ColorfulGrid-Accent1"/>
    <w:rsid w:val="008F7DB9"/>
    <w:pPr>
      <w:spacing w:after="200"/>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81">
    <w:name w:val="Light List - Accent 5181"/>
    <w:basedOn w:val="TableNormal"/>
    <w:next w:val="LightList-Accent5"/>
    <w:rsid w:val="008F7DB9"/>
    <w:pPr>
      <w:spacing w:after="200"/>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32">
    <w:name w:val="Table Simple 3132"/>
    <w:basedOn w:val="TableNormal"/>
    <w:next w:val="TableSimple3"/>
    <w:rsid w:val="008F7DB9"/>
    <w:pPr>
      <w:spacing w:after="200"/>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2">
    <w:name w:val="Table Grid 5132"/>
    <w:basedOn w:val="TableNormal"/>
    <w:next w:val="TableGrid5"/>
    <w:rsid w:val="008F7DB9"/>
    <w:pPr>
      <w:spacing w:after="200"/>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2">
    <w:name w:val="Table Grid 3132"/>
    <w:basedOn w:val="TableNormal"/>
    <w:next w:val="TableGrid3"/>
    <w:rsid w:val="008F7DB9"/>
    <w:pPr>
      <w:spacing w:after="200"/>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2">
    <w:name w:val="Table Grid 1132"/>
    <w:basedOn w:val="TableNormal"/>
    <w:next w:val="TableGrid10"/>
    <w:rsid w:val="008F7DB9"/>
    <w:pPr>
      <w:spacing w:after="200"/>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2">
    <w:name w:val="Table Columns 5132"/>
    <w:basedOn w:val="TableNormal"/>
    <w:next w:val="TableColumns5"/>
    <w:rsid w:val="008F7DB9"/>
    <w:pPr>
      <w:spacing w:after="200"/>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91">
    <w:name w:val="Нет списка191"/>
    <w:next w:val="NoList"/>
    <w:semiHidden/>
    <w:unhideWhenUsed/>
    <w:rsid w:val="008F7DB9"/>
  </w:style>
  <w:style w:type="numbering" w:customStyle="1" w:styleId="NoList4132">
    <w:name w:val="No List4132"/>
    <w:next w:val="NoList"/>
    <w:semiHidden/>
    <w:rsid w:val="008F7DB9"/>
  </w:style>
  <w:style w:type="numbering" w:customStyle="1" w:styleId="NoList111151">
    <w:name w:val="No List111151"/>
    <w:next w:val="NoList"/>
    <w:semiHidden/>
    <w:unhideWhenUsed/>
    <w:rsid w:val="008F7DB9"/>
  </w:style>
  <w:style w:type="table" w:customStyle="1" w:styleId="Table3Deffects3132">
    <w:name w:val="Table 3D effects 3132"/>
    <w:basedOn w:val="TableNormal"/>
    <w:next w:val="Table3Deffects3"/>
    <w:rsid w:val="008F7DB9"/>
    <w:pPr>
      <w:spacing w:after="200"/>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81">
    <w:name w:val="Нет списка1181"/>
    <w:next w:val="NoList"/>
    <w:semiHidden/>
    <w:unhideWhenUsed/>
    <w:rsid w:val="008F7DB9"/>
  </w:style>
  <w:style w:type="table" w:customStyle="1" w:styleId="TableGrid1151">
    <w:name w:val="Table Grid1151"/>
    <w:basedOn w:val="TableNormal"/>
    <w:next w:val="TableGrid"/>
    <w:rsid w:val="008F7DB9"/>
    <w:pPr>
      <w:spacing w:after="200"/>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1">
    <w:name w:val="No List561"/>
    <w:next w:val="NoList"/>
    <w:uiPriority w:val="99"/>
    <w:semiHidden/>
    <w:rsid w:val="008F7DB9"/>
  </w:style>
  <w:style w:type="numbering" w:customStyle="1" w:styleId="NoList632">
    <w:name w:val="No List632"/>
    <w:next w:val="NoList"/>
    <w:uiPriority w:val="99"/>
    <w:semiHidden/>
    <w:unhideWhenUsed/>
    <w:rsid w:val="008F7DB9"/>
  </w:style>
  <w:style w:type="table" w:customStyle="1" w:styleId="TableGrid2101">
    <w:name w:val="Table Grid2101"/>
    <w:basedOn w:val="TableNormal"/>
    <w:next w:val="TableGrid"/>
    <w:rsid w:val="008F7DB9"/>
    <w:pPr>
      <w:spacing w:after="200"/>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32">
    <w:name w:val="No List732"/>
    <w:next w:val="NoList"/>
    <w:uiPriority w:val="99"/>
    <w:semiHidden/>
    <w:unhideWhenUsed/>
    <w:rsid w:val="008F7DB9"/>
  </w:style>
  <w:style w:type="numbering" w:customStyle="1" w:styleId="NoList12101">
    <w:name w:val="No List12101"/>
    <w:next w:val="NoList"/>
    <w:uiPriority w:val="99"/>
    <w:semiHidden/>
    <w:unhideWhenUsed/>
    <w:rsid w:val="008F7DB9"/>
  </w:style>
  <w:style w:type="table" w:customStyle="1" w:styleId="TableGrid3320">
    <w:name w:val="Table Grid332"/>
    <w:basedOn w:val="TableNormal"/>
    <w:next w:val="TableGrid"/>
    <w:rsid w:val="008F7DB9"/>
    <w:pPr>
      <w:spacing w:after="20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2">
    <w:name w:val="Colorful Grid - Accent 1232"/>
    <w:basedOn w:val="TableNormal"/>
    <w:next w:val="ColorfulGrid-Accent1"/>
    <w:uiPriority w:val="73"/>
    <w:rsid w:val="008F7DB9"/>
    <w:pPr>
      <w:spacing w:after="200"/>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2">
    <w:name w:val="Light List - Accent 5232"/>
    <w:basedOn w:val="TableNormal"/>
    <w:next w:val="LightList-Accent5"/>
    <w:uiPriority w:val="61"/>
    <w:rsid w:val="008F7DB9"/>
    <w:pPr>
      <w:spacing w:after="200"/>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32">
    <w:name w:val="No List832"/>
    <w:next w:val="NoList"/>
    <w:uiPriority w:val="99"/>
    <w:semiHidden/>
    <w:unhideWhenUsed/>
    <w:rsid w:val="008F7DB9"/>
  </w:style>
  <w:style w:type="numbering" w:customStyle="1" w:styleId="1232">
    <w:name w:val="Нет списка1232"/>
    <w:next w:val="NoList"/>
    <w:semiHidden/>
    <w:unhideWhenUsed/>
    <w:rsid w:val="008F7DB9"/>
  </w:style>
  <w:style w:type="numbering" w:customStyle="1" w:styleId="NoList1332">
    <w:name w:val="No List1332"/>
    <w:next w:val="NoList"/>
    <w:semiHidden/>
    <w:unhideWhenUsed/>
    <w:rsid w:val="008F7DB9"/>
  </w:style>
  <w:style w:type="numbering" w:customStyle="1" w:styleId="NoList2171">
    <w:name w:val="No List2171"/>
    <w:next w:val="NoList"/>
    <w:semiHidden/>
    <w:unhideWhenUsed/>
    <w:rsid w:val="008F7DB9"/>
  </w:style>
  <w:style w:type="numbering" w:customStyle="1" w:styleId="NoList3161">
    <w:name w:val="No List3161"/>
    <w:next w:val="NoList"/>
    <w:semiHidden/>
    <w:unhideWhenUsed/>
    <w:rsid w:val="008F7DB9"/>
  </w:style>
  <w:style w:type="numbering" w:customStyle="1" w:styleId="11133">
    <w:name w:val="Нет списка11133"/>
    <w:next w:val="NoList"/>
    <w:semiHidden/>
    <w:unhideWhenUsed/>
    <w:rsid w:val="008F7DB9"/>
  </w:style>
  <w:style w:type="numbering" w:customStyle="1" w:styleId="NoList4141">
    <w:name w:val="No List4141"/>
    <w:next w:val="NoList"/>
    <w:semiHidden/>
    <w:rsid w:val="008F7DB9"/>
  </w:style>
  <w:style w:type="numbering" w:customStyle="1" w:styleId="NoList111161">
    <w:name w:val="No List111161"/>
    <w:next w:val="NoList"/>
    <w:semiHidden/>
    <w:unhideWhenUsed/>
    <w:rsid w:val="008F7DB9"/>
  </w:style>
  <w:style w:type="numbering" w:customStyle="1" w:styleId="111123">
    <w:name w:val="Нет списка111123"/>
    <w:next w:val="NoList"/>
    <w:semiHidden/>
    <w:unhideWhenUsed/>
    <w:rsid w:val="008F7DB9"/>
  </w:style>
  <w:style w:type="numbering" w:customStyle="1" w:styleId="NoList931">
    <w:name w:val="No List931"/>
    <w:next w:val="NoList"/>
    <w:uiPriority w:val="99"/>
    <w:semiHidden/>
    <w:unhideWhenUsed/>
    <w:rsid w:val="008F7DB9"/>
  </w:style>
  <w:style w:type="table" w:customStyle="1" w:styleId="TableGrid432">
    <w:name w:val="Table Grid432"/>
    <w:basedOn w:val="TableNormal"/>
    <w:next w:val="TableGrid"/>
    <w:rsid w:val="008F7DB9"/>
    <w:pPr>
      <w:spacing w:after="200"/>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5">
    <w:name w:val="Grid Table 1 Light - Accent 515"/>
    <w:basedOn w:val="TableNormal"/>
    <w:uiPriority w:val="46"/>
    <w:rsid w:val="008F7DB9"/>
    <w:pPr>
      <w:spacing w:after="200"/>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4">
    <w:name w:val="Plain Table 314"/>
    <w:basedOn w:val="TableNormal"/>
    <w:uiPriority w:val="43"/>
    <w:rsid w:val="008F7DB9"/>
    <w:pPr>
      <w:spacing w:after="200"/>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2">
    <w:name w:val="Grid Table 4 - Accent 1112"/>
    <w:basedOn w:val="TableNormal"/>
    <w:uiPriority w:val="49"/>
    <w:rsid w:val="008F7DB9"/>
    <w:pPr>
      <w:spacing w:after="200"/>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31">
    <w:name w:val="No List1031"/>
    <w:next w:val="NoList"/>
    <w:uiPriority w:val="99"/>
    <w:semiHidden/>
    <w:unhideWhenUsed/>
    <w:rsid w:val="008F7DB9"/>
  </w:style>
  <w:style w:type="table" w:customStyle="1" w:styleId="TableGrid5310">
    <w:name w:val="Table Grid531"/>
    <w:basedOn w:val="TableNormal"/>
    <w:next w:val="TableGrid"/>
    <w:uiPriority w:val="39"/>
    <w:rsid w:val="008F7DB9"/>
    <w:pPr>
      <w:spacing w:after="20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21">
    <w:name w:val="Table List 71121"/>
    <w:basedOn w:val="TableNormal"/>
    <w:next w:val="TableList7"/>
    <w:rsid w:val="008F7DB9"/>
    <w:pPr>
      <w:spacing w:after="200"/>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21">
    <w:name w:val="Table Web 31121"/>
    <w:basedOn w:val="TableNormal"/>
    <w:next w:val="TableWeb3"/>
    <w:rsid w:val="008F7DB9"/>
    <w:pPr>
      <w:spacing w:after="200"/>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21">
    <w:name w:val="Table Elegant1121"/>
    <w:basedOn w:val="TableNormal"/>
    <w:next w:val="TableElegant"/>
    <w:rsid w:val="008F7DB9"/>
    <w:pPr>
      <w:spacing w:after="200"/>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31">
    <w:name w:val="Table Web 2231"/>
    <w:basedOn w:val="TableNormal"/>
    <w:next w:val="TableWeb2"/>
    <w:rsid w:val="008F7DB9"/>
    <w:pPr>
      <w:spacing w:after="200"/>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31">
    <w:name w:val="Table Web 1231"/>
    <w:basedOn w:val="TableNormal"/>
    <w:next w:val="TableWeb1"/>
    <w:rsid w:val="008F7DB9"/>
    <w:pPr>
      <w:spacing w:after="200"/>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31">
    <w:name w:val="Table Grid 8231"/>
    <w:basedOn w:val="TableNormal"/>
    <w:next w:val="TableGrid8"/>
    <w:rsid w:val="008F7DB9"/>
    <w:pPr>
      <w:spacing w:after="200"/>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31">
    <w:name w:val="Table Contemporary231"/>
    <w:basedOn w:val="TableNormal"/>
    <w:next w:val="TableContemporary"/>
    <w:rsid w:val="008F7DB9"/>
    <w:pPr>
      <w:spacing w:after="200"/>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31">
    <w:name w:val="No List1431"/>
    <w:next w:val="NoList"/>
    <w:semiHidden/>
    <w:unhideWhenUsed/>
    <w:rsid w:val="008F7DB9"/>
  </w:style>
  <w:style w:type="numbering" w:customStyle="1" w:styleId="NoList2231">
    <w:name w:val="No List2231"/>
    <w:next w:val="NoList"/>
    <w:semiHidden/>
    <w:unhideWhenUsed/>
    <w:rsid w:val="008F7DB9"/>
  </w:style>
  <w:style w:type="numbering" w:customStyle="1" w:styleId="NoList3231">
    <w:name w:val="No List3231"/>
    <w:next w:val="NoList"/>
    <w:semiHidden/>
    <w:unhideWhenUsed/>
    <w:rsid w:val="008F7DB9"/>
  </w:style>
  <w:style w:type="table" w:customStyle="1" w:styleId="LightList-Accent1261">
    <w:name w:val="Light List - Accent 1261"/>
    <w:basedOn w:val="TableNormal"/>
    <w:uiPriority w:val="61"/>
    <w:rsid w:val="008F7DB9"/>
    <w:pPr>
      <w:spacing w:after="200"/>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21">
    <w:name w:val="Table Grid 71121"/>
    <w:basedOn w:val="TableNormal"/>
    <w:next w:val="TableGrid7"/>
    <w:rsid w:val="008F7DB9"/>
    <w:pPr>
      <w:spacing w:after="200"/>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31">
    <w:name w:val="Colorful Grid - Accent 1331"/>
    <w:basedOn w:val="TableNormal"/>
    <w:next w:val="ColorfulGrid-Accent1"/>
    <w:uiPriority w:val="73"/>
    <w:rsid w:val="008F7DB9"/>
    <w:pPr>
      <w:spacing w:after="200"/>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31">
    <w:name w:val="Light List - Accent 5331"/>
    <w:basedOn w:val="TableNormal"/>
    <w:next w:val="LightList-Accent5"/>
    <w:uiPriority w:val="61"/>
    <w:rsid w:val="008F7DB9"/>
    <w:pPr>
      <w:spacing w:after="200"/>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21">
    <w:name w:val="Table Simple 31121"/>
    <w:basedOn w:val="TableNormal"/>
    <w:next w:val="TableSimple3"/>
    <w:rsid w:val="008F7DB9"/>
    <w:pPr>
      <w:spacing w:after="200"/>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21">
    <w:name w:val="Table Grid 51121"/>
    <w:basedOn w:val="TableNormal"/>
    <w:next w:val="TableGrid5"/>
    <w:rsid w:val="008F7DB9"/>
    <w:pPr>
      <w:spacing w:after="200"/>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21">
    <w:name w:val="Table Grid 31121"/>
    <w:basedOn w:val="TableNormal"/>
    <w:next w:val="TableGrid3"/>
    <w:rsid w:val="008F7DB9"/>
    <w:pPr>
      <w:spacing w:after="200"/>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210">
    <w:name w:val="Table Grid 11121"/>
    <w:basedOn w:val="TableNormal"/>
    <w:next w:val="TableGrid10"/>
    <w:rsid w:val="008F7DB9"/>
    <w:pPr>
      <w:spacing w:after="200"/>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21">
    <w:name w:val="Table Columns 51121"/>
    <w:basedOn w:val="TableNormal"/>
    <w:next w:val="TableColumns5"/>
    <w:rsid w:val="008F7DB9"/>
    <w:pPr>
      <w:spacing w:after="200"/>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41">
    <w:name w:val="Light List - Accent 11141"/>
    <w:basedOn w:val="TableNormal"/>
    <w:uiPriority w:val="61"/>
    <w:rsid w:val="008F7DB9"/>
    <w:pPr>
      <w:spacing w:after="200"/>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31">
    <w:name w:val="Нет списка1331"/>
    <w:next w:val="NoList"/>
    <w:semiHidden/>
    <w:unhideWhenUsed/>
    <w:rsid w:val="008F7DB9"/>
  </w:style>
  <w:style w:type="table" w:customStyle="1" w:styleId="ColorfulGrid-Accent11131">
    <w:name w:val="Colorful Grid - Accent 11131"/>
    <w:basedOn w:val="TableNormal"/>
    <w:rsid w:val="008F7DB9"/>
    <w:pPr>
      <w:spacing w:after="200"/>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31">
    <w:name w:val="Light List - Accent 51131"/>
    <w:basedOn w:val="TableNormal"/>
    <w:rsid w:val="008F7DB9"/>
    <w:pPr>
      <w:spacing w:after="200"/>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31">
    <w:name w:val="No List4231"/>
    <w:next w:val="NoList"/>
    <w:semiHidden/>
    <w:rsid w:val="008F7DB9"/>
  </w:style>
  <w:style w:type="numbering" w:customStyle="1" w:styleId="NoList11251">
    <w:name w:val="No List11251"/>
    <w:next w:val="NoList"/>
    <w:semiHidden/>
    <w:unhideWhenUsed/>
    <w:rsid w:val="008F7DB9"/>
  </w:style>
  <w:style w:type="table" w:customStyle="1" w:styleId="Table3Deffects31121">
    <w:name w:val="Table 3D effects 31121"/>
    <w:basedOn w:val="TableNormal"/>
    <w:next w:val="Table3Deffects3"/>
    <w:rsid w:val="008F7DB9"/>
    <w:pPr>
      <w:spacing w:after="200"/>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31">
    <w:name w:val="Нет списка11231"/>
    <w:next w:val="NoList"/>
    <w:semiHidden/>
    <w:unhideWhenUsed/>
    <w:rsid w:val="008F7DB9"/>
  </w:style>
  <w:style w:type="table" w:customStyle="1" w:styleId="TableGrid11123">
    <w:name w:val="Table Grid11123"/>
    <w:basedOn w:val="TableNormal"/>
    <w:next w:val="TableGrid"/>
    <w:uiPriority w:val="39"/>
    <w:rsid w:val="008F7DB9"/>
    <w:pPr>
      <w:spacing w:after="200"/>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1">
    <w:name w:val="No List5131"/>
    <w:next w:val="NoList"/>
    <w:uiPriority w:val="99"/>
    <w:semiHidden/>
    <w:rsid w:val="008F7DB9"/>
  </w:style>
  <w:style w:type="numbering" w:customStyle="1" w:styleId="NoList6122">
    <w:name w:val="No List6122"/>
    <w:next w:val="NoList"/>
    <w:uiPriority w:val="99"/>
    <w:semiHidden/>
    <w:unhideWhenUsed/>
    <w:rsid w:val="008F7DB9"/>
  </w:style>
  <w:style w:type="table" w:customStyle="1" w:styleId="TableGrid2131">
    <w:name w:val="Table Grid2131"/>
    <w:basedOn w:val="TableNormal"/>
    <w:next w:val="TableGrid"/>
    <w:rsid w:val="008F7DB9"/>
    <w:pPr>
      <w:spacing w:after="200"/>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22">
    <w:name w:val="No List7122"/>
    <w:next w:val="NoList"/>
    <w:uiPriority w:val="99"/>
    <w:semiHidden/>
    <w:unhideWhenUsed/>
    <w:rsid w:val="008F7DB9"/>
  </w:style>
  <w:style w:type="numbering" w:customStyle="1" w:styleId="NoList12131">
    <w:name w:val="No List12131"/>
    <w:next w:val="NoList"/>
    <w:uiPriority w:val="99"/>
    <w:semiHidden/>
    <w:unhideWhenUsed/>
    <w:rsid w:val="008F7DB9"/>
  </w:style>
  <w:style w:type="table" w:customStyle="1" w:styleId="TableGrid31220">
    <w:name w:val="Table Grid3122"/>
    <w:basedOn w:val="TableNormal"/>
    <w:next w:val="TableGrid"/>
    <w:rsid w:val="008F7DB9"/>
    <w:pPr>
      <w:spacing w:after="20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2">
    <w:name w:val="Table Web 21122"/>
    <w:basedOn w:val="TableNormal"/>
    <w:next w:val="TableWeb2"/>
    <w:rsid w:val="008F7DB9"/>
    <w:pPr>
      <w:spacing w:after="200"/>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2">
    <w:name w:val="Table Web 11122"/>
    <w:basedOn w:val="TableNormal"/>
    <w:next w:val="TableWeb1"/>
    <w:rsid w:val="008F7DB9"/>
    <w:pPr>
      <w:spacing w:after="200"/>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2">
    <w:name w:val="Table Grid 81122"/>
    <w:basedOn w:val="TableNormal"/>
    <w:next w:val="TableGrid8"/>
    <w:rsid w:val="008F7DB9"/>
    <w:pPr>
      <w:spacing w:after="200"/>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2">
    <w:name w:val="Table Contemporary1122"/>
    <w:basedOn w:val="TableNormal"/>
    <w:next w:val="TableContemporary"/>
    <w:rsid w:val="008F7DB9"/>
    <w:pPr>
      <w:spacing w:after="200"/>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2">
    <w:name w:val="Colorful Grid - Accent 12122"/>
    <w:basedOn w:val="TableNormal"/>
    <w:next w:val="ColorfulGrid-Accent1"/>
    <w:uiPriority w:val="73"/>
    <w:rsid w:val="008F7DB9"/>
    <w:pPr>
      <w:spacing w:after="200"/>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2">
    <w:name w:val="Light List - Accent 52122"/>
    <w:basedOn w:val="TableNormal"/>
    <w:next w:val="LightList-Accent5"/>
    <w:uiPriority w:val="61"/>
    <w:rsid w:val="008F7DB9"/>
    <w:pPr>
      <w:spacing w:after="200"/>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2">
    <w:name w:val="No List8122"/>
    <w:next w:val="NoList"/>
    <w:uiPriority w:val="99"/>
    <w:semiHidden/>
    <w:unhideWhenUsed/>
    <w:rsid w:val="008F7DB9"/>
  </w:style>
  <w:style w:type="numbering" w:customStyle="1" w:styleId="12122">
    <w:name w:val="Нет списка12122"/>
    <w:next w:val="NoList"/>
    <w:semiHidden/>
    <w:unhideWhenUsed/>
    <w:rsid w:val="008F7DB9"/>
  </w:style>
  <w:style w:type="numbering" w:customStyle="1" w:styleId="NoList13122">
    <w:name w:val="No List13122"/>
    <w:next w:val="NoList"/>
    <w:semiHidden/>
    <w:unhideWhenUsed/>
    <w:rsid w:val="008F7DB9"/>
  </w:style>
  <w:style w:type="numbering" w:customStyle="1" w:styleId="NoList21131">
    <w:name w:val="No List21131"/>
    <w:next w:val="NoList"/>
    <w:semiHidden/>
    <w:unhideWhenUsed/>
    <w:rsid w:val="008F7DB9"/>
  </w:style>
  <w:style w:type="numbering" w:customStyle="1" w:styleId="NoList31131">
    <w:name w:val="No List31131"/>
    <w:next w:val="NoList"/>
    <w:semiHidden/>
    <w:unhideWhenUsed/>
    <w:rsid w:val="008F7DB9"/>
  </w:style>
  <w:style w:type="numbering" w:customStyle="1" w:styleId="111213">
    <w:name w:val="Нет списка111213"/>
    <w:next w:val="NoList"/>
    <w:semiHidden/>
    <w:unhideWhenUsed/>
    <w:rsid w:val="008F7DB9"/>
  </w:style>
  <w:style w:type="numbering" w:customStyle="1" w:styleId="NoList41122">
    <w:name w:val="No List41122"/>
    <w:next w:val="NoList"/>
    <w:semiHidden/>
    <w:rsid w:val="008F7DB9"/>
  </w:style>
  <w:style w:type="numbering" w:customStyle="1" w:styleId="NoList1111131">
    <w:name w:val="No List1111131"/>
    <w:next w:val="NoList"/>
    <w:semiHidden/>
    <w:unhideWhenUsed/>
    <w:rsid w:val="008F7DB9"/>
  </w:style>
  <w:style w:type="numbering" w:customStyle="1" w:styleId="1111113">
    <w:name w:val="Нет списка1111113"/>
    <w:next w:val="NoList"/>
    <w:semiHidden/>
    <w:unhideWhenUsed/>
    <w:rsid w:val="008F7DB9"/>
  </w:style>
  <w:style w:type="table" w:customStyle="1" w:styleId="TableGrid631">
    <w:name w:val="Table Grid631"/>
    <w:basedOn w:val="TableNormal"/>
    <w:next w:val="TableGrid"/>
    <w:uiPriority w:val="39"/>
    <w:rsid w:val="008F7DB9"/>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4">
    <w:name w:val="Grid Table 1 Light - Accent 5114"/>
    <w:basedOn w:val="TableNormal"/>
    <w:uiPriority w:val="46"/>
    <w:rsid w:val="008F7DB9"/>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31">
    <w:name w:val="Table Grid2231"/>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0">
    <w:name w:val="Table Grid722"/>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 Grid82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92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4">
    <w:name w:val="Grid Table 1 Light - Accent 114"/>
    <w:basedOn w:val="TableNormal"/>
    <w:uiPriority w:val="46"/>
    <w:rsid w:val="008F7DB9"/>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List781">
    <w:name w:val="Table List 781"/>
    <w:basedOn w:val="TableNormal"/>
    <w:next w:val="TableList7"/>
    <w:uiPriority w:val="99"/>
    <w:semiHidden/>
    <w:unhideWhenUsed/>
    <w:rsid w:val="008F7DB9"/>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81">
    <w:name w:val="Table Web 381"/>
    <w:basedOn w:val="TableNormal"/>
    <w:next w:val="TableWeb3"/>
    <w:uiPriority w:val="99"/>
    <w:semiHidden/>
    <w:unhideWhenUsed/>
    <w:rsid w:val="008F7DB9"/>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81">
    <w:name w:val="Table Elegant81"/>
    <w:basedOn w:val="TableNormal"/>
    <w:next w:val="TableElegant"/>
    <w:uiPriority w:val="99"/>
    <w:semiHidden/>
    <w:unhideWhenUsed/>
    <w:rsid w:val="008F7DB9"/>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81">
    <w:name w:val="Table Web 281"/>
    <w:basedOn w:val="TableNormal"/>
    <w:next w:val="TableWeb2"/>
    <w:uiPriority w:val="99"/>
    <w:semiHidden/>
    <w:unhideWhenUsed/>
    <w:rsid w:val="008F7DB9"/>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81">
    <w:name w:val="Table Web 181"/>
    <w:basedOn w:val="TableNormal"/>
    <w:next w:val="TableWeb1"/>
    <w:uiPriority w:val="99"/>
    <w:semiHidden/>
    <w:unhideWhenUsed/>
    <w:rsid w:val="008F7DB9"/>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81">
    <w:name w:val="Table Grid 881"/>
    <w:basedOn w:val="TableNormal"/>
    <w:next w:val="TableGrid8"/>
    <w:uiPriority w:val="99"/>
    <w:semiHidden/>
    <w:unhideWhenUsed/>
    <w:rsid w:val="008F7DB9"/>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81">
    <w:name w:val="Table Contemporary81"/>
    <w:basedOn w:val="TableNormal"/>
    <w:next w:val="TableContemporary"/>
    <w:uiPriority w:val="99"/>
    <w:semiHidden/>
    <w:unhideWhenUsed/>
    <w:rsid w:val="008F7DB9"/>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71">
    <w:name w:val="Light List - Accent 1271"/>
    <w:basedOn w:val="TableNormal"/>
    <w:next w:val="LightList-Accent1"/>
    <w:uiPriority w:val="61"/>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81">
    <w:name w:val="Table Grid 781"/>
    <w:basedOn w:val="TableNormal"/>
    <w:next w:val="TableGrid7"/>
    <w:uiPriority w:val="99"/>
    <w:semiHidden/>
    <w:unhideWhenUsed/>
    <w:rsid w:val="008F7DB9"/>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91">
    <w:name w:val="Colorful Grid - Accent 191"/>
    <w:basedOn w:val="TableNormal"/>
    <w:next w:val="ColorfulGrid-Accent1"/>
    <w:uiPriority w:val="73"/>
    <w:semiHidden/>
    <w:unhideWhenUsed/>
    <w:rsid w:val="008F7DB9"/>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101">
    <w:name w:val="Light List - Accent 5101"/>
    <w:basedOn w:val="TableNormal"/>
    <w:next w:val="LightList-Accent5"/>
    <w:uiPriority w:val="61"/>
    <w:semiHidden/>
    <w:unhideWhenUsed/>
    <w:rsid w:val="008F7DB9"/>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81">
    <w:name w:val="Table Simple 381"/>
    <w:basedOn w:val="TableNormal"/>
    <w:next w:val="TableSimple3"/>
    <w:uiPriority w:val="99"/>
    <w:semiHidden/>
    <w:unhideWhenUsed/>
    <w:rsid w:val="008F7DB9"/>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81">
    <w:name w:val="Table Grid 581"/>
    <w:basedOn w:val="TableNormal"/>
    <w:next w:val="TableGrid5"/>
    <w:uiPriority w:val="99"/>
    <w:semiHidden/>
    <w:unhideWhenUsed/>
    <w:rsid w:val="008F7DB9"/>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81">
    <w:name w:val="Table Grid 381"/>
    <w:basedOn w:val="TableNormal"/>
    <w:next w:val="TableGrid3"/>
    <w:uiPriority w:val="99"/>
    <w:semiHidden/>
    <w:unhideWhenUsed/>
    <w:rsid w:val="008F7DB9"/>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810">
    <w:name w:val="Table Grid 181"/>
    <w:basedOn w:val="TableNormal"/>
    <w:next w:val="TableGrid10"/>
    <w:uiPriority w:val="99"/>
    <w:semiHidden/>
    <w:unhideWhenUsed/>
    <w:rsid w:val="008F7DB9"/>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81">
    <w:name w:val="Table Columns 581"/>
    <w:basedOn w:val="TableNormal"/>
    <w:next w:val="TableColumns5"/>
    <w:uiPriority w:val="99"/>
    <w:semiHidden/>
    <w:unhideWhenUsed/>
    <w:rsid w:val="008F7DB9"/>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7107">
      <w:bodyDiv w:val="1"/>
      <w:marLeft w:val="0"/>
      <w:marRight w:val="0"/>
      <w:marTop w:val="0"/>
      <w:marBottom w:val="0"/>
      <w:divBdr>
        <w:top w:val="none" w:sz="0" w:space="0" w:color="auto"/>
        <w:left w:val="none" w:sz="0" w:space="0" w:color="auto"/>
        <w:bottom w:val="none" w:sz="0" w:space="0" w:color="auto"/>
        <w:right w:val="none" w:sz="0" w:space="0" w:color="auto"/>
      </w:divBdr>
    </w:div>
    <w:div w:id="31082282">
      <w:bodyDiv w:val="1"/>
      <w:marLeft w:val="0"/>
      <w:marRight w:val="0"/>
      <w:marTop w:val="0"/>
      <w:marBottom w:val="0"/>
      <w:divBdr>
        <w:top w:val="none" w:sz="0" w:space="0" w:color="auto"/>
        <w:left w:val="none" w:sz="0" w:space="0" w:color="auto"/>
        <w:bottom w:val="none" w:sz="0" w:space="0" w:color="auto"/>
        <w:right w:val="none" w:sz="0" w:space="0" w:color="auto"/>
      </w:divBdr>
    </w:div>
    <w:div w:id="69543490">
      <w:bodyDiv w:val="1"/>
      <w:marLeft w:val="0"/>
      <w:marRight w:val="0"/>
      <w:marTop w:val="0"/>
      <w:marBottom w:val="0"/>
      <w:divBdr>
        <w:top w:val="none" w:sz="0" w:space="0" w:color="auto"/>
        <w:left w:val="none" w:sz="0" w:space="0" w:color="auto"/>
        <w:bottom w:val="none" w:sz="0" w:space="0" w:color="auto"/>
        <w:right w:val="none" w:sz="0" w:space="0" w:color="auto"/>
      </w:divBdr>
    </w:div>
    <w:div w:id="97062946">
      <w:bodyDiv w:val="1"/>
      <w:marLeft w:val="0"/>
      <w:marRight w:val="0"/>
      <w:marTop w:val="0"/>
      <w:marBottom w:val="0"/>
      <w:divBdr>
        <w:top w:val="none" w:sz="0" w:space="0" w:color="auto"/>
        <w:left w:val="none" w:sz="0" w:space="0" w:color="auto"/>
        <w:bottom w:val="none" w:sz="0" w:space="0" w:color="auto"/>
        <w:right w:val="none" w:sz="0" w:space="0" w:color="auto"/>
      </w:divBdr>
    </w:div>
    <w:div w:id="98794014">
      <w:bodyDiv w:val="1"/>
      <w:marLeft w:val="0"/>
      <w:marRight w:val="0"/>
      <w:marTop w:val="0"/>
      <w:marBottom w:val="0"/>
      <w:divBdr>
        <w:top w:val="none" w:sz="0" w:space="0" w:color="auto"/>
        <w:left w:val="none" w:sz="0" w:space="0" w:color="auto"/>
        <w:bottom w:val="none" w:sz="0" w:space="0" w:color="auto"/>
        <w:right w:val="none" w:sz="0" w:space="0" w:color="auto"/>
      </w:divBdr>
    </w:div>
    <w:div w:id="105854229">
      <w:bodyDiv w:val="1"/>
      <w:marLeft w:val="0"/>
      <w:marRight w:val="0"/>
      <w:marTop w:val="0"/>
      <w:marBottom w:val="0"/>
      <w:divBdr>
        <w:top w:val="none" w:sz="0" w:space="0" w:color="auto"/>
        <w:left w:val="none" w:sz="0" w:space="0" w:color="auto"/>
        <w:bottom w:val="none" w:sz="0" w:space="0" w:color="auto"/>
        <w:right w:val="none" w:sz="0" w:space="0" w:color="auto"/>
      </w:divBdr>
    </w:div>
    <w:div w:id="120733560">
      <w:bodyDiv w:val="1"/>
      <w:marLeft w:val="0"/>
      <w:marRight w:val="0"/>
      <w:marTop w:val="0"/>
      <w:marBottom w:val="0"/>
      <w:divBdr>
        <w:top w:val="none" w:sz="0" w:space="0" w:color="auto"/>
        <w:left w:val="none" w:sz="0" w:space="0" w:color="auto"/>
        <w:bottom w:val="none" w:sz="0" w:space="0" w:color="auto"/>
        <w:right w:val="none" w:sz="0" w:space="0" w:color="auto"/>
      </w:divBdr>
    </w:div>
    <w:div w:id="123818483">
      <w:bodyDiv w:val="1"/>
      <w:marLeft w:val="0"/>
      <w:marRight w:val="0"/>
      <w:marTop w:val="0"/>
      <w:marBottom w:val="0"/>
      <w:divBdr>
        <w:top w:val="none" w:sz="0" w:space="0" w:color="auto"/>
        <w:left w:val="none" w:sz="0" w:space="0" w:color="auto"/>
        <w:bottom w:val="none" w:sz="0" w:space="0" w:color="auto"/>
        <w:right w:val="none" w:sz="0" w:space="0" w:color="auto"/>
      </w:divBdr>
    </w:div>
    <w:div w:id="145555845">
      <w:bodyDiv w:val="1"/>
      <w:marLeft w:val="0"/>
      <w:marRight w:val="0"/>
      <w:marTop w:val="0"/>
      <w:marBottom w:val="0"/>
      <w:divBdr>
        <w:top w:val="none" w:sz="0" w:space="0" w:color="auto"/>
        <w:left w:val="none" w:sz="0" w:space="0" w:color="auto"/>
        <w:bottom w:val="none" w:sz="0" w:space="0" w:color="auto"/>
        <w:right w:val="none" w:sz="0" w:space="0" w:color="auto"/>
      </w:divBdr>
    </w:div>
    <w:div w:id="236745714">
      <w:bodyDiv w:val="1"/>
      <w:marLeft w:val="0"/>
      <w:marRight w:val="0"/>
      <w:marTop w:val="0"/>
      <w:marBottom w:val="0"/>
      <w:divBdr>
        <w:top w:val="none" w:sz="0" w:space="0" w:color="auto"/>
        <w:left w:val="none" w:sz="0" w:space="0" w:color="auto"/>
        <w:bottom w:val="none" w:sz="0" w:space="0" w:color="auto"/>
        <w:right w:val="none" w:sz="0" w:space="0" w:color="auto"/>
      </w:divBdr>
    </w:div>
    <w:div w:id="243032163">
      <w:bodyDiv w:val="1"/>
      <w:marLeft w:val="0"/>
      <w:marRight w:val="0"/>
      <w:marTop w:val="0"/>
      <w:marBottom w:val="0"/>
      <w:divBdr>
        <w:top w:val="none" w:sz="0" w:space="0" w:color="auto"/>
        <w:left w:val="none" w:sz="0" w:space="0" w:color="auto"/>
        <w:bottom w:val="none" w:sz="0" w:space="0" w:color="auto"/>
        <w:right w:val="none" w:sz="0" w:space="0" w:color="auto"/>
      </w:divBdr>
    </w:div>
    <w:div w:id="259916422">
      <w:bodyDiv w:val="1"/>
      <w:marLeft w:val="0"/>
      <w:marRight w:val="0"/>
      <w:marTop w:val="0"/>
      <w:marBottom w:val="0"/>
      <w:divBdr>
        <w:top w:val="none" w:sz="0" w:space="0" w:color="auto"/>
        <w:left w:val="none" w:sz="0" w:space="0" w:color="auto"/>
        <w:bottom w:val="none" w:sz="0" w:space="0" w:color="auto"/>
        <w:right w:val="none" w:sz="0" w:space="0" w:color="auto"/>
      </w:divBdr>
    </w:div>
    <w:div w:id="262345488">
      <w:bodyDiv w:val="1"/>
      <w:marLeft w:val="0"/>
      <w:marRight w:val="0"/>
      <w:marTop w:val="0"/>
      <w:marBottom w:val="0"/>
      <w:divBdr>
        <w:top w:val="none" w:sz="0" w:space="0" w:color="auto"/>
        <w:left w:val="none" w:sz="0" w:space="0" w:color="auto"/>
        <w:bottom w:val="none" w:sz="0" w:space="0" w:color="auto"/>
        <w:right w:val="none" w:sz="0" w:space="0" w:color="auto"/>
      </w:divBdr>
    </w:div>
    <w:div w:id="272060592">
      <w:bodyDiv w:val="1"/>
      <w:marLeft w:val="0"/>
      <w:marRight w:val="0"/>
      <w:marTop w:val="0"/>
      <w:marBottom w:val="0"/>
      <w:divBdr>
        <w:top w:val="none" w:sz="0" w:space="0" w:color="auto"/>
        <w:left w:val="none" w:sz="0" w:space="0" w:color="auto"/>
        <w:bottom w:val="none" w:sz="0" w:space="0" w:color="auto"/>
        <w:right w:val="none" w:sz="0" w:space="0" w:color="auto"/>
      </w:divBdr>
    </w:div>
    <w:div w:id="279338549">
      <w:bodyDiv w:val="1"/>
      <w:marLeft w:val="0"/>
      <w:marRight w:val="0"/>
      <w:marTop w:val="0"/>
      <w:marBottom w:val="0"/>
      <w:divBdr>
        <w:top w:val="none" w:sz="0" w:space="0" w:color="auto"/>
        <w:left w:val="none" w:sz="0" w:space="0" w:color="auto"/>
        <w:bottom w:val="none" w:sz="0" w:space="0" w:color="auto"/>
        <w:right w:val="none" w:sz="0" w:space="0" w:color="auto"/>
      </w:divBdr>
    </w:div>
    <w:div w:id="279605151">
      <w:bodyDiv w:val="1"/>
      <w:marLeft w:val="0"/>
      <w:marRight w:val="0"/>
      <w:marTop w:val="0"/>
      <w:marBottom w:val="0"/>
      <w:divBdr>
        <w:top w:val="none" w:sz="0" w:space="0" w:color="auto"/>
        <w:left w:val="none" w:sz="0" w:space="0" w:color="auto"/>
        <w:bottom w:val="none" w:sz="0" w:space="0" w:color="auto"/>
        <w:right w:val="none" w:sz="0" w:space="0" w:color="auto"/>
      </w:divBdr>
    </w:div>
    <w:div w:id="298729310">
      <w:bodyDiv w:val="1"/>
      <w:marLeft w:val="0"/>
      <w:marRight w:val="0"/>
      <w:marTop w:val="0"/>
      <w:marBottom w:val="0"/>
      <w:divBdr>
        <w:top w:val="none" w:sz="0" w:space="0" w:color="auto"/>
        <w:left w:val="none" w:sz="0" w:space="0" w:color="auto"/>
        <w:bottom w:val="none" w:sz="0" w:space="0" w:color="auto"/>
        <w:right w:val="none" w:sz="0" w:space="0" w:color="auto"/>
      </w:divBdr>
    </w:div>
    <w:div w:id="300502754">
      <w:bodyDiv w:val="1"/>
      <w:marLeft w:val="0"/>
      <w:marRight w:val="0"/>
      <w:marTop w:val="0"/>
      <w:marBottom w:val="0"/>
      <w:divBdr>
        <w:top w:val="none" w:sz="0" w:space="0" w:color="auto"/>
        <w:left w:val="none" w:sz="0" w:space="0" w:color="auto"/>
        <w:bottom w:val="none" w:sz="0" w:space="0" w:color="auto"/>
        <w:right w:val="none" w:sz="0" w:space="0" w:color="auto"/>
      </w:divBdr>
    </w:div>
    <w:div w:id="313533215">
      <w:bodyDiv w:val="1"/>
      <w:marLeft w:val="0"/>
      <w:marRight w:val="0"/>
      <w:marTop w:val="0"/>
      <w:marBottom w:val="0"/>
      <w:divBdr>
        <w:top w:val="none" w:sz="0" w:space="0" w:color="auto"/>
        <w:left w:val="none" w:sz="0" w:space="0" w:color="auto"/>
        <w:bottom w:val="none" w:sz="0" w:space="0" w:color="auto"/>
        <w:right w:val="none" w:sz="0" w:space="0" w:color="auto"/>
      </w:divBdr>
    </w:div>
    <w:div w:id="336809432">
      <w:bodyDiv w:val="1"/>
      <w:marLeft w:val="0"/>
      <w:marRight w:val="0"/>
      <w:marTop w:val="0"/>
      <w:marBottom w:val="0"/>
      <w:divBdr>
        <w:top w:val="none" w:sz="0" w:space="0" w:color="auto"/>
        <w:left w:val="none" w:sz="0" w:space="0" w:color="auto"/>
        <w:bottom w:val="none" w:sz="0" w:space="0" w:color="auto"/>
        <w:right w:val="none" w:sz="0" w:space="0" w:color="auto"/>
      </w:divBdr>
    </w:div>
    <w:div w:id="338898078">
      <w:bodyDiv w:val="1"/>
      <w:marLeft w:val="0"/>
      <w:marRight w:val="0"/>
      <w:marTop w:val="0"/>
      <w:marBottom w:val="0"/>
      <w:divBdr>
        <w:top w:val="none" w:sz="0" w:space="0" w:color="auto"/>
        <w:left w:val="none" w:sz="0" w:space="0" w:color="auto"/>
        <w:bottom w:val="none" w:sz="0" w:space="0" w:color="auto"/>
        <w:right w:val="none" w:sz="0" w:space="0" w:color="auto"/>
      </w:divBdr>
    </w:div>
    <w:div w:id="363482288">
      <w:bodyDiv w:val="1"/>
      <w:marLeft w:val="0"/>
      <w:marRight w:val="0"/>
      <w:marTop w:val="0"/>
      <w:marBottom w:val="0"/>
      <w:divBdr>
        <w:top w:val="none" w:sz="0" w:space="0" w:color="auto"/>
        <w:left w:val="none" w:sz="0" w:space="0" w:color="auto"/>
        <w:bottom w:val="none" w:sz="0" w:space="0" w:color="auto"/>
        <w:right w:val="none" w:sz="0" w:space="0" w:color="auto"/>
      </w:divBdr>
    </w:div>
    <w:div w:id="391583566">
      <w:bodyDiv w:val="1"/>
      <w:marLeft w:val="0"/>
      <w:marRight w:val="0"/>
      <w:marTop w:val="0"/>
      <w:marBottom w:val="0"/>
      <w:divBdr>
        <w:top w:val="none" w:sz="0" w:space="0" w:color="auto"/>
        <w:left w:val="none" w:sz="0" w:space="0" w:color="auto"/>
        <w:bottom w:val="none" w:sz="0" w:space="0" w:color="auto"/>
        <w:right w:val="none" w:sz="0" w:space="0" w:color="auto"/>
      </w:divBdr>
    </w:div>
    <w:div w:id="412511495">
      <w:bodyDiv w:val="1"/>
      <w:marLeft w:val="0"/>
      <w:marRight w:val="0"/>
      <w:marTop w:val="0"/>
      <w:marBottom w:val="0"/>
      <w:divBdr>
        <w:top w:val="none" w:sz="0" w:space="0" w:color="auto"/>
        <w:left w:val="none" w:sz="0" w:space="0" w:color="auto"/>
        <w:bottom w:val="none" w:sz="0" w:space="0" w:color="auto"/>
        <w:right w:val="none" w:sz="0" w:space="0" w:color="auto"/>
      </w:divBdr>
    </w:div>
    <w:div w:id="495145514">
      <w:bodyDiv w:val="1"/>
      <w:marLeft w:val="0"/>
      <w:marRight w:val="0"/>
      <w:marTop w:val="0"/>
      <w:marBottom w:val="0"/>
      <w:divBdr>
        <w:top w:val="none" w:sz="0" w:space="0" w:color="auto"/>
        <w:left w:val="none" w:sz="0" w:space="0" w:color="auto"/>
        <w:bottom w:val="none" w:sz="0" w:space="0" w:color="auto"/>
        <w:right w:val="none" w:sz="0" w:space="0" w:color="auto"/>
      </w:divBdr>
    </w:div>
    <w:div w:id="528222659">
      <w:bodyDiv w:val="1"/>
      <w:marLeft w:val="0"/>
      <w:marRight w:val="0"/>
      <w:marTop w:val="0"/>
      <w:marBottom w:val="0"/>
      <w:divBdr>
        <w:top w:val="none" w:sz="0" w:space="0" w:color="auto"/>
        <w:left w:val="none" w:sz="0" w:space="0" w:color="auto"/>
        <w:bottom w:val="none" w:sz="0" w:space="0" w:color="auto"/>
        <w:right w:val="none" w:sz="0" w:space="0" w:color="auto"/>
      </w:divBdr>
    </w:div>
    <w:div w:id="545262789">
      <w:bodyDiv w:val="1"/>
      <w:marLeft w:val="0"/>
      <w:marRight w:val="0"/>
      <w:marTop w:val="0"/>
      <w:marBottom w:val="0"/>
      <w:divBdr>
        <w:top w:val="none" w:sz="0" w:space="0" w:color="auto"/>
        <w:left w:val="none" w:sz="0" w:space="0" w:color="auto"/>
        <w:bottom w:val="none" w:sz="0" w:space="0" w:color="auto"/>
        <w:right w:val="none" w:sz="0" w:space="0" w:color="auto"/>
      </w:divBdr>
    </w:div>
    <w:div w:id="603534126">
      <w:bodyDiv w:val="1"/>
      <w:marLeft w:val="0"/>
      <w:marRight w:val="0"/>
      <w:marTop w:val="0"/>
      <w:marBottom w:val="0"/>
      <w:divBdr>
        <w:top w:val="none" w:sz="0" w:space="0" w:color="auto"/>
        <w:left w:val="none" w:sz="0" w:space="0" w:color="auto"/>
        <w:bottom w:val="none" w:sz="0" w:space="0" w:color="auto"/>
        <w:right w:val="none" w:sz="0" w:space="0" w:color="auto"/>
      </w:divBdr>
    </w:div>
    <w:div w:id="607200544">
      <w:bodyDiv w:val="1"/>
      <w:marLeft w:val="0"/>
      <w:marRight w:val="0"/>
      <w:marTop w:val="0"/>
      <w:marBottom w:val="0"/>
      <w:divBdr>
        <w:top w:val="none" w:sz="0" w:space="0" w:color="auto"/>
        <w:left w:val="none" w:sz="0" w:space="0" w:color="auto"/>
        <w:bottom w:val="none" w:sz="0" w:space="0" w:color="auto"/>
        <w:right w:val="none" w:sz="0" w:space="0" w:color="auto"/>
      </w:divBdr>
    </w:div>
    <w:div w:id="642002085">
      <w:bodyDiv w:val="1"/>
      <w:marLeft w:val="0"/>
      <w:marRight w:val="0"/>
      <w:marTop w:val="0"/>
      <w:marBottom w:val="0"/>
      <w:divBdr>
        <w:top w:val="none" w:sz="0" w:space="0" w:color="auto"/>
        <w:left w:val="none" w:sz="0" w:space="0" w:color="auto"/>
        <w:bottom w:val="none" w:sz="0" w:space="0" w:color="auto"/>
        <w:right w:val="none" w:sz="0" w:space="0" w:color="auto"/>
      </w:divBdr>
    </w:div>
    <w:div w:id="661465204">
      <w:bodyDiv w:val="1"/>
      <w:marLeft w:val="0"/>
      <w:marRight w:val="0"/>
      <w:marTop w:val="0"/>
      <w:marBottom w:val="0"/>
      <w:divBdr>
        <w:top w:val="none" w:sz="0" w:space="0" w:color="auto"/>
        <w:left w:val="none" w:sz="0" w:space="0" w:color="auto"/>
        <w:bottom w:val="none" w:sz="0" w:space="0" w:color="auto"/>
        <w:right w:val="none" w:sz="0" w:space="0" w:color="auto"/>
      </w:divBdr>
    </w:div>
    <w:div w:id="672148981">
      <w:bodyDiv w:val="1"/>
      <w:marLeft w:val="0"/>
      <w:marRight w:val="0"/>
      <w:marTop w:val="0"/>
      <w:marBottom w:val="0"/>
      <w:divBdr>
        <w:top w:val="none" w:sz="0" w:space="0" w:color="auto"/>
        <w:left w:val="none" w:sz="0" w:space="0" w:color="auto"/>
        <w:bottom w:val="none" w:sz="0" w:space="0" w:color="auto"/>
        <w:right w:val="none" w:sz="0" w:space="0" w:color="auto"/>
      </w:divBdr>
    </w:div>
    <w:div w:id="685063752">
      <w:bodyDiv w:val="1"/>
      <w:marLeft w:val="0"/>
      <w:marRight w:val="0"/>
      <w:marTop w:val="0"/>
      <w:marBottom w:val="0"/>
      <w:divBdr>
        <w:top w:val="none" w:sz="0" w:space="0" w:color="auto"/>
        <w:left w:val="none" w:sz="0" w:space="0" w:color="auto"/>
        <w:bottom w:val="none" w:sz="0" w:space="0" w:color="auto"/>
        <w:right w:val="none" w:sz="0" w:space="0" w:color="auto"/>
      </w:divBdr>
    </w:div>
    <w:div w:id="700863661">
      <w:bodyDiv w:val="1"/>
      <w:marLeft w:val="0"/>
      <w:marRight w:val="0"/>
      <w:marTop w:val="0"/>
      <w:marBottom w:val="0"/>
      <w:divBdr>
        <w:top w:val="none" w:sz="0" w:space="0" w:color="auto"/>
        <w:left w:val="none" w:sz="0" w:space="0" w:color="auto"/>
        <w:bottom w:val="none" w:sz="0" w:space="0" w:color="auto"/>
        <w:right w:val="none" w:sz="0" w:space="0" w:color="auto"/>
      </w:divBdr>
    </w:div>
    <w:div w:id="710690607">
      <w:bodyDiv w:val="1"/>
      <w:marLeft w:val="0"/>
      <w:marRight w:val="0"/>
      <w:marTop w:val="0"/>
      <w:marBottom w:val="0"/>
      <w:divBdr>
        <w:top w:val="none" w:sz="0" w:space="0" w:color="auto"/>
        <w:left w:val="none" w:sz="0" w:space="0" w:color="auto"/>
        <w:bottom w:val="none" w:sz="0" w:space="0" w:color="auto"/>
        <w:right w:val="none" w:sz="0" w:space="0" w:color="auto"/>
      </w:divBdr>
    </w:div>
    <w:div w:id="713309798">
      <w:bodyDiv w:val="1"/>
      <w:marLeft w:val="0"/>
      <w:marRight w:val="0"/>
      <w:marTop w:val="0"/>
      <w:marBottom w:val="0"/>
      <w:divBdr>
        <w:top w:val="none" w:sz="0" w:space="0" w:color="auto"/>
        <w:left w:val="none" w:sz="0" w:space="0" w:color="auto"/>
        <w:bottom w:val="none" w:sz="0" w:space="0" w:color="auto"/>
        <w:right w:val="none" w:sz="0" w:space="0" w:color="auto"/>
      </w:divBdr>
    </w:div>
    <w:div w:id="716927086">
      <w:bodyDiv w:val="1"/>
      <w:marLeft w:val="0"/>
      <w:marRight w:val="0"/>
      <w:marTop w:val="0"/>
      <w:marBottom w:val="0"/>
      <w:divBdr>
        <w:top w:val="none" w:sz="0" w:space="0" w:color="auto"/>
        <w:left w:val="none" w:sz="0" w:space="0" w:color="auto"/>
        <w:bottom w:val="none" w:sz="0" w:space="0" w:color="auto"/>
        <w:right w:val="none" w:sz="0" w:space="0" w:color="auto"/>
      </w:divBdr>
    </w:div>
    <w:div w:id="723942746">
      <w:bodyDiv w:val="1"/>
      <w:marLeft w:val="0"/>
      <w:marRight w:val="0"/>
      <w:marTop w:val="0"/>
      <w:marBottom w:val="0"/>
      <w:divBdr>
        <w:top w:val="none" w:sz="0" w:space="0" w:color="auto"/>
        <w:left w:val="none" w:sz="0" w:space="0" w:color="auto"/>
        <w:bottom w:val="none" w:sz="0" w:space="0" w:color="auto"/>
        <w:right w:val="none" w:sz="0" w:space="0" w:color="auto"/>
      </w:divBdr>
    </w:div>
    <w:div w:id="726100770">
      <w:bodyDiv w:val="1"/>
      <w:marLeft w:val="0"/>
      <w:marRight w:val="0"/>
      <w:marTop w:val="0"/>
      <w:marBottom w:val="0"/>
      <w:divBdr>
        <w:top w:val="none" w:sz="0" w:space="0" w:color="auto"/>
        <w:left w:val="none" w:sz="0" w:space="0" w:color="auto"/>
        <w:bottom w:val="none" w:sz="0" w:space="0" w:color="auto"/>
        <w:right w:val="none" w:sz="0" w:space="0" w:color="auto"/>
      </w:divBdr>
    </w:div>
    <w:div w:id="726881145">
      <w:bodyDiv w:val="1"/>
      <w:marLeft w:val="0"/>
      <w:marRight w:val="0"/>
      <w:marTop w:val="0"/>
      <w:marBottom w:val="0"/>
      <w:divBdr>
        <w:top w:val="none" w:sz="0" w:space="0" w:color="auto"/>
        <w:left w:val="none" w:sz="0" w:space="0" w:color="auto"/>
        <w:bottom w:val="none" w:sz="0" w:space="0" w:color="auto"/>
        <w:right w:val="none" w:sz="0" w:space="0" w:color="auto"/>
      </w:divBdr>
    </w:div>
    <w:div w:id="730081290">
      <w:bodyDiv w:val="1"/>
      <w:marLeft w:val="0"/>
      <w:marRight w:val="0"/>
      <w:marTop w:val="0"/>
      <w:marBottom w:val="0"/>
      <w:divBdr>
        <w:top w:val="none" w:sz="0" w:space="0" w:color="auto"/>
        <w:left w:val="none" w:sz="0" w:space="0" w:color="auto"/>
        <w:bottom w:val="none" w:sz="0" w:space="0" w:color="auto"/>
        <w:right w:val="none" w:sz="0" w:space="0" w:color="auto"/>
      </w:divBdr>
    </w:div>
    <w:div w:id="732123155">
      <w:bodyDiv w:val="1"/>
      <w:marLeft w:val="0"/>
      <w:marRight w:val="0"/>
      <w:marTop w:val="0"/>
      <w:marBottom w:val="0"/>
      <w:divBdr>
        <w:top w:val="none" w:sz="0" w:space="0" w:color="auto"/>
        <w:left w:val="none" w:sz="0" w:space="0" w:color="auto"/>
        <w:bottom w:val="none" w:sz="0" w:space="0" w:color="auto"/>
        <w:right w:val="none" w:sz="0" w:space="0" w:color="auto"/>
      </w:divBdr>
    </w:div>
    <w:div w:id="734619232">
      <w:bodyDiv w:val="1"/>
      <w:marLeft w:val="0"/>
      <w:marRight w:val="0"/>
      <w:marTop w:val="0"/>
      <w:marBottom w:val="0"/>
      <w:divBdr>
        <w:top w:val="none" w:sz="0" w:space="0" w:color="auto"/>
        <w:left w:val="none" w:sz="0" w:space="0" w:color="auto"/>
        <w:bottom w:val="none" w:sz="0" w:space="0" w:color="auto"/>
        <w:right w:val="none" w:sz="0" w:space="0" w:color="auto"/>
      </w:divBdr>
    </w:div>
    <w:div w:id="736587001">
      <w:bodyDiv w:val="1"/>
      <w:marLeft w:val="0"/>
      <w:marRight w:val="0"/>
      <w:marTop w:val="0"/>
      <w:marBottom w:val="0"/>
      <w:divBdr>
        <w:top w:val="none" w:sz="0" w:space="0" w:color="auto"/>
        <w:left w:val="none" w:sz="0" w:space="0" w:color="auto"/>
        <w:bottom w:val="none" w:sz="0" w:space="0" w:color="auto"/>
        <w:right w:val="none" w:sz="0" w:space="0" w:color="auto"/>
      </w:divBdr>
    </w:div>
    <w:div w:id="749352696">
      <w:bodyDiv w:val="1"/>
      <w:marLeft w:val="0"/>
      <w:marRight w:val="0"/>
      <w:marTop w:val="0"/>
      <w:marBottom w:val="0"/>
      <w:divBdr>
        <w:top w:val="none" w:sz="0" w:space="0" w:color="auto"/>
        <w:left w:val="none" w:sz="0" w:space="0" w:color="auto"/>
        <w:bottom w:val="none" w:sz="0" w:space="0" w:color="auto"/>
        <w:right w:val="none" w:sz="0" w:space="0" w:color="auto"/>
      </w:divBdr>
    </w:div>
    <w:div w:id="755978767">
      <w:bodyDiv w:val="1"/>
      <w:marLeft w:val="0"/>
      <w:marRight w:val="0"/>
      <w:marTop w:val="0"/>
      <w:marBottom w:val="0"/>
      <w:divBdr>
        <w:top w:val="none" w:sz="0" w:space="0" w:color="auto"/>
        <w:left w:val="none" w:sz="0" w:space="0" w:color="auto"/>
        <w:bottom w:val="none" w:sz="0" w:space="0" w:color="auto"/>
        <w:right w:val="none" w:sz="0" w:space="0" w:color="auto"/>
      </w:divBdr>
    </w:div>
    <w:div w:id="768082022">
      <w:bodyDiv w:val="1"/>
      <w:marLeft w:val="0"/>
      <w:marRight w:val="0"/>
      <w:marTop w:val="0"/>
      <w:marBottom w:val="0"/>
      <w:divBdr>
        <w:top w:val="none" w:sz="0" w:space="0" w:color="auto"/>
        <w:left w:val="none" w:sz="0" w:space="0" w:color="auto"/>
        <w:bottom w:val="none" w:sz="0" w:space="0" w:color="auto"/>
        <w:right w:val="none" w:sz="0" w:space="0" w:color="auto"/>
      </w:divBdr>
    </w:div>
    <w:div w:id="798456811">
      <w:bodyDiv w:val="1"/>
      <w:marLeft w:val="0"/>
      <w:marRight w:val="0"/>
      <w:marTop w:val="0"/>
      <w:marBottom w:val="0"/>
      <w:divBdr>
        <w:top w:val="none" w:sz="0" w:space="0" w:color="auto"/>
        <w:left w:val="none" w:sz="0" w:space="0" w:color="auto"/>
        <w:bottom w:val="none" w:sz="0" w:space="0" w:color="auto"/>
        <w:right w:val="none" w:sz="0" w:space="0" w:color="auto"/>
      </w:divBdr>
    </w:div>
    <w:div w:id="799693678">
      <w:bodyDiv w:val="1"/>
      <w:marLeft w:val="0"/>
      <w:marRight w:val="0"/>
      <w:marTop w:val="0"/>
      <w:marBottom w:val="0"/>
      <w:divBdr>
        <w:top w:val="none" w:sz="0" w:space="0" w:color="auto"/>
        <w:left w:val="none" w:sz="0" w:space="0" w:color="auto"/>
        <w:bottom w:val="none" w:sz="0" w:space="0" w:color="auto"/>
        <w:right w:val="none" w:sz="0" w:space="0" w:color="auto"/>
      </w:divBdr>
    </w:div>
    <w:div w:id="803541761">
      <w:bodyDiv w:val="1"/>
      <w:marLeft w:val="0"/>
      <w:marRight w:val="0"/>
      <w:marTop w:val="0"/>
      <w:marBottom w:val="0"/>
      <w:divBdr>
        <w:top w:val="none" w:sz="0" w:space="0" w:color="auto"/>
        <w:left w:val="none" w:sz="0" w:space="0" w:color="auto"/>
        <w:bottom w:val="none" w:sz="0" w:space="0" w:color="auto"/>
        <w:right w:val="none" w:sz="0" w:space="0" w:color="auto"/>
      </w:divBdr>
    </w:div>
    <w:div w:id="824202389">
      <w:bodyDiv w:val="1"/>
      <w:marLeft w:val="0"/>
      <w:marRight w:val="0"/>
      <w:marTop w:val="0"/>
      <w:marBottom w:val="0"/>
      <w:divBdr>
        <w:top w:val="none" w:sz="0" w:space="0" w:color="auto"/>
        <w:left w:val="none" w:sz="0" w:space="0" w:color="auto"/>
        <w:bottom w:val="none" w:sz="0" w:space="0" w:color="auto"/>
        <w:right w:val="none" w:sz="0" w:space="0" w:color="auto"/>
      </w:divBdr>
    </w:div>
    <w:div w:id="834997167">
      <w:bodyDiv w:val="1"/>
      <w:marLeft w:val="0"/>
      <w:marRight w:val="0"/>
      <w:marTop w:val="0"/>
      <w:marBottom w:val="0"/>
      <w:divBdr>
        <w:top w:val="none" w:sz="0" w:space="0" w:color="auto"/>
        <w:left w:val="none" w:sz="0" w:space="0" w:color="auto"/>
        <w:bottom w:val="none" w:sz="0" w:space="0" w:color="auto"/>
        <w:right w:val="none" w:sz="0" w:space="0" w:color="auto"/>
      </w:divBdr>
    </w:div>
    <w:div w:id="837118536">
      <w:bodyDiv w:val="1"/>
      <w:marLeft w:val="0"/>
      <w:marRight w:val="0"/>
      <w:marTop w:val="0"/>
      <w:marBottom w:val="0"/>
      <w:divBdr>
        <w:top w:val="none" w:sz="0" w:space="0" w:color="auto"/>
        <w:left w:val="none" w:sz="0" w:space="0" w:color="auto"/>
        <w:bottom w:val="none" w:sz="0" w:space="0" w:color="auto"/>
        <w:right w:val="none" w:sz="0" w:space="0" w:color="auto"/>
      </w:divBdr>
    </w:div>
    <w:div w:id="837840740">
      <w:bodyDiv w:val="1"/>
      <w:marLeft w:val="0"/>
      <w:marRight w:val="0"/>
      <w:marTop w:val="0"/>
      <w:marBottom w:val="0"/>
      <w:divBdr>
        <w:top w:val="none" w:sz="0" w:space="0" w:color="auto"/>
        <w:left w:val="none" w:sz="0" w:space="0" w:color="auto"/>
        <w:bottom w:val="none" w:sz="0" w:space="0" w:color="auto"/>
        <w:right w:val="none" w:sz="0" w:space="0" w:color="auto"/>
      </w:divBdr>
    </w:div>
    <w:div w:id="854810967">
      <w:bodyDiv w:val="1"/>
      <w:marLeft w:val="0"/>
      <w:marRight w:val="0"/>
      <w:marTop w:val="0"/>
      <w:marBottom w:val="0"/>
      <w:divBdr>
        <w:top w:val="none" w:sz="0" w:space="0" w:color="auto"/>
        <w:left w:val="none" w:sz="0" w:space="0" w:color="auto"/>
        <w:bottom w:val="none" w:sz="0" w:space="0" w:color="auto"/>
        <w:right w:val="none" w:sz="0" w:space="0" w:color="auto"/>
      </w:divBdr>
    </w:div>
    <w:div w:id="860893093">
      <w:bodyDiv w:val="1"/>
      <w:marLeft w:val="0"/>
      <w:marRight w:val="0"/>
      <w:marTop w:val="0"/>
      <w:marBottom w:val="0"/>
      <w:divBdr>
        <w:top w:val="none" w:sz="0" w:space="0" w:color="auto"/>
        <w:left w:val="none" w:sz="0" w:space="0" w:color="auto"/>
        <w:bottom w:val="none" w:sz="0" w:space="0" w:color="auto"/>
        <w:right w:val="none" w:sz="0" w:space="0" w:color="auto"/>
      </w:divBdr>
    </w:div>
    <w:div w:id="861821522">
      <w:bodyDiv w:val="1"/>
      <w:marLeft w:val="0"/>
      <w:marRight w:val="0"/>
      <w:marTop w:val="0"/>
      <w:marBottom w:val="0"/>
      <w:divBdr>
        <w:top w:val="none" w:sz="0" w:space="0" w:color="auto"/>
        <w:left w:val="none" w:sz="0" w:space="0" w:color="auto"/>
        <w:bottom w:val="none" w:sz="0" w:space="0" w:color="auto"/>
        <w:right w:val="none" w:sz="0" w:space="0" w:color="auto"/>
      </w:divBdr>
    </w:div>
    <w:div w:id="865677390">
      <w:bodyDiv w:val="1"/>
      <w:marLeft w:val="0"/>
      <w:marRight w:val="0"/>
      <w:marTop w:val="0"/>
      <w:marBottom w:val="0"/>
      <w:divBdr>
        <w:top w:val="none" w:sz="0" w:space="0" w:color="auto"/>
        <w:left w:val="none" w:sz="0" w:space="0" w:color="auto"/>
        <w:bottom w:val="none" w:sz="0" w:space="0" w:color="auto"/>
        <w:right w:val="none" w:sz="0" w:space="0" w:color="auto"/>
      </w:divBdr>
    </w:div>
    <w:div w:id="868225871">
      <w:bodyDiv w:val="1"/>
      <w:marLeft w:val="0"/>
      <w:marRight w:val="0"/>
      <w:marTop w:val="0"/>
      <w:marBottom w:val="0"/>
      <w:divBdr>
        <w:top w:val="none" w:sz="0" w:space="0" w:color="auto"/>
        <w:left w:val="none" w:sz="0" w:space="0" w:color="auto"/>
        <w:bottom w:val="none" w:sz="0" w:space="0" w:color="auto"/>
        <w:right w:val="none" w:sz="0" w:space="0" w:color="auto"/>
      </w:divBdr>
    </w:div>
    <w:div w:id="882208889">
      <w:bodyDiv w:val="1"/>
      <w:marLeft w:val="0"/>
      <w:marRight w:val="0"/>
      <w:marTop w:val="0"/>
      <w:marBottom w:val="0"/>
      <w:divBdr>
        <w:top w:val="none" w:sz="0" w:space="0" w:color="auto"/>
        <w:left w:val="none" w:sz="0" w:space="0" w:color="auto"/>
        <w:bottom w:val="none" w:sz="0" w:space="0" w:color="auto"/>
        <w:right w:val="none" w:sz="0" w:space="0" w:color="auto"/>
      </w:divBdr>
    </w:div>
    <w:div w:id="897057614">
      <w:bodyDiv w:val="1"/>
      <w:marLeft w:val="0"/>
      <w:marRight w:val="0"/>
      <w:marTop w:val="0"/>
      <w:marBottom w:val="0"/>
      <w:divBdr>
        <w:top w:val="none" w:sz="0" w:space="0" w:color="auto"/>
        <w:left w:val="none" w:sz="0" w:space="0" w:color="auto"/>
        <w:bottom w:val="none" w:sz="0" w:space="0" w:color="auto"/>
        <w:right w:val="none" w:sz="0" w:space="0" w:color="auto"/>
      </w:divBdr>
    </w:div>
    <w:div w:id="898171275">
      <w:bodyDiv w:val="1"/>
      <w:marLeft w:val="0"/>
      <w:marRight w:val="0"/>
      <w:marTop w:val="0"/>
      <w:marBottom w:val="0"/>
      <w:divBdr>
        <w:top w:val="none" w:sz="0" w:space="0" w:color="auto"/>
        <w:left w:val="none" w:sz="0" w:space="0" w:color="auto"/>
        <w:bottom w:val="none" w:sz="0" w:space="0" w:color="auto"/>
        <w:right w:val="none" w:sz="0" w:space="0" w:color="auto"/>
      </w:divBdr>
    </w:div>
    <w:div w:id="933824533">
      <w:bodyDiv w:val="1"/>
      <w:marLeft w:val="0"/>
      <w:marRight w:val="0"/>
      <w:marTop w:val="0"/>
      <w:marBottom w:val="0"/>
      <w:divBdr>
        <w:top w:val="none" w:sz="0" w:space="0" w:color="auto"/>
        <w:left w:val="none" w:sz="0" w:space="0" w:color="auto"/>
        <w:bottom w:val="none" w:sz="0" w:space="0" w:color="auto"/>
        <w:right w:val="none" w:sz="0" w:space="0" w:color="auto"/>
      </w:divBdr>
    </w:div>
    <w:div w:id="970793711">
      <w:bodyDiv w:val="1"/>
      <w:marLeft w:val="0"/>
      <w:marRight w:val="0"/>
      <w:marTop w:val="0"/>
      <w:marBottom w:val="0"/>
      <w:divBdr>
        <w:top w:val="none" w:sz="0" w:space="0" w:color="auto"/>
        <w:left w:val="none" w:sz="0" w:space="0" w:color="auto"/>
        <w:bottom w:val="none" w:sz="0" w:space="0" w:color="auto"/>
        <w:right w:val="none" w:sz="0" w:space="0" w:color="auto"/>
      </w:divBdr>
    </w:div>
    <w:div w:id="972516997">
      <w:bodyDiv w:val="1"/>
      <w:marLeft w:val="0"/>
      <w:marRight w:val="0"/>
      <w:marTop w:val="0"/>
      <w:marBottom w:val="0"/>
      <w:divBdr>
        <w:top w:val="none" w:sz="0" w:space="0" w:color="auto"/>
        <w:left w:val="none" w:sz="0" w:space="0" w:color="auto"/>
        <w:bottom w:val="none" w:sz="0" w:space="0" w:color="auto"/>
        <w:right w:val="none" w:sz="0" w:space="0" w:color="auto"/>
      </w:divBdr>
    </w:div>
    <w:div w:id="1012679722">
      <w:bodyDiv w:val="1"/>
      <w:marLeft w:val="0"/>
      <w:marRight w:val="0"/>
      <w:marTop w:val="0"/>
      <w:marBottom w:val="0"/>
      <w:divBdr>
        <w:top w:val="none" w:sz="0" w:space="0" w:color="auto"/>
        <w:left w:val="none" w:sz="0" w:space="0" w:color="auto"/>
        <w:bottom w:val="none" w:sz="0" w:space="0" w:color="auto"/>
        <w:right w:val="none" w:sz="0" w:space="0" w:color="auto"/>
      </w:divBdr>
    </w:div>
    <w:div w:id="1018190345">
      <w:bodyDiv w:val="1"/>
      <w:marLeft w:val="0"/>
      <w:marRight w:val="0"/>
      <w:marTop w:val="0"/>
      <w:marBottom w:val="0"/>
      <w:divBdr>
        <w:top w:val="none" w:sz="0" w:space="0" w:color="auto"/>
        <w:left w:val="none" w:sz="0" w:space="0" w:color="auto"/>
        <w:bottom w:val="none" w:sz="0" w:space="0" w:color="auto"/>
        <w:right w:val="none" w:sz="0" w:space="0" w:color="auto"/>
      </w:divBdr>
    </w:div>
    <w:div w:id="1035232975">
      <w:bodyDiv w:val="1"/>
      <w:marLeft w:val="0"/>
      <w:marRight w:val="0"/>
      <w:marTop w:val="0"/>
      <w:marBottom w:val="0"/>
      <w:divBdr>
        <w:top w:val="none" w:sz="0" w:space="0" w:color="auto"/>
        <w:left w:val="none" w:sz="0" w:space="0" w:color="auto"/>
        <w:bottom w:val="none" w:sz="0" w:space="0" w:color="auto"/>
        <w:right w:val="none" w:sz="0" w:space="0" w:color="auto"/>
      </w:divBdr>
    </w:div>
    <w:div w:id="1063677549">
      <w:bodyDiv w:val="1"/>
      <w:marLeft w:val="0"/>
      <w:marRight w:val="0"/>
      <w:marTop w:val="0"/>
      <w:marBottom w:val="0"/>
      <w:divBdr>
        <w:top w:val="none" w:sz="0" w:space="0" w:color="auto"/>
        <w:left w:val="none" w:sz="0" w:space="0" w:color="auto"/>
        <w:bottom w:val="none" w:sz="0" w:space="0" w:color="auto"/>
        <w:right w:val="none" w:sz="0" w:space="0" w:color="auto"/>
      </w:divBdr>
    </w:div>
    <w:div w:id="1081214202">
      <w:bodyDiv w:val="1"/>
      <w:marLeft w:val="0"/>
      <w:marRight w:val="0"/>
      <w:marTop w:val="0"/>
      <w:marBottom w:val="0"/>
      <w:divBdr>
        <w:top w:val="none" w:sz="0" w:space="0" w:color="auto"/>
        <w:left w:val="none" w:sz="0" w:space="0" w:color="auto"/>
        <w:bottom w:val="none" w:sz="0" w:space="0" w:color="auto"/>
        <w:right w:val="none" w:sz="0" w:space="0" w:color="auto"/>
      </w:divBdr>
    </w:div>
    <w:div w:id="1084644819">
      <w:bodyDiv w:val="1"/>
      <w:marLeft w:val="0"/>
      <w:marRight w:val="0"/>
      <w:marTop w:val="0"/>
      <w:marBottom w:val="0"/>
      <w:divBdr>
        <w:top w:val="none" w:sz="0" w:space="0" w:color="auto"/>
        <w:left w:val="none" w:sz="0" w:space="0" w:color="auto"/>
        <w:bottom w:val="none" w:sz="0" w:space="0" w:color="auto"/>
        <w:right w:val="none" w:sz="0" w:space="0" w:color="auto"/>
      </w:divBdr>
    </w:div>
    <w:div w:id="1094398906">
      <w:bodyDiv w:val="1"/>
      <w:marLeft w:val="0"/>
      <w:marRight w:val="0"/>
      <w:marTop w:val="0"/>
      <w:marBottom w:val="0"/>
      <w:divBdr>
        <w:top w:val="none" w:sz="0" w:space="0" w:color="auto"/>
        <w:left w:val="none" w:sz="0" w:space="0" w:color="auto"/>
        <w:bottom w:val="none" w:sz="0" w:space="0" w:color="auto"/>
        <w:right w:val="none" w:sz="0" w:space="0" w:color="auto"/>
      </w:divBdr>
    </w:div>
    <w:div w:id="1096094392">
      <w:bodyDiv w:val="1"/>
      <w:marLeft w:val="0"/>
      <w:marRight w:val="0"/>
      <w:marTop w:val="0"/>
      <w:marBottom w:val="0"/>
      <w:divBdr>
        <w:top w:val="none" w:sz="0" w:space="0" w:color="auto"/>
        <w:left w:val="none" w:sz="0" w:space="0" w:color="auto"/>
        <w:bottom w:val="none" w:sz="0" w:space="0" w:color="auto"/>
        <w:right w:val="none" w:sz="0" w:space="0" w:color="auto"/>
      </w:divBdr>
    </w:div>
    <w:div w:id="1120607710">
      <w:bodyDiv w:val="1"/>
      <w:marLeft w:val="0"/>
      <w:marRight w:val="0"/>
      <w:marTop w:val="0"/>
      <w:marBottom w:val="0"/>
      <w:divBdr>
        <w:top w:val="none" w:sz="0" w:space="0" w:color="auto"/>
        <w:left w:val="none" w:sz="0" w:space="0" w:color="auto"/>
        <w:bottom w:val="none" w:sz="0" w:space="0" w:color="auto"/>
        <w:right w:val="none" w:sz="0" w:space="0" w:color="auto"/>
      </w:divBdr>
    </w:div>
    <w:div w:id="1134130242">
      <w:bodyDiv w:val="1"/>
      <w:marLeft w:val="0"/>
      <w:marRight w:val="0"/>
      <w:marTop w:val="0"/>
      <w:marBottom w:val="0"/>
      <w:divBdr>
        <w:top w:val="none" w:sz="0" w:space="0" w:color="auto"/>
        <w:left w:val="none" w:sz="0" w:space="0" w:color="auto"/>
        <w:bottom w:val="none" w:sz="0" w:space="0" w:color="auto"/>
        <w:right w:val="none" w:sz="0" w:space="0" w:color="auto"/>
      </w:divBdr>
    </w:div>
    <w:div w:id="1154759160">
      <w:bodyDiv w:val="1"/>
      <w:marLeft w:val="0"/>
      <w:marRight w:val="0"/>
      <w:marTop w:val="0"/>
      <w:marBottom w:val="0"/>
      <w:divBdr>
        <w:top w:val="none" w:sz="0" w:space="0" w:color="auto"/>
        <w:left w:val="none" w:sz="0" w:space="0" w:color="auto"/>
        <w:bottom w:val="none" w:sz="0" w:space="0" w:color="auto"/>
        <w:right w:val="none" w:sz="0" w:space="0" w:color="auto"/>
      </w:divBdr>
    </w:div>
    <w:div w:id="1161854222">
      <w:bodyDiv w:val="1"/>
      <w:marLeft w:val="0"/>
      <w:marRight w:val="0"/>
      <w:marTop w:val="0"/>
      <w:marBottom w:val="0"/>
      <w:divBdr>
        <w:top w:val="none" w:sz="0" w:space="0" w:color="auto"/>
        <w:left w:val="none" w:sz="0" w:space="0" w:color="auto"/>
        <w:bottom w:val="none" w:sz="0" w:space="0" w:color="auto"/>
        <w:right w:val="none" w:sz="0" w:space="0" w:color="auto"/>
      </w:divBdr>
    </w:div>
    <w:div w:id="1163545497">
      <w:bodyDiv w:val="1"/>
      <w:marLeft w:val="0"/>
      <w:marRight w:val="0"/>
      <w:marTop w:val="0"/>
      <w:marBottom w:val="0"/>
      <w:divBdr>
        <w:top w:val="none" w:sz="0" w:space="0" w:color="auto"/>
        <w:left w:val="none" w:sz="0" w:space="0" w:color="auto"/>
        <w:bottom w:val="none" w:sz="0" w:space="0" w:color="auto"/>
        <w:right w:val="none" w:sz="0" w:space="0" w:color="auto"/>
      </w:divBdr>
    </w:div>
    <w:div w:id="1169834707">
      <w:bodyDiv w:val="1"/>
      <w:marLeft w:val="0"/>
      <w:marRight w:val="0"/>
      <w:marTop w:val="0"/>
      <w:marBottom w:val="0"/>
      <w:divBdr>
        <w:top w:val="none" w:sz="0" w:space="0" w:color="auto"/>
        <w:left w:val="none" w:sz="0" w:space="0" w:color="auto"/>
        <w:bottom w:val="none" w:sz="0" w:space="0" w:color="auto"/>
        <w:right w:val="none" w:sz="0" w:space="0" w:color="auto"/>
      </w:divBdr>
    </w:div>
    <w:div w:id="1195776638">
      <w:bodyDiv w:val="1"/>
      <w:marLeft w:val="0"/>
      <w:marRight w:val="0"/>
      <w:marTop w:val="0"/>
      <w:marBottom w:val="0"/>
      <w:divBdr>
        <w:top w:val="none" w:sz="0" w:space="0" w:color="auto"/>
        <w:left w:val="none" w:sz="0" w:space="0" w:color="auto"/>
        <w:bottom w:val="none" w:sz="0" w:space="0" w:color="auto"/>
        <w:right w:val="none" w:sz="0" w:space="0" w:color="auto"/>
      </w:divBdr>
    </w:div>
    <w:div w:id="1214393456">
      <w:bodyDiv w:val="1"/>
      <w:marLeft w:val="0"/>
      <w:marRight w:val="0"/>
      <w:marTop w:val="0"/>
      <w:marBottom w:val="0"/>
      <w:divBdr>
        <w:top w:val="none" w:sz="0" w:space="0" w:color="auto"/>
        <w:left w:val="none" w:sz="0" w:space="0" w:color="auto"/>
        <w:bottom w:val="none" w:sz="0" w:space="0" w:color="auto"/>
        <w:right w:val="none" w:sz="0" w:space="0" w:color="auto"/>
      </w:divBdr>
    </w:div>
    <w:div w:id="1219972260">
      <w:bodyDiv w:val="1"/>
      <w:marLeft w:val="0"/>
      <w:marRight w:val="0"/>
      <w:marTop w:val="0"/>
      <w:marBottom w:val="0"/>
      <w:divBdr>
        <w:top w:val="none" w:sz="0" w:space="0" w:color="auto"/>
        <w:left w:val="none" w:sz="0" w:space="0" w:color="auto"/>
        <w:bottom w:val="none" w:sz="0" w:space="0" w:color="auto"/>
        <w:right w:val="none" w:sz="0" w:space="0" w:color="auto"/>
      </w:divBdr>
    </w:div>
    <w:div w:id="1222060243">
      <w:bodyDiv w:val="1"/>
      <w:marLeft w:val="0"/>
      <w:marRight w:val="0"/>
      <w:marTop w:val="0"/>
      <w:marBottom w:val="0"/>
      <w:divBdr>
        <w:top w:val="none" w:sz="0" w:space="0" w:color="auto"/>
        <w:left w:val="none" w:sz="0" w:space="0" w:color="auto"/>
        <w:bottom w:val="none" w:sz="0" w:space="0" w:color="auto"/>
        <w:right w:val="none" w:sz="0" w:space="0" w:color="auto"/>
      </w:divBdr>
    </w:div>
    <w:div w:id="1272861352">
      <w:bodyDiv w:val="1"/>
      <w:marLeft w:val="0"/>
      <w:marRight w:val="0"/>
      <w:marTop w:val="0"/>
      <w:marBottom w:val="0"/>
      <w:divBdr>
        <w:top w:val="none" w:sz="0" w:space="0" w:color="auto"/>
        <w:left w:val="none" w:sz="0" w:space="0" w:color="auto"/>
        <w:bottom w:val="none" w:sz="0" w:space="0" w:color="auto"/>
        <w:right w:val="none" w:sz="0" w:space="0" w:color="auto"/>
      </w:divBdr>
    </w:div>
    <w:div w:id="1309239260">
      <w:bodyDiv w:val="1"/>
      <w:marLeft w:val="0"/>
      <w:marRight w:val="0"/>
      <w:marTop w:val="0"/>
      <w:marBottom w:val="0"/>
      <w:divBdr>
        <w:top w:val="none" w:sz="0" w:space="0" w:color="auto"/>
        <w:left w:val="none" w:sz="0" w:space="0" w:color="auto"/>
        <w:bottom w:val="none" w:sz="0" w:space="0" w:color="auto"/>
        <w:right w:val="none" w:sz="0" w:space="0" w:color="auto"/>
      </w:divBdr>
    </w:div>
    <w:div w:id="1327440987">
      <w:bodyDiv w:val="1"/>
      <w:marLeft w:val="0"/>
      <w:marRight w:val="0"/>
      <w:marTop w:val="0"/>
      <w:marBottom w:val="0"/>
      <w:divBdr>
        <w:top w:val="none" w:sz="0" w:space="0" w:color="auto"/>
        <w:left w:val="none" w:sz="0" w:space="0" w:color="auto"/>
        <w:bottom w:val="none" w:sz="0" w:space="0" w:color="auto"/>
        <w:right w:val="none" w:sz="0" w:space="0" w:color="auto"/>
      </w:divBdr>
    </w:div>
    <w:div w:id="1338272255">
      <w:bodyDiv w:val="1"/>
      <w:marLeft w:val="0"/>
      <w:marRight w:val="0"/>
      <w:marTop w:val="0"/>
      <w:marBottom w:val="0"/>
      <w:divBdr>
        <w:top w:val="none" w:sz="0" w:space="0" w:color="auto"/>
        <w:left w:val="none" w:sz="0" w:space="0" w:color="auto"/>
        <w:bottom w:val="none" w:sz="0" w:space="0" w:color="auto"/>
        <w:right w:val="none" w:sz="0" w:space="0" w:color="auto"/>
      </w:divBdr>
    </w:div>
    <w:div w:id="1350569442">
      <w:bodyDiv w:val="1"/>
      <w:marLeft w:val="0"/>
      <w:marRight w:val="0"/>
      <w:marTop w:val="0"/>
      <w:marBottom w:val="0"/>
      <w:divBdr>
        <w:top w:val="none" w:sz="0" w:space="0" w:color="auto"/>
        <w:left w:val="none" w:sz="0" w:space="0" w:color="auto"/>
        <w:bottom w:val="none" w:sz="0" w:space="0" w:color="auto"/>
        <w:right w:val="none" w:sz="0" w:space="0" w:color="auto"/>
      </w:divBdr>
    </w:div>
    <w:div w:id="1374623251">
      <w:bodyDiv w:val="1"/>
      <w:marLeft w:val="0"/>
      <w:marRight w:val="0"/>
      <w:marTop w:val="0"/>
      <w:marBottom w:val="0"/>
      <w:divBdr>
        <w:top w:val="none" w:sz="0" w:space="0" w:color="auto"/>
        <w:left w:val="none" w:sz="0" w:space="0" w:color="auto"/>
        <w:bottom w:val="none" w:sz="0" w:space="0" w:color="auto"/>
        <w:right w:val="none" w:sz="0" w:space="0" w:color="auto"/>
      </w:divBdr>
    </w:div>
    <w:div w:id="1394505736">
      <w:bodyDiv w:val="1"/>
      <w:marLeft w:val="0"/>
      <w:marRight w:val="0"/>
      <w:marTop w:val="0"/>
      <w:marBottom w:val="0"/>
      <w:divBdr>
        <w:top w:val="none" w:sz="0" w:space="0" w:color="auto"/>
        <w:left w:val="none" w:sz="0" w:space="0" w:color="auto"/>
        <w:bottom w:val="none" w:sz="0" w:space="0" w:color="auto"/>
        <w:right w:val="none" w:sz="0" w:space="0" w:color="auto"/>
      </w:divBdr>
    </w:div>
    <w:div w:id="1402023537">
      <w:bodyDiv w:val="1"/>
      <w:marLeft w:val="0"/>
      <w:marRight w:val="0"/>
      <w:marTop w:val="0"/>
      <w:marBottom w:val="0"/>
      <w:divBdr>
        <w:top w:val="none" w:sz="0" w:space="0" w:color="auto"/>
        <w:left w:val="none" w:sz="0" w:space="0" w:color="auto"/>
        <w:bottom w:val="none" w:sz="0" w:space="0" w:color="auto"/>
        <w:right w:val="none" w:sz="0" w:space="0" w:color="auto"/>
      </w:divBdr>
    </w:div>
    <w:div w:id="1404796487">
      <w:bodyDiv w:val="1"/>
      <w:marLeft w:val="0"/>
      <w:marRight w:val="0"/>
      <w:marTop w:val="0"/>
      <w:marBottom w:val="0"/>
      <w:divBdr>
        <w:top w:val="none" w:sz="0" w:space="0" w:color="auto"/>
        <w:left w:val="none" w:sz="0" w:space="0" w:color="auto"/>
        <w:bottom w:val="none" w:sz="0" w:space="0" w:color="auto"/>
        <w:right w:val="none" w:sz="0" w:space="0" w:color="auto"/>
      </w:divBdr>
    </w:div>
    <w:div w:id="1425154574">
      <w:bodyDiv w:val="1"/>
      <w:marLeft w:val="0"/>
      <w:marRight w:val="0"/>
      <w:marTop w:val="0"/>
      <w:marBottom w:val="0"/>
      <w:divBdr>
        <w:top w:val="none" w:sz="0" w:space="0" w:color="auto"/>
        <w:left w:val="none" w:sz="0" w:space="0" w:color="auto"/>
        <w:bottom w:val="none" w:sz="0" w:space="0" w:color="auto"/>
        <w:right w:val="none" w:sz="0" w:space="0" w:color="auto"/>
      </w:divBdr>
    </w:div>
    <w:div w:id="1438986015">
      <w:bodyDiv w:val="1"/>
      <w:marLeft w:val="0"/>
      <w:marRight w:val="0"/>
      <w:marTop w:val="0"/>
      <w:marBottom w:val="0"/>
      <w:divBdr>
        <w:top w:val="none" w:sz="0" w:space="0" w:color="auto"/>
        <w:left w:val="none" w:sz="0" w:space="0" w:color="auto"/>
        <w:bottom w:val="none" w:sz="0" w:space="0" w:color="auto"/>
        <w:right w:val="none" w:sz="0" w:space="0" w:color="auto"/>
      </w:divBdr>
    </w:div>
    <w:div w:id="1450051950">
      <w:bodyDiv w:val="1"/>
      <w:marLeft w:val="0"/>
      <w:marRight w:val="0"/>
      <w:marTop w:val="0"/>
      <w:marBottom w:val="0"/>
      <w:divBdr>
        <w:top w:val="none" w:sz="0" w:space="0" w:color="auto"/>
        <w:left w:val="none" w:sz="0" w:space="0" w:color="auto"/>
        <w:bottom w:val="none" w:sz="0" w:space="0" w:color="auto"/>
        <w:right w:val="none" w:sz="0" w:space="0" w:color="auto"/>
      </w:divBdr>
    </w:div>
    <w:div w:id="1452361426">
      <w:bodyDiv w:val="1"/>
      <w:marLeft w:val="0"/>
      <w:marRight w:val="0"/>
      <w:marTop w:val="0"/>
      <w:marBottom w:val="0"/>
      <w:divBdr>
        <w:top w:val="none" w:sz="0" w:space="0" w:color="auto"/>
        <w:left w:val="none" w:sz="0" w:space="0" w:color="auto"/>
        <w:bottom w:val="none" w:sz="0" w:space="0" w:color="auto"/>
        <w:right w:val="none" w:sz="0" w:space="0" w:color="auto"/>
      </w:divBdr>
    </w:div>
    <w:div w:id="1461876761">
      <w:bodyDiv w:val="1"/>
      <w:marLeft w:val="0"/>
      <w:marRight w:val="0"/>
      <w:marTop w:val="0"/>
      <w:marBottom w:val="0"/>
      <w:divBdr>
        <w:top w:val="none" w:sz="0" w:space="0" w:color="auto"/>
        <w:left w:val="none" w:sz="0" w:space="0" w:color="auto"/>
        <w:bottom w:val="none" w:sz="0" w:space="0" w:color="auto"/>
        <w:right w:val="none" w:sz="0" w:space="0" w:color="auto"/>
      </w:divBdr>
    </w:div>
    <w:div w:id="1468086967">
      <w:bodyDiv w:val="1"/>
      <w:marLeft w:val="0"/>
      <w:marRight w:val="0"/>
      <w:marTop w:val="0"/>
      <w:marBottom w:val="0"/>
      <w:divBdr>
        <w:top w:val="none" w:sz="0" w:space="0" w:color="auto"/>
        <w:left w:val="none" w:sz="0" w:space="0" w:color="auto"/>
        <w:bottom w:val="none" w:sz="0" w:space="0" w:color="auto"/>
        <w:right w:val="none" w:sz="0" w:space="0" w:color="auto"/>
      </w:divBdr>
    </w:div>
    <w:div w:id="1480658654">
      <w:bodyDiv w:val="1"/>
      <w:marLeft w:val="0"/>
      <w:marRight w:val="0"/>
      <w:marTop w:val="0"/>
      <w:marBottom w:val="0"/>
      <w:divBdr>
        <w:top w:val="none" w:sz="0" w:space="0" w:color="auto"/>
        <w:left w:val="none" w:sz="0" w:space="0" w:color="auto"/>
        <w:bottom w:val="none" w:sz="0" w:space="0" w:color="auto"/>
        <w:right w:val="none" w:sz="0" w:space="0" w:color="auto"/>
      </w:divBdr>
    </w:div>
    <w:div w:id="1482695752">
      <w:bodyDiv w:val="1"/>
      <w:marLeft w:val="0"/>
      <w:marRight w:val="0"/>
      <w:marTop w:val="0"/>
      <w:marBottom w:val="0"/>
      <w:divBdr>
        <w:top w:val="none" w:sz="0" w:space="0" w:color="auto"/>
        <w:left w:val="none" w:sz="0" w:space="0" w:color="auto"/>
        <w:bottom w:val="none" w:sz="0" w:space="0" w:color="auto"/>
        <w:right w:val="none" w:sz="0" w:space="0" w:color="auto"/>
      </w:divBdr>
    </w:div>
    <w:div w:id="1492141419">
      <w:bodyDiv w:val="1"/>
      <w:marLeft w:val="0"/>
      <w:marRight w:val="0"/>
      <w:marTop w:val="0"/>
      <w:marBottom w:val="0"/>
      <w:divBdr>
        <w:top w:val="none" w:sz="0" w:space="0" w:color="auto"/>
        <w:left w:val="none" w:sz="0" w:space="0" w:color="auto"/>
        <w:bottom w:val="none" w:sz="0" w:space="0" w:color="auto"/>
        <w:right w:val="none" w:sz="0" w:space="0" w:color="auto"/>
      </w:divBdr>
    </w:div>
    <w:div w:id="1512405994">
      <w:bodyDiv w:val="1"/>
      <w:marLeft w:val="0"/>
      <w:marRight w:val="0"/>
      <w:marTop w:val="0"/>
      <w:marBottom w:val="0"/>
      <w:divBdr>
        <w:top w:val="none" w:sz="0" w:space="0" w:color="auto"/>
        <w:left w:val="none" w:sz="0" w:space="0" w:color="auto"/>
        <w:bottom w:val="none" w:sz="0" w:space="0" w:color="auto"/>
        <w:right w:val="none" w:sz="0" w:space="0" w:color="auto"/>
      </w:divBdr>
    </w:div>
    <w:div w:id="1512603500">
      <w:bodyDiv w:val="1"/>
      <w:marLeft w:val="0"/>
      <w:marRight w:val="0"/>
      <w:marTop w:val="0"/>
      <w:marBottom w:val="0"/>
      <w:divBdr>
        <w:top w:val="none" w:sz="0" w:space="0" w:color="auto"/>
        <w:left w:val="none" w:sz="0" w:space="0" w:color="auto"/>
        <w:bottom w:val="none" w:sz="0" w:space="0" w:color="auto"/>
        <w:right w:val="none" w:sz="0" w:space="0" w:color="auto"/>
      </w:divBdr>
    </w:div>
    <w:div w:id="1518690528">
      <w:bodyDiv w:val="1"/>
      <w:marLeft w:val="0"/>
      <w:marRight w:val="0"/>
      <w:marTop w:val="0"/>
      <w:marBottom w:val="0"/>
      <w:divBdr>
        <w:top w:val="none" w:sz="0" w:space="0" w:color="auto"/>
        <w:left w:val="none" w:sz="0" w:space="0" w:color="auto"/>
        <w:bottom w:val="none" w:sz="0" w:space="0" w:color="auto"/>
        <w:right w:val="none" w:sz="0" w:space="0" w:color="auto"/>
      </w:divBdr>
    </w:div>
    <w:div w:id="1543714739">
      <w:bodyDiv w:val="1"/>
      <w:marLeft w:val="0"/>
      <w:marRight w:val="0"/>
      <w:marTop w:val="0"/>
      <w:marBottom w:val="0"/>
      <w:divBdr>
        <w:top w:val="none" w:sz="0" w:space="0" w:color="auto"/>
        <w:left w:val="none" w:sz="0" w:space="0" w:color="auto"/>
        <w:bottom w:val="none" w:sz="0" w:space="0" w:color="auto"/>
        <w:right w:val="none" w:sz="0" w:space="0" w:color="auto"/>
      </w:divBdr>
    </w:div>
    <w:div w:id="1574776707">
      <w:bodyDiv w:val="1"/>
      <w:marLeft w:val="0"/>
      <w:marRight w:val="0"/>
      <w:marTop w:val="0"/>
      <w:marBottom w:val="0"/>
      <w:divBdr>
        <w:top w:val="none" w:sz="0" w:space="0" w:color="auto"/>
        <w:left w:val="none" w:sz="0" w:space="0" w:color="auto"/>
        <w:bottom w:val="none" w:sz="0" w:space="0" w:color="auto"/>
        <w:right w:val="none" w:sz="0" w:space="0" w:color="auto"/>
      </w:divBdr>
    </w:div>
    <w:div w:id="1582518203">
      <w:bodyDiv w:val="1"/>
      <w:marLeft w:val="0"/>
      <w:marRight w:val="0"/>
      <w:marTop w:val="0"/>
      <w:marBottom w:val="0"/>
      <w:divBdr>
        <w:top w:val="none" w:sz="0" w:space="0" w:color="auto"/>
        <w:left w:val="none" w:sz="0" w:space="0" w:color="auto"/>
        <w:bottom w:val="none" w:sz="0" w:space="0" w:color="auto"/>
        <w:right w:val="none" w:sz="0" w:space="0" w:color="auto"/>
      </w:divBdr>
    </w:div>
    <w:div w:id="1602687862">
      <w:bodyDiv w:val="1"/>
      <w:marLeft w:val="0"/>
      <w:marRight w:val="0"/>
      <w:marTop w:val="0"/>
      <w:marBottom w:val="0"/>
      <w:divBdr>
        <w:top w:val="none" w:sz="0" w:space="0" w:color="auto"/>
        <w:left w:val="none" w:sz="0" w:space="0" w:color="auto"/>
        <w:bottom w:val="none" w:sz="0" w:space="0" w:color="auto"/>
        <w:right w:val="none" w:sz="0" w:space="0" w:color="auto"/>
      </w:divBdr>
    </w:div>
    <w:div w:id="1610971926">
      <w:bodyDiv w:val="1"/>
      <w:marLeft w:val="0"/>
      <w:marRight w:val="0"/>
      <w:marTop w:val="0"/>
      <w:marBottom w:val="0"/>
      <w:divBdr>
        <w:top w:val="none" w:sz="0" w:space="0" w:color="auto"/>
        <w:left w:val="none" w:sz="0" w:space="0" w:color="auto"/>
        <w:bottom w:val="none" w:sz="0" w:space="0" w:color="auto"/>
        <w:right w:val="none" w:sz="0" w:space="0" w:color="auto"/>
      </w:divBdr>
    </w:div>
    <w:div w:id="1640695032">
      <w:bodyDiv w:val="1"/>
      <w:marLeft w:val="0"/>
      <w:marRight w:val="0"/>
      <w:marTop w:val="0"/>
      <w:marBottom w:val="0"/>
      <w:divBdr>
        <w:top w:val="none" w:sz="0" w:space="0" w:color="auto"/>
        <w:left w:val="none" w:sz="0" w:space="0" w:color="auto"/>
        <w:bottom w:val="none" w:sz="0" w:space="0" w:color="auto"/>
        <w:right w:val="none" w:sz="0" w:space="0" w:color="auto"/>
      </w:divBdr>
    </w:div>
    <w:div w:id="1649435305">
      <w:bodyDiv w:val="1"/>
      <w:marLeft w:val="0"/>
      <w:marRight w:val="0"/>
      <w:marTop w:val="0"/>
      <w:marBottom w:val="0"/>
      <w:divBdr>
        <w:top w:val="none" w:sz="0" w:space="0" w:color="auto"/>
        <w:left w:val="none" w:sz="0" w:space="0" w:color="auto"/>
        <w:bottom w:val="none" w:sz="0" w:space="0" w:color="auto"/>
        <w:right w:val="none" w:sz="0" w:space="0" w:color="auto"/>
      </w:divBdr>
    </w:div>
    <w:div w:id="1649702469">
      <w:bodyDiv w:val="1"/>
      <w:marLeft w:val="0"/>
      <w:marRight w:val="0"/>
      <w:marTop w:val="0"/>
      <w:marBottom w:val="0"/>
      <w:divBdr>
        <w:top w:val="none" w:sz="0" w:space="0" w:color="auto"/>
        <w:left w:val="none" w:sz="0" w:space="0" w:color="auto"/>
        <w:bottom w:val="none" w:sz="0" w:space="0" w:color="auto"/>
        <w:right w:val="none" w:sz="0" w:space="0" w:color="auto"/>
      </w:divBdr>
    </w:div>
    <w:div w:id="1656256338">
      <w:bodyDiv w:val="1"/>
      <w:marLeft w:val="0"/>
      <w:marRight w:val="0"/>
      <w:marTop w:val="0"/>
      <w:marBottom w:val="0"/>
      <w:divBdr>
        <w:top w:val="none" w:sz="0" w:space="0" w:color="auto"/>
        <w:left w:val="none" w:sz="0" w:space="0" w:color="auto"/>
        <w:bottom w:val="none" w:sz="0" w:space="0" w:color="auto"/>
        <w:right w:val="none" w:sz="0" w:space="0" w:color="auto"/>
      </w:divBdr>
    </w:div>
    <w:div w:id="1656952239">
      <w:bodyDiv w:val="1"/>
      <w:marLeft w:val="0"/>
      <w:marRight w:val="0"/>
      <w:marTop w:val="0"/>
      <w:marBottom w:val="0"/>
      <w:divBdr>
        <w:top w:val="none" w:sz="0" w:space="0" w:color="auto"/>
        <w:left w:val="none" w:sz="0" w:space="0" w:color="auto"/>
        <w:bottom w:val="none" w:sz="0" w:space="0" w:color="auto"/>
        <w:right w:val="none" w:sz="0" w:space="0" w:color="auto"/>
      </w:divBdr>
    </w:div>
    <w:div w:id="1680692810">
      <w:bodyDiv w:val="1"/>
      <w:marLeft w:val="0"/>
      <w:marRight w:val="0"/>
      <w:marTop w:val="0"/>
      <w:marBottom w:val="0"/>
      <w:divBdr>
        <w:top w:val="none" w:sz="0" w:space="0" w:color="auto"/>
        <w:left w:val="none" w:sz="0" w:space="0" w:color="auto"/>
        <w:bottom w:val="none" w:sz="0" w:space="0" w:color="auto"/>
        <w:right w:val="none" w:sz="0" w:space="0" w:color="auto"/>
      </w:divBdr>
    </w:div>
    <w:div w:id="1687294139">
      <w:bodyDiv w:val="1"/>
      <w:marLeft w:val="0"/>
      <w:marRight w:val="0"/>
      <w:marTop w:val="0"/>
      <w:marBottom w:val="0"/>
      <w:divBdr>
        <w:top w:val="none" w:sz="0" w:space="0" w:color="auto"/>
        <w:left w:val="none" w:sz="0" w:space="0" w:color="auto"/>
        <w:bottom w:val="none" w:sz="0" w:space="0" w:color="auto"/>
        <w:right w:val="none" w:sz="0" w:space="0" w:color="auto"/>
      </w:divBdr>
    </w:div>
    <w:div w:id="1692947657">
      <w:bodyDiv w:val="1"/>
      <w:marLeft w:val="0"/>
      <w:marRight w:val="0"/>
      <w:marTop w:val="0"/>
      <w:marBottom w:val="0"/>
      <w:divBdr>
        <w:top w:val="none" w:sz="0" w:space="0" w:color="auto"/>
        <w:left w:val="none" w:sz="0" w:space="0" w:color="auto"/>
        <w:bottom w:val="none" w:sz="0" w:space="0" w:color="auto"/>
        <w:right w:val="none" w:sz="0" w:space="0" w:color="auto"/>
      </w:divBdr>
    </w:div>
    <w:div w:id="1694769276">
      <w:bodyDiv w:val="1"/>
      <w:marLeft w:val="0"/>
      <w:marRight w:val="0"/>
      <w:marTop w:val="0"/>
      <w:marBottom w:val="0"/>
      <w:divBdr>
        <w:top w:val="none" w:sz="0" w:space="0" w:color="auto"/>
        <w:left w:val="none" w:sz="0" w:space="0" w:color="auto"/>
        <w:bottom w:val="none" w:sz="0" w:space="0" w:color="auto"/>
        <w:right w:val="none" w:sz="0" w:space="0" w:color="auto"/>
      </w:divBdr>
    </w:div>
    <w:div w:id="1700273557">
      <w:bodyDiv w:val="1"/>
      <w:marLeft w:val="0"/>
      <w:marRight w:val="0"/>
      <w:marTop w:val="0"/>
      <w:marBottom w:val="0"/>
      <w:divBdr>
        <w:top w:val="none" w:sz="0" w:space="0" w:color="auto"/>
        <w:left w:val="none" w:sz="0" w:space="0" w:color="auto"/>
        <w:bottom w:val="none" w:sz="0" w:space="0" w:color="auto"/>
        <w:right w:val="none" w:sz="0" w:space="0" w:color="auto"/>
      </w:divBdr>
    </w:div>
    <w:div w:id="1729835609">
      <w:bodyDiv w:val="1"/>
      <w:marLeft w:val="0"/>
      <w:marRight w:val="0"/>
      <w:marTop w:val="0"/>
      <w:marBottom w:val="0"/>
      <w:divBdr>
        <w:top w:val="none" w:sz="0" w:space="0" w:color="auto"/>
        <w:left w:val="none" w:sz="0" w:space="0" w:color="auto"/>
        <w:bottom w:val="none" w:sz="0" w:space="0" w:color="auto"/>
        <w:right w:val="none" w:sz="0" w:space="0" w:color="auto"/>
      </w:divBdr>
    </w:div>
    <w:div w:id="1738742965">
      <w:bodyDiv w:val="1"/>
      <w:marLeft w:val="0"/>
      <w:marRight w:val="0"/>
      <w:marTop w:val="0"/>
      <w:marBottom w:val="0"/>
      <w:divBdr>
        <w:top w:val="none" w:sz="0" w:space="0" w:color="auto"/>
        <w:left w:val="none" w:sz="0" w:space="0" w:color="auto"/>
        <w:bottom w:val="none" w:sz="0" w:space="0" w:color="auto"/>
        <w:right w:val="none" w:sz="0" w:space="0" w:color="auto"/>
      </w:divBdr>
    </w:div>
    <w:div w:id="1745637596">
      <w:bodyDiv w:val="1"/>
      <w:marLeft w:val="0"/>
      <w:marRight w:val="0"/>
      <w:marTop w:val="0"/>
      <w:marBottom w:val="0"/>
      <w:divBdr>
        <w:top w:val="none" w:sz="0" w:space="0" w:color="auto"/>
        <w:left w:val="none" w:sz="0" w:space="0" w:color="auto"/>
        <w:bottom w:val="none" w:sz="0" w:space="0" w:color="auto"/>
        <w:right w:val="none" w:sz="0" w:space="0" w:color="auto"/>
      </w:divBdr>
    </w:div>
    <w:div w:id="1776637366">
      <w:bodyDiv w:val="1"/>
      <w:marLeft w:val="0"/>
      <w:marRight w:val="0"/>
      <w:marTop w:val="0"/>
      <w:marBottom w:val="0"/>
      <w:divBdr>
        <w:top w:val="none" w:sz="0" w:space="0" w:color="auto"/>
        <w:left w:val="none" w:sz="0" w:space="0" w:color="auto"/>
        <w:bottom w:val="none" w:sz="0" w:space="0" w:color="auto"/>
        <w:right w:val="none" w:sz="0" w:space="0" w:color="auto"/>
      </w:divBdr>
    </w:div>
    <w:div w:id="1782142797">
      <w:bodyDiv w:val="1"/>
      <w:marLeft w:val="0"/>
      <w:marRight w:val="0"/>
      <w:marTop w:val="0"/>
      <w:marBottom w:val="0"/>
      <w:divBdr>
        <w:top w:val="none" w:sz="0" w:space="0" w:color="auto"/>
        <w:left w:val="none" w:sz="0" w:space="0" w:color="auto"/>
        <w:bottom w:val="none" w:sz="0" w:space="0" w:color="auto"/>
        <w:right w:val="none" w:sz="0" w:space="0" w:color="auto"/>
      </w:divBdr>
    </w:div>
    <w:div w:id="1808623934">
      <w:bodyDiv w:val="1"/>
      <w:marLeft w:val="0"/>
      <w:marRight w:val="0"/>
      <w:marTop w:val="0"/>
      <w:marBottom w:val="0"/>
      <w:divBdr>
        <w:top w:val="none" w:sz="0" w:space="0" w:color="auto"/>
        <w:left w:val="none" w:sz="0" w:space="0" w:color="auto"/>
        <w:bottom w:val="none" w:sz="0" w:space="0" w:color="auto"/>
        <w:right w:val="none" w:sz="0" w:space="0" w:color="auto"/>
      </w:divBdr>
    </w:div>
    <w:div w:id="1835994144">
      <w:bodyDiv w:val="1"/>
      <w:marLeft w:val="0"/>
      <w:marRight w:val="0"/>
      <w:marTop w:val="0"/>
      <w:marBottom w:val="0"/>
      <w:divBdr>
        <w:top w:val="none" w:sz="0" w:space="0" w:color="auto"/>
        <w:left w:val="none" w:sz="0" w:space="0" w:color="auto"/>
        <w:bottom w:val="none" w:sz="0" w:space="0" w:color="auto"/>
        <w:right w:val="none" w:sz="0" w:space="0" w:color="auto"/>
      </w:divBdr>
    </w:div>
    <w:div w:id="1842768782">
      <w:bodyDiv w:val="1"/>
      <w:marLeft w:val="0"/>
      <w:marRight w:val="0"/>
      <w:marTop w:val="0"/>
      <w:marBottom w:val="0"/>
      <w:divBdr>
        <w:top w:val="none" w:sz="0" w:space="0" w:color="auto"/>
        <w:left w:val="none" w:sz="0" w:space="0" w:color="auto"/>
        <w:bottom w:val="none" w:sz="0" w:space="0" w:color="auto"/>
        <w:right w:val="none" w:sz="0" w:space="0" w:color="auto"/>
      </w:divBdr>
    </w:div>
    <w:div w:id="1958679444">
      <w:bodyDiv w:val="1"/>
      <w:marLeft w:val="0"/>
      <w:marRight w:val="0"/>
      <w:marTop w:val="0"/>
      <w:marBottom w:val="0"/>
      <w:divBdr>
        <w:top w:val="none" w:sz="0" w:space="0" w:color="auto"/>
        <w:left w:val="none" w:sz="0" w:space="0" w:color="auto"/>
        <w:bottom w:val="none" w:sz="0" w:space="0" w:color="auto"/>
        <w:right w:val="none" w:sz="0" w:space="0" w:color="auto"/>
      </w:divBdr>
    </w:div>
    <w:div w:id="1990860506">
      <w:bodyDiv w:val="1"/>
      <w:marLeft w:val="0"/>
      <w:marRight w:val="0"/>
      <w:marTop w:val="0"/>
      <w:marBottom w:val="0"/>
      <w:divBdr>
        <w:top w:val="none" w:sz="0" w:space="0" w:color="auto"/>
        <w:left w:val="none" w:sz="0" w:space="0" w:color="auto"/>
        <w:bottom w:val="none" w:sz="0" w:space="0" w:color="auto"/>
        <w:right w:val="none" w:sz="0" w:space="0" w:color="auto"/>
      </w:divBdr>
    </w:div>
    <w:div w:id="2010517897">
      <w:bodyDiv w:val="1"/>
      <w:marLeft w:val="0"/>
      <w:marRight w:val="0"/>
      <w:marTop w:val="0"/>
      <w:marBottom w:val="0"/>
      <w:divBdr>
        <w:top w:val="none" w:sz="0" w:space="0" w:color="auto"/>
        <w:left w:val="none" w:sz="0" w:space="0" w:color="auto"/>
        <w:bottom w:val="none" w:sz="0" w:space="0" w:color="auto"/>
        <w:right w:val="none" w:sz="0" w:space="0" w:color="auto"/>
      </w:divBdr>
    </w:div>
    <w:div w:id="2053726300">
      <w:bodyDiv w:val="1"/>
      <w:marLeft w:val="0"/>
      <w:marRight w:val="0"/>
      <w:marTop w:val="0"/>
      <w:marBottom w:val="0"/>
      <w:divBdr>
        <w:top w:val="none" w:sz="0" w:space="0" w:color="auto"/>
        <w:left w:val="none" w:sz="0" w:space="0" w:color="auto"/>
        <w:bottom w:val="none" w:sz="0" w:space="0" w:color="auto"/>
        <w:right w:val="none" w:sz="0" w:space="0" w:color="auto"/>
      </w:divBdr>
    </w:div>
    <w:div w:id="2069262735">
      <w:bodyDiv w:val="1"/>
      <w:marLeft w:val="0"/>
      <w:marRight w:val="0"/>
      <w:marTop w:val="0"/>
      <w:marBottom w:val="0"/>
      <w:divBdr>
        <w:top w:val="none" w:sz="0" w:space="0" w:color="auto"/>
        <w:left w:val="none" w:sz="0" w:space="0" w:color="auto"/>
        <w:bottom w:val="none" w:sz="0" w:space="0" w:color="auto"/>
        <w:right w:val="none" w:sz="0" w:space="0" w:color="auto"/>
      </w:divBdr>
    </w:div>
    <w:div w:id="2070688347">
      <w:bodyDiv w:val="1"/>
      <w:marLeft w:val="0"/>
      <w:marRight w:val="0"/>
      <w:marTop w:val="0"/>
      <w:marBottom w:val="0"/>
      <w:divBdr>
        <w:top w:val="none" w:sz="0" w:space="0" w:color="auto"/>
        <w:left w:val="none" w:sz="0" w:space="0" w:color="auto"/>
        <w:bottom w:val="none" w:sz="0" w:space="0" w:color="auto"/>
        <w:right w:val="none" w:sz="0" w:space="0" w:color="auto"/>
      </w:divBdr>
    </w:div>
    <w:div w:id="2098597891">
      <w:bodyDiv w:val="1"/>
      <w:marLeft w:val="0"/>
      <w:marRight w:val="0"/>
      <w:marTop w:val="0"/>
      <w:marBottom w:val="0"/>
      <w:divBdr>
        <w:top w:val="none" w:sz="0" w:space="0" w:color="auto"/>
        <w:left w:val="none" w:sz="0" w:space="0" w:color="auto"/>
        <w:bottom w:val="none" w:sz="0" w:space="0" w:color="auto"/>
        <w:right w:val="none" w:sz="0" w:space="0" w:color="auto"/>
      </w:divBdr>
    </w:div>
    <w:div w:id="2107069021">
      <w:bodyDiv w:val="1"/>
      <w:marLeft w:val="0"/>
      <w:marRight w:val="0"/>
      <w:marTop w:val="0"/>
      <w:marBottom w:val="0"/>
      <w:divBdr>
        <w:top w:val="none" w:sz="0" w:space="0" w:color="auto"/>
        <w:left w:val="none" w:sz="0" w:space="0" w:color="auto"/>
        <w:bottom w:val="none" w:sz="0" w:space="0" w:color="auto"/>
        <w:right w:val="none" w:sz="0" w:space="0" w:color="auto"/>
      </w:divBdr>
    </w:div>
    <w:div w:id="2127769506">
      <w:bodyDiv w:val="1"/>
      <w:marLeft w:val="0"/>
      <w:marRight w:val="0"/>
      <w:marTop w:val="0"/>
      <w:marBottom w:val="0"/>
      <w:divBdr>
        <w:top w:val="none" w:sz="0" w:space="0" w:color="auto"/>
        <w:left w:val="none" w:sz="0" w:space="0" w:color="auto"/>
        <w:bottom w:val="none" w:sz="0" w:space="0" w:color="auto"/>
        <w:right w:val="none" w:sz="0" w:space="0" w:color="auto"/>
      </w:divBdr>
    </w:div>
    <w:div w:id="2140100829">
      <w:bodyDiv w:val="1"/>
      <w:marLeft w:val="0"/>
      <w:marRight w:val="0"/>
      <w:marTop w:val="0"/>
      <w:marBottom w:val="0"/>
      <w:divBdr>
        <w:top w:val="none" w:sz="0" w:space="0" w:color="auto"/>
        <w:left w:val="none" w:sz="0" w:space="0" w:color="auto"/>
        <w:bottom w:val="none" w:sz="0" w:space="0" w:color="auto"/>
        <w:right w:val="none" w:sz="0" w:space="0" w:color="auto"/>
      </w:divBdr>
    </w:div>
    <w:div w:id="2142185074">
      <w:bodyDiv w:val="1"/>
      <w:marLeft w:val="0"/>
      <w:marRight w:val="0"/>
      <w:marTop w:val="0"/>
      <w:marBottom w:val="0"/>
      <w:divBdr>
        <w:top w:val="none" w:sz="0" w:space="0" w:color="auto"/>
        <w:left w:val="none" w:sz="0" w:space="0" w:color="auto"/>
        <w:bottom w:val="none" w:sz="0" w:space="0" w:color="auto"/>
        <w:right w:val="none" w:sz="0" w:space="0" w:color="auto"/>
      </w:divBdr>
    </w:div>
    <w:div w:id="214283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5.xm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66" Type="http://schemas.openxmlformats.org/officeDocument/2006/relationships/chart" Target="charts/chart58.xml"/><Relationship Id="rId5" Type="http://schemas.openxmlformats.org/officeDocument/2006/relationships/webSettings" Target="webSettings.xml"/><Relationship Id="rId61" Type="http://schemas.openxmlformats.org/officeDocument/2006/relationships/chart" Target="charts/chart53.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chart" Target="charts/chart43.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s>
</file>

<file path=word/_rels/footnotes.xml.rels><?xml version="1.0" encoding="UTF-8" standalone="yes"?>
<Relationships xmlns="http://schemas.openxmlformats.org/package/2006/relationships"><Relationship Id="rId8" Type="http://schemas.openxmlformats.org/officeDocument/2006/relationships/hyperlink" Target="https://www.imf.org/en/Publications/WEO/Issues/2019/10/01/world-economic-outlook-october-2019" TargetMode="External"/><Relationship Id="rId3" Type="http://schemas.openxmlformats.org/officeDocument/2006/relationships/hyperlink" Target="https://ec.europa.eu/eurostat/" TargetMode="External"/><Relationship Id="rId7" Type="http://schemas.openxmlformats.org/officeDocument/2006/relationships/hyperlink" Target="https://www.fao.org/worldfoodsituation/foodpricesindex/en/" TargetMode="External"/><Relationship Id="rId2" Type="http://schemas.openxmlformats.org/officeDocument/2006/relationships/hyperlink" Target="https://www.bea.gov/" TargetMode="External"/><Relationship Id="rId1" Type="http://schemas.openxmlformats.org/officeDocument/2006/relationships/hyperlink" Target="https://www.pmi.spglobal.com/Public/Release/PressReleases?language=en" TargetMode="External"/><Relationship Id="rId6" Type="http://schemas.openxmlformats.org/officeDocument/2006/relationships/hyperlink" Target="https://www.worldbank.org/en/research/commodity-markets" TargetMode="External"/><Relationship Id="rId5" Type="http://schemas.openxmlformats.org/officeDocument/2006/relationships/hyperlink" Target="https://economy.gov.ru/" TargetMode="External"/><Relationship Id="rId4" Type="http://schemas.openxmlformats.org/officeDocument/2006/relationships/hyperlink" Target="http://www.stats.gov.cn/"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9.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10.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35.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oleObject" Target="file:///\\172.20.215.254\Share\macroeconomic\Share\Narine\2023\BUDGET_2024\FAN%20CHART\FanChart_19.09.2023.xlsx" TargetMode="External"/><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7.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8.xml"/></Relationships>
</file>

<file path=word/charts/_rels/chart54.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52.xlsx"/><Relationship Id="rId1" Type="http://schemas.openxmlformats.org/officeDocument/2006/relationships/themeOverride" Target="../theme/themeOverride52.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20.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21.xml"/></Relationships>
</file>

<file path=word/charts/_rels/chart57.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55.xlsx"/><Relationship Id="rId1" Type="http://schemas.openxmlformats.org/officeDocument/2006/relationships/themeOverride" Target="../theme/themeOverride53.xml"/></Relationships>
</file>

<file path=word/charts/_rels/chart58.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56.xlsx"/><Relationship Id="rId1" Type="http://schemas.openxmlformats.org/officeDocument/2006/relationships/themeOverride" Target="../theme/themeOverride54.xml"/></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499309150838173E-2"/>
          <c:y val="8.4424218938620815E-2"/>
          <c:w val="0.89927386003456078"/>
          <c:h val="0.51062389341830616"/>
        </c:manualLayout>
      </c:layout>
      <c:lineChart>
        <c:grouping val="standard"/>
        <c:varyColors val="0"/>
        <c:ser>
          <c:idx val="3"/>
          <c:order val="0"/>
          <c:tx>
            <c:strRef>
              <c:f>Sheet1!$C$1</c:f>
              <c:strCache>
                <c:ptCount val="1"/>
                <c:pt idx="0">
                  <c:v>ԱՄՆ</c:v>
                </c:pt>
              </c:strCache>
            </c:strRef>
          </c:tx>
          <c:spPr>
            <a:ln w="25400">
              <a:solidFill>
                <a:srgbClr val="4472C4">
                  <a:lumMod val="50000"/>
                </a:srgbClr>
              </a:solidFill>
            </a:ln>
          </c:spPr>
          <c:marker>
            <c:symbol val="none"/>
          </c:marker>
          <c:dLbls>
            <c:dLbl>
              <c:idx val="17"/>
              <c:layout>
                <c:manualLayout>
                  <c:x val="-3.9580613920586131E-4"/>
                  <c:y val="-7.1245539038359701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457-40D6-BDC4-474AD3EC9C9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Sheet1!$A$6:$B$23</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Sheet1!$C$6:$C$23</c:f>
              <c:numCache>
                <c:formatCode>0.0</c:formatCode>
                <c:ptCount val="18"/>
                <c:pt idx="0">
                  <c:v>2.160228109000002</c:v>
                </c:pt>
                <c:pt idx="1">
                  <c:v>2.1355406160000001</c:v>
                </c:pt>
                <c:pt idx="2">
                  <c:v>2.3058278649999977</c:v>
                </c:pt>
                <c:pt idx="3" formatCode="General">
                  <c:v>2.6</c:v>
                </c:pt>
                <c:pt idx="4" formatCode="General">
                  <c:v>0.8</c:v>
                </c:pt>
                <c:pt idx="5">
                  <c:v>-8.4</c:v>
                </c:pt>
                <c:pt idx="6" formatCode="General">
                  <c:v>-2</c:v>
                </c:pt>
                <c:pt idx="7" formatCode="General">
                  <c:v>-1.5</c:v>
                </c:pt>
                <c:pt idx="8" formatCode="General">
                  <c:v>1.2</c:v>
                </c:pt>
                <c:pt idx="9" formatCode="General">
                  <c:v>12.5</c:v>
                </c:pt>
                <c:pt idx="10">
                  <c:v>5</c:v>
                </c:pt>
                <c:pt idx="11" formatCode="General">
                  <c:v>5.7</c:v>
                </c:pt>
                <c:pt idx="12" formatCode="General">
                  <c:v>3.7</c:v>
                </c:pt>
                <c:pt idx="13" formatCode="General">
                  <c:v>1.8</c:v>
                </c:pt>
                <c:pt idx="14" formatCode="General">
                  <c:v>1.9</c:v>
                </c:pt>
                <c:pt idx="15" formatCode="General">
                  <c:v>0.9</c:v>
                </c:pt>
                <c:pt idx="16" formatCode="General">
                  <c:v>1.8</c:v>
                </c:pt>
                <c:pt idx="17" formatCode="General">
                  <c:v>2.6</c:v>
                </c:pt>
              </c:numCache>
            </c:numRef>
          </c:val>
          <c:smooth val="0"/>
          <c:extLst>
            <c:ext xmlns:c16="http://schemas.microsoft.com/office/drawing/2014/chart" uri="{C3380CC4-5D6E-409C-BE32-E72D297353CC}">
              <c16:uniqueId val="{00000001-D457-40D6-BDC4-474AD3EC9C9B}"/>
            </c:ext>
          </c:extLst>
        </c:ser>
        <c:ser>
          <c:idx val="0"/>
          <c:order val="1"/>
          <c:tx>
            <c:strRef>
              <c:f>Sheet1!$D$1</c:f>
              <c:strCache>
                <c:ptCount val="1"/>
                <c:pt idx="0">
                  <c:v>ԵԳ</c:v>
                </c:pt>
              </c:strCache>
            </c:strRef>
          </c:tx>
          <c:spPr>
            <a:ln w="25400">
              <a:solidFill>
                <a:srgbClr val="4472C4"/>
              </a:solidFill>
            </a:ln>
          </c:spPr>
          <c:marker>
            <c:symbol val="none"/>
          </c:marker>
          <c:dLbls>
            <c:dLbl>
              <c:idx val="17"/>
              <c:layout>
                <c:manualLayout>
                  <c:x val="-1.4653248557834014E-3"/>
                  <c:y val="3.9255245117034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457-40D6-BDC4-474AD3EC9C9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Sheet1!$A$6:$B$23</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Sheet1!$D$6:$D$23</c:f>
              <c:numCache>
                <c:formatCode>0.0</c:formatCode>
                <c:ptCount val="18"/>
                <c:pt idx="0">
                  <c:v>1.8339175689999934</c:v>
                </c:pt>
                <c:pt idx="1">
                  <c:v>1.6053524080000017</c:v>
                </c:pt>
                <c:pt idx="2">
                  <c:v>1.8072755080000036</c:v>
                </c:pt>
                <c:pt idx="3" formatCode="General">
                  <c:v>1.2</c:v>
                </c:pt>
                <c:pt idx="4" formatCode="General">
                  <c:v>-2.8</c:v>
                </c:pt>
                <c:pt idx="5">
                  <c:v>-14.2</c:v>
                </c:pt>
                <c:pt idx="6" formatCode="General">
                  <c:v>-3.8</c:v>
                </c:pt>
                <c:pt idx="7" formatCode="General">
                  <c:v>-4.0999999999999996</c:v>
                </c:pt>
                <c:pt idx="8" formatCode="General">
                  <c:v>-0.8</c:v>
                </c:pt>
                <c:pt idx="9" formatCode="General">
                  <c:v>14.2</c:v>
                </c:pt>
                <c:pt idx="10" formatCode="General">
                  <c:v>4</c:v>
                </c:pt>
                <c:pt idx="11" formatCode="General">
                  <c:v>4.8</c:v>
                </c:pt>
                <c:pt idx="12" formatCode="General">
                  <c:v>5.5</c:v>
                </c:pt>
                <c:pt idx="13" formatCode="General">
                  <c:v>4.4000000000000004</c:v>
                </c:pt>
                <c:pt idx="14" formatCode="General">
                  <c:v>2.4</c:v>
                </c:pt>
                <c:pt idx="15" formatCode="General">
                  <c:v>1.8</c:v>
                </c:pt>
                <c:pt idx="16" formatCode="General">
                  <c:v>1.1000000000000001</c:v>
                </c:pt>
                <c:pt idx="17" formatCode="General">
                  <c:v>0.5</c:v>
                </c:pt>
              </c:numCache>
            </c:numRef>
          </c:val>
          <c:smooth val="0"/>
          <c:extLst>
            <c:ext xmlns:c16="http://schemas.microsoft.com/office/drawing/2014/chart" uri="{C3380CC4-5D6E-409C-BE32-E72D297353CC}">
              <c16:uniqueId val="{00000003-D457-40D6-BDC4-474AD3EC9C9B}"/>
            </c:ext>
          </c:extLst>
        </c:ser>
        <c:ser>
          <c:idx val="1"/>
          <c:order val="2"/>
          <c:tx>
            <c:strRef>
              <c:f>Sheet1!$E$1</c:f>
              <c:strCache>
                <c:ptCount val="1"/>
                <c:pt idx="0">
                  <c:v>Չինաստան</c:v>
                </c:pt>
              </c:strCache>
            </c:strRef>
          </c:tx>
          <c:spPr>
            <a:ln w="25400">
              <a:solidFill>
                <a:sysClr val="window" lastClr="FFFFFF">
                  <a:lumMod val="50000"/>
                </a:sysClr>
              </a:solidFill>
            </a:ln>
          </c:spPr>
          <c:marker>
            <c:symbol val="none"/>
          </c:marker>
          <c:dLbls>
            <c:dLbl>
              <c:idx val="17"/>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457-40D6-BDC4-474AD3EC9C9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Sheet1!$A$6:$B$23</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Sheet1!$E$6:$E$23</c:f>
              <c:numCache>
                <c:formatCode>0.0</c:formatCode>
                <c:ptCount val="18"/>
                <c:pt idx="0">
                  <c:v>6.2999999999999972</c:v>
                </c:pt>
                <c:pt idx="1">
                  <c:v>6</c:v>
                </c:pt>
                <c:pt idx="2">
                  <c:v>5.9000000000000057</c:v>
                </c:pt>
                <c:pt idx="3" formatCode="General">
                  <c:v>5.8</c:v>
                </c:pt>
                <c:pt idx="4" formatCode="General">
                  <c:v>-6.8</c:v>
                </c:pt>
                <c:pt idx="5" formatCode="General">
                  <c:v>3.2</c:v>
                </c:pt>
                <c:pt idx="6">
                  <c:v>4.9000000000000004</c:v>
                </c:pt>
                <c:pt idx="7" formatCode="General">
                  <c:v>6.5</c:v>
                </c:pt>
                <c:pt idx="8" formatCode="General">
                  <c:v>18.3</c:v>
                </c:pt>
                <c:pt idx="9" formatCode="General">
                  <c:v>7.9</c:v>
                </c:pt>
                <c:pt idx="10" formatCode="General">
                  <c:v>4.9000000000000004</c:v>
                </c:pt>
                <c:pt idx="11" formatCode="General">
                  <c:v>4</c:v>
                </c:pt>
                <c:pt idx="12" formatCode="General">
                  <c:v>4.8</c:v>
                </c:pt>
                <c:pt idx="13" formatCode="General">
                  <c:v>0.4</c:v>
                </c:pt>
                <c:pt idx="14" formatCode="General">
                  <c:v>3.9</c:v>
                </c:pt>
                <c:pt idx="15" formatCode="General">
                  <c:v>2.9</c:v>
                </c:pt>
                <c:pt idx="16" formatCode="General">
                  <c:v>4.5</c:v>
                </c:pt>
                <c:pt idx="17" formatCode="General">
                  <c:v>6.3</c:v>
                </c:pt>
              </c:numCache>
            </c:numRef>
          </c:val>
          <c:smooth val="0"/>
          <c:extLst>
            <c:ext xmlns:c16="http://schemas.microsoft.com/office/drawing/2014/chart" uri="{C3380CC4-5D6E-409C-BE32-E72D297353CC}">
              <c16:uniqueId val="{00000005-D457-40D6-BDC4-474AD3EC9C9B}"/>
            </c:ext>
          </c:extLst>
        </c:ser>
        <c:ser>
          <c:idx val="2"/>
          <c:order val="3"/>
          <c:tx>
            <c:strRef>
              <c:f>Sheet1!$F$1</c:f>
              <c:strCache>
                <c:ptCount val="1"/>
                <c:pt idx="0">
                  <c:v>ՌԴ</c:v>
                </c:pt>
              </c:strCache>
            </c:strRef>
          </c:tx>
          <c:spPr>
            <a:ln w="25400">
              <a:solidFill>
                <a:srgbClr val="ED7D31">
                  <a:lumMod val="60000"/>
                  <a:lumOff val="40000"/>
                </a:srgbClr>
              </a:solidFill>
            </a:ln>
            <a:effectLst/>
          </c:spPr>
          <c:marker>
            <c:symbol val="none"/>
          </c:marker>
          <c:dLbls>
            <c:dLbl>
              <c:idx val="17"/>
              <c:layout>
                <c:manualLayout>
                  <c:x val="-1.0510246458261608E-3"/>
                  <c:y val="-3.28911089154309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457-40D6-BDC4-474AD3EC9C9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Sheet1!$A$6:$B$23</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Sheet1!$F$6:$F$23</c:f>
              <c:numCache>
                <c:formatCode>0.0</c:formatCode>
                <c:ptCount val="18"/>
                <c:pt idx="0">
                  <c:v>0.4</c:v>
                </c:pt>
                <c:pt idx="1">
                  <c:v>1.1000000000000001</c:v>
                </c:pt>
                <c:pt idx="2">
                  <c:v>1.5</c:v>
                </c:pt>
                <c:pt idx="3" formatCode="General">
                  <c:v>2.1</c:v>
                </c:pt>
                <c:pt idx="4" formatCode="General">
                  <c:v>1.4</c:v>
                </c:pt>
                <c:pt idx="5">
                  <c:v>-7.4</c:v>
                </c:pt>
                <c:pt idx="6">
                  <c:v>-3.3</c:v>
                </c:pt>
                <c:pt idx="7">
                  <c:v>-1.3</c:v>
                </c:pt>
                <c:pt idx="8" formatCode="General">
                  <c:v>-0.3</c:v>
                </c:pt>
                <c:pt idx="9" formatCode="General">
                  <c:v>10.5</c:v>
                </c:pt>
                <c:pt idx="10" formatCode="General">
                  <c:v>4</c:v>
                </c:pt>
                <c:pt idx="11" formatCode="General">
                  <c:v>5</c:v>
                </c:pt>
                <c:pt idx="12" formatCode="General">
                  <c:v>3</c:v>
                </c:pt>
                <c:pt idx="13" formatCode="General">
                  <c:v>-4.5</c:v>
                </c:pt>
                <c:pt idx="14" formatCode="General">
                  <c:v>-3.5</c:v>
                </c:pt>
                <c:pt idx="15" formatCode="General">
                  <c:v>-2.7</c:v>
                </c:pt>
                <c:pt idx="16" formatCode="General">
                  <c:v>-1.8</c:v>
                </c:pt>
                <c:pt idx="17" formatCode="General">
                  <c:v>4.9000000000000004</c:v>
                </c:pt>
              </c:numCache>
            </c:numRef>
          </c:val>
          <c:smooth val="0"/>
          <c:extLst>
            <c:ext xmlns:c16="http://schemas.microsoft.com/office/drawing/2014/chart" uri="{C3380CC4-5D6E-409C-BE32-E72D297353CC}">
              <c16:uniqueId val="{00000007-D457-40D6-BDC4-474AD3EC9C9B}"/>
            </c:ext>
          </c:extLst>
        </c:ser>
        <c:dLbls>
          <c:showLegendKey val="0"/>
          <c:showVal val="0"/>
          <c:showCatName val="0"/>
          <c:showSerName val="0"/>
          <c:showPercent val="0"/>
          <c:showBubbleSize val="0"/>
        </c:dLbls>
        <c:smooth val="0"/>
        <c:axId val="-837562768"/>
        <c:axId val="-837558960"/>
      </c:lineChart>
      <c:catAx>
        <c:axId val="-837562768"/>
        <c:scaling>
          <c:orientation val="minMax"/>
        </c:scaling>
        <c:delete val="0"/>
        <c:axPos val="b"/>
        <c:numFmt formatCode="General" sourceLinked="1"/>
        <c:majorTickMark val="none"/>
        <c:minorTickMark val="none"/>
        <c:tickLblPos val="low"/>
        <c:spPr>
          <a:noFill/>
          <a:ln w="9522" cap="flat" cmpd="sng" algn="ctr">
            <a:solidFill>
              <a:sysClr val="window" lastClr="FFFFFF">
                <a:lumMod val="85000"/>
              </a:sys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37558960"/>
        <c:crosses val="autoZero"/>
        <c:auto val="1"/>
        <c:lblAlgn val="ctr"/>
        <c:lblOffset val="0"/>
        <c:noMultiLvlLbl val="0"/>
      </c:catAx>
      <c:valAx>
        <c:axId val="-837558960"/>
        <c:scaling>
          <c:orientation val="minMax"/>
          <c:max val="20"/>
          <c:min val="-15"/>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6348">
            <a:noFill/>
          </a:ln>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37562768"/>
        <c:crosses val="autoZero"/>
        <c:crossBetween val="between"/>
      </c:valAx>
      <c:spPr>
        <a:noFill/>
        <a:ln w="25393">
          <a:noFill/>
        </a:ln>
      </c:spPr>
    </c:plotArea>
    <c:legend>
      <c:legendPos val="b"/>
      <c:layout>
        <c:manualLayout>
          <c:xMode val="edge"/>
          <c:yMode val="edge"/>
          <c:x val="0.2094697898528648"/>
          <c:y val="0.8446807253266263"/>
          <c:w val="0.53623161842108524"/>
          <c:h val="0.13523990052243798"/>
        </c:manualLayout>
      </c:layout>
      <c:overlay val="0"/>
      <c:spPr>
        <a:noFill/>
        <a:ln w="25393">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sz="1100">
          <a:latin typeface="GHEA Grapalat" panose="02000506050000020003" pitchFamily="50"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064343596021588"/>
          <c:y val="0.10019869487234935"/>
          <c:w val="0.73433217842989307"/>
          <c:h val="0.56427410224771979"/>
        </c:manualLayout>
      </c:layout>
      <c:lineChart>
        <c:grouping val="standard"/>
        <c:varyColors val="0"/>
        <c:ser>
          <c:idx val="0"/>
          <c:order val="0"/>
          <c:tx>
            <c:strRef>
              <c:f>Sheet1!$B$1</c:f>
              <c:strCache>
                <c:ptCount val="1"/>
                <c:pt idx="0">
                  <c:v>Զարգացող երկրների արժույթ</c:v>
                </c:pt>
              </c:strCache>
            </c:strRef>
          </c:tx>
          <c:spPr>
            <a:ln w="19050" cap="rnd">
              <a:solidFill>
                <a:srgbClr val="5B9BD5"/>
              </a:solidFill>
              <a:round/>
            </a:ln>
            <a:effectLst/>
          </c:spPr>
          <c:marker>
            <c:symbol val="none"/>
          </c:marker>
          <c:cat>
            <c:numRef>
              <c:f>Sheet1!$A$2:$A$890</c:f>
              <c:numCache>
                <c:formatCode>m\/d\/yyyy</c:formatCode>
                <c:ptCount val="889"/>
                <c:pt idx="0">
                  <c:v>43832</c:v>
                </c:pt>
                <c:pt idx="1">
                  <c:v>43833</c:v>
                </c:pt>
                <c:pt idx="2">
                  <c:v>43836</c:v>
                </c:pt>
                <c:pt idx="3">
                  <c:v>43837</c:v>
                </c:pt>
                <c:pt idx="4">
                  <c:v>43838</c:v>
                </c:pt>
                <c:pt idx="5">
                  <c:v>43839</c:v>
                </c:pt>
                <c:pt idx="6">
                  <c:v>43840</c:v>
                </c:pt>
                <c:pt idx="7">
                  <c:v>43843</c:v>
                </c:pt>
                <c:pt idx="8">
                  <c:v>43844</c:v>
                </c:pt>
                <c:pt idx="9">
                  <c:v>43845</c:v>
                </c:pt>
                <c:pt idx="10">
                  <c:v>43846</c:v>
                </c:pt>
                <c:pt idx="11">
                  <c:v>43847</c:v>
                </c:pt>
                <c:pt idx="12">
                  <c:v>43850</c:v>
                </c:pt>
                <c:pt idx="13">
                  <c:v>43851</c:v>
                </c:pt>
                <c:pt idx="14">
                  <c:v>43852</c:v>
                </c:pt>
                <c:pt idx="15">
                  <c:v>43853</c:v>
                </c:pt>
                <c:pt idx="16">
                  <c:v>43854</c:v>
                </c:pt>
                <c:pt idx="17">
                  <c:v>43857</c:v>
                </c:pt>
                <c:pt idx="18">
                  <c:v>43858</c:v>
                </c:pt>
                <c:pt idx="19">
                  <c:v>43859</c:v>
                </c:pt>
                <c:pt idx="20">
                  <c:v>43860</c:v>
                </c:pt>
                <c:pt idx="21">
                  <c:v>43861</c:v>
                </c:pt>
                <c:pt idx="22">
                  <c:v>43864</c:v>
                </c:pt>
                <c:pt idx="23">
                  <c:v>43865</c:v>
                </c:pt>
                <c:pt idx="24">
                  <c:v>43866</c:v>
                </c:pt>
                <c:pt idx="25">
                  <c:v>43867</c:v>
                </c:pt>
                <c:pt idx="26">
                  <c:v>43868</c:v>
                </c:pt>
                <c:pt idx="27">
                  <c:v>43871</c:v>
                </c:pt>
                <c:pt idx="28">
                  <c:v>43872</c:v>
                </c:pt>
                <c:pt idx="29">
                  <c:v>43873</c:v>
                </c:pt>
                <c:pt idx="30">
                  <c:v>43874</c:v>
                </c:pt>
                <c:pt idx="31">
                  <c:v>43875</c:v>
                </c:pt>
                <c:pt idx="32">
                  <c:v>43878</c:v>
                </c:pt>
                <c:pt idx="33">
                  <c:v>43879</c:v>
                </c:pt>
                <c:pt idx="34">
                  <c:v>43880</c:v>
                </c:pt>
                <c:pt idx="35">
                  <c:v>43881</c:v>
                </c:pt>
                <c:pt idx="36">
                  <c:v>43882</c:v>
                </c:pt>
                <c:pt idx="37">
                  <c:v>43885</c:v>
                </c:pt>
                <c:pt idx="38">
                  <c:v>43886</c:v>
                </c:pt>
                <c:pt idx="39">
                  <c:v>43887</c:v>
                </c:pt>
                <c:pt idx="40">
                  <c:v>43888</c:v>
                </c:pt>
                <c:pt idx="41">
                  <c:v>43889</c:v>
                </c:pt>
                <c:pt idx="42">
                  <c:v>43892</c:v>
                </c:pt>
                <c:pt idx="43">
                  <c:v>43893</c:v>
                </c:pt>
                <c:pt idx="44">
                  <c:v>43894</c:v>
                </c:pt>
                <c:pt idx="45">
                  <c:v>43895</c:v>
                </c:pt>
                <c:pt idx="46">
                  <c:v>43896</c:v>
                </c:pt>
                <c:pt idx="47">
                  <c:v>43899</c:v>
                </c:pt>
                <c:pt idx="48">
                  <c:v>43900</c:v>
                </c:pt>
                <c:pt idx="49">
                  <c:v>43901</c:v>
                </c:pt>
                <c:pt idx="50">
                  <c:v>43902</c:v>
                </c:pt>
                <c:pt idx="51">
                  <c:v>43903</c:v>
                </c:pt>
                <c:pt idx="52">
                  <c:v>43906</c:v>
                </c:pt>
                <c:pt idx="53">
                  <c:v>43907</c:v>
                </c:pt>
                <c:pt idx="54">
                  <c:v>43908</c:v>
                </c:pt>
                <c:pt idx="55">
                  <c:v>43909</c:v>
                </c:pt>
                <c:pt idx="56">
                  <c:v>43910</c:v>
                </c:pt>
                <c:pt idx="57">
                  <c:v>43913</c:v>
                </c:pt>
                <c:pt idx="58">
                  <c:v>43914</c:v>
                </c:pt>
                <c:pt idx="59">
                  <c:v>43915</c:v>
                </c:pt>
                <c:pt idx="60">
                  <c:v>43916</c:v>
                </c:pt>
                <c:pt idx="61">
                  <c:v>43917</c:v>
                </c:pt>
                <c:pt idx="62">
                  <c:v>43920</c:v>
                </c:pt>
                <c:pt idx="63">
                  <c:v>43921</c:v>
                </c:pt>
                <c:pt idx="64">
                  <c:v>43922</c:v>
                </c:pt>
                <c:pt idx="65">
                  <c:v>43923</c:v>
                </c:pt>
                <c:pt idx="66">
                  <c:v>43924</c:v>
                </c:pt>
                <c:pt idx="67">
                  <c:v>43927</c:v>
                </c:pt>
                <c:pt idx="68">
                  <c:v>43928</c:v>
                </c:pt>
                <c:pt idx="69">
                  <c:v>43929</c:v>
                </c:pt>
                <c:pt idx="70">
                  <c:v>43930</c:v>
                </c:pt>
                <c:pt idx="71">
                  <c:v>43934</c:v>
                </c:pt>
                <c:pt idx="72">
                  <c:v>43935</c:v>
                </c:pt>
                <c:pt idx="73">
                  <c:v>43936</c:v>
                </c:pt>
                <c:pt idx="74">
                  <c:v>43937</c:v>
                </c:pt>
                <c:pt idx="75">
                  <c:v>43938</c:v>
                </c:pt>
                <c:pt idx="76">
                  <c:v>43941</c:v>
                </c:pt>
                <c:pt idx="77">
                  <c:v>43942</c:v>
                </c:pt>
                <c:pt idx="78">
                  <c:v>43943</c:v>
                </c:pt>
                <c:pt idx="79">
                  <c:v>43944</c:v>
                </c:pt>
                <c:pt idx="80">
                  <c:v>43945</c:v>
                </c:pt>
                <c:pt idx="81">
                  <c:v>43948</c:v>
                </c:pt>
                <c:pt idx="82">
                  <c:v>43949</c:v>
                </c:pt>
                <c:pt idx="83">
                  <c:v>43950</c:v>
                </c:pt>
                <c:pt idx="84">
                  <c:v>43951</c:v>
                </c:pt>
                <c:pt idx="85">
                  <c:v>43952</c:v>
                </c:pt>
                <c:pt idx="86">
                  <c:v>43955</c:v>
                </c:pt>
                <c:pt idx="87">
                  <c:v>43956</c:v>
                </c:pt>
                <c:pt idx="88">
                  <c:v>43957</c:v>
                </c:pt>
                <c:pt idx="89">
                  <c:v>43958</c:v>
                </c:pt>
                <c:pt idx="90">
                  <c:v>43959</c:v>
                </c:pt>
                <c:pt idx="91">
                  <c:v>43962</c:v>
                </c:pt>
                <c:pt idx="92">
                  <c:v>43963</c:v>
                </c:pt>
                <c:pt idx="93">
                  <c:v>43964</c:v>
                </c:pt>
                <c:pt idx="94">
                  <c:v>43965</c:v>
                </c:pt>
                <c:pt idx="95">
                  <c:v>43966</c:v>
                </c:pt>
                <c:pt idx="96">
                  <c:v>43969</c:v>
                </c:pt>
                <c:pt idx="97">
                  <c:v>43970</c:v>
                </c:pt>
                <c:pt idx="98">
                  <c:v>43971</c:v>
                </c:pt>
                <c:pt idx="99">
                  <c:v>43972</c:v>
                </c:pt>
                <c:pt idx="100">
                  <c:v>43973</c:v>
                </c:pt>
                <c:pt idx="101">
                  <c:v>43976</c:v>
                </c:pt>
                <c:pt idx="102">
                  <c:v>43977</c:v>
                </c:pt>
                <c:pt idx="103">
                  <c:v>43978</c:v>
                </c:pt>
                <c:pt idx="104">
                  <c:v>43979</c:v>
                </c:pt>
                <c:pt idx="105">
                  <c:v>43980</c:v>
                </c:pt>
                <c:pt idx="106">
                  <c:v>43983</c:v>
                </c:pt>
                <c:pt idx="107">
                  <c:v>43984</c:v>
                </c:pt>
                <c:pt idx="108">
                  <c:v>43985</c:v>
                </c:pt>
                <c:pt idx="109">
                  <c:v>43986</c:v>
                </c:pt>
                <c:pt idx="110">
                  <c:v>43987</c:v>
                </c:pt>
                <c:pt idx="111">
                  <c:v>43990</c:v>
                </c:pt>
                <c:pt idx="112">
                  <c:v>43991</c:v>
                </c:pt>
                <c:pt idx="113">
                  <c:v>43992</c:v>
                </c:pt>
                <c:pt idx="114">
                  <c:v>43993</c:v>
                </c:pt>
                <c:pt idx="115">
                  <c:v>43994</c:v>
                </c:pt>
                <c:pt idx="116">
                  <c:v>43997</c:v>
                </c:pt>
                <c:pt idx="117">
                  <c:v>43998</c:v>
                </c:pt>
                <c:pt idx="118">
                  <c:v>43999</c:v>
                </c:pt>
                <c:pt idx="119">
                  <c:v>44000</c:v>
                </c:pt>
                <c:pt idx="120">
                  <c:v>44001</c:v>
                </c:pt>
                <c:pt idx="121">
                  <c:v>44004</c:v>
                </c:pt>
                <c:pt idx="122">
                  <c:v>44005</c:v>
                </c:pt>
                <c:pt idx="123">
                  <c:v>44006</c:v>
                </c:pt>
                <c:pt idx="124">
                  <c:v>44007</c:v>
                </c:pt>
                <c:pt idx="125">
                  <c:v>44008</c:v>
                </c:pt>
                <c:pt idx="126">
                  <c:v>44011</c:v>
                </c:pt>
                <c:pt idx="127">
                  <c:v>44012</c:v>
                </c:pt>
                <c:pt idx="128">
                  <c:v>44013</c:v>
                </c:pt>
                <c:pt idx="129">
                  <c:v>44014</c:v>
                </c:pt>
                <c:pt idx="130">
                  <c:v>44015</c:v>
                </c:pt>
                <c:pt idx="131">
                  <c:v>44018</c:v>
                </c:pt>
                <c:pt idx="132">
                  <c:v>44019</c:v>
                </c:pt>
                <c:pt idx="133">
                  <c:v>44020</c:v>
                </c:pt>
                <c:pt idx="134">
                  <c:v>44021</c:v>
                </c:pt>
                <c:pt idx="135">
                  <c:v>44022</c:v>
                </c:pt>
                <c:pt idx="136">
                  <c:v>44025</c:v>
                </c:pt>
                <c:pt idx="137">
                  <c:v>44026</c:v>
                </c:pt>
                <c:pt idx="138">
                  <c:v>44027</c:v>
                </c:pt>
                <c:pt idx="139">
                  <c:v>44028</c:v>
                </c:pt>
                <c:pt idx="140">
                  <c:v>44029</c:v>
                </c:pt>
                <c:pt idx="141">
                  <c:v>44032</c:v>
                </c:pt>
                <c:pt idx="142">
                  <c:v>44033</c:v>
                </c:pt>
                <c:pt idx="143">
                  <c:v>44034</c:v>
                </c:pt>
                <c:pt idx="144">
                  <c:v>44035</c:v>
                </c:pt>
                <c:pt idx="145">
                  <c:v>44036</c:v>
                </c:pt>
                <c:pt idx="146">
                  <c:v>44039</c:v>
                </c:pt>
                <c:pt idx="147">
                  <c:v>44040</c:v>
                </c:pt>
                <c:pt idx="148">
                  <c:v>44041</c:v>
                </c:pt>
                <c:pt idx="149">
                  <c:v>44042</c:v>
                </c:pt>
                <c:pt idx="150">
                  <c:v>44043</c:v>
                </c:pt>
                <c:pt idx="151">
                  <c:v>44046</c:v>
                </c:pt>
                <c:pt idx="152">
                  <c:v>44047</c:v>
                </c:pt>
                <c:pt idx="153">
                  <c:v>44048</c:v>
                </c:pt>
                <c:pt idx="154">
                  <c:v>44049</c:v>
                </c:pt>
                <c:pt idx="155">
                  <c:v>44050</c:v>
                </c:pt>
                <c:pt idx="156">
                  <c:v>44053</c:v>
                </c:pt>
                <c:pt idx="157">
                  <c:v>44054</c:v>
                </c:pt>
                <c:pt idx="158">
                  <c:v>44055</c:v>
                </c:pt>
                <c:pt idx="159">
                  <c:v>44056</c:v>
                </c:pt>
                <c:pt idx="160">
                  <c:v>44057</c:v>
                </c:pt>
                <c:pt idx="161">
                  <c:v>44060</c:v>
                </c:pt>
                <c:pt idx="162">
                  <c:v>44061</c:v>
                </c:pt>
                <c:pt idx="163">
                  <c:v>44062</c:v>
                </c:pt>
                <c:pt idx="164">
                  <c:v>44063</c:v>
                </c:pt>
                <c:pt idx="165">
                  <c:v>44064</c:v>
                </c:pt>
                <c:pt idx="166">
                  <c:v>44067</c:v>
                </c:pt>
                <c:pt idx="167">
                  <c:v>44068</c:v>
                </c:pt>
                <c:pt idx="168">
                  <c:v>44069</c:v>
                </c:pt>
                <c:pt idx="169">
                  <c:v>44070</c:v>
                </c:pt>
                <c:pt idx="170">
                  <c:v>44071</c:v>
                </c:pt>
                <c:pt idx="171">
                  <c:v>44074</c:v>
                </c:pt>
                <c:pt idx="172">
                  <c:v>44075</c:v>
                </c:pt>
                <c:pt idx="173">
                  <c:v>44076</c:v>
                </c:pt>
                <c:pt idx="174">
                  <c:v>44077</c:v>
                </c:pt>
                <c:pt idx="175">
                  <c:v>44078</c:v>
                </c:pt>
                <c:pt idx="176">
                  <c:v>44081</c:v>
                </c:pt>
                <c:pt idx="177">
                  <c:v>44082</c:v>
                </c:pt>
                <c:pt idx="178">
                  <c:v>44083</c:v>
                </c:pt>
                <c:pt idx="179">
                  <c:v>44084</c:v>
                </c:pt>
                <c:pt idx="180">
                  <c:v>44085</c:v>
                </c:pt>
                <c:pt idx="181">
                  <c:v>44088</c:v>
                </c:pt>
                <c:pt idx="182">
                  <c:v>44089</c:v>
                </c:pt>
                <c:pt idx="183">
                  <c:v>44090</c:v>
                </c:pt>
                <c:pt idx="184">
                  <c:v>44091</c:v>
                </c:pt>
                <c:pt idx="185">
                  <c:v>44092</c:v>
                </c:pt>
                <c:pt idx="186">
                  <c:v>44095</c:v>
                </c:pt>
                <c:pt idx="187">
                  <c:v>44096</c:v>
                </c:pt>
                <c:pt idx="188">
                  <c:v>44097</c:v>
                </c:pt>
                <c:pt idx="189">
                  <c:v>44098</c:v>
                </c:pt>
                <c:pt idx="190">
                  <c:v>44099</c:v>
                </c:pt>
                <c:pt idx="191">
                  <c:v>44102</c:v>
                </c:pt>
                <c:pt idx="192">
                  <c:v>44103</c:v>
                </c:pt>
                <c:pt idx="193">
                  <c:v>44104</c:v>
                </c:pt>
                <c:pt idx="194">
                  <c:v>44105</c:v>
                </c:pt>
                <c:pt idx="195">
                  <c:v>44106</c:v>
                </c:pt>
                <c:pt idx="196">
                  <c:v>44109</c:v>
                </c:pt>
                <c:pt idx="197">
                  <c:v>44110</c:v>
                </c:pt>
                <c:pt idx="198">
                  <c:v>44111</c:v>
                </c:pt>
                <c:pt idx="199">
                  <c:v>44112</c:v>
                </c:pt>
                <c:pt idx="200">
                  <c:v>44113</c:v>
                </c:pt>
                <c:pt idx="201">
                  <c:v>44116</c:v>
                </c:pt>
                <c:pt idx="202">
                  <c:v>44117</c:v>
                </c:pt>
                <c:pt idx="203">
                  <c:v>44118</c:v>
                </c:pt>
                <c:pt idx="204">
                  <c:v>44119</c:v>
                </c:pt>
                <c:pt idx="205">
                  <c:v>44120</c:v>
                </c:pt>
                <c:pt idx="206">
                  <c:v>44123</c:v>
                </c:pt>
                <c:pt idx="207">
                  <c:v>44124</c:v>
                </c:pt>
                <c:pt idx="208">
                  <c:v>44125</c:v>
                </c:pt>
                <c:pt idx="209">
                  <c:v>44126</c:v>
                </c:pt>
                <c:pt idx="210">
                  <c:v>44127</c:v>
                </c:pt>
                <c:pt idx="211">
                  <c:v>44130</c:v>
                </c:pt>
                <c:pt idx="212">
                  <c:v>44131</c:v>
                </c:pt>
                <c:pt idx="213">
                  <c:v>44132</c:v>
                </c:pt>
                <c:pt idx="214">
                  <c:v>44133</c:v>
                </c:pt>
                <c:pt idx="215">
                  <c:v>44134</c:v>
                </c:pt>
                <c:pt idx="216">
                  <c:v>44137</c:v>
                </c:pt>
                <c:pt idx="217">
                  <c:v>44138</c:v>
                </c:pt>
                <c:pt idx="218">
                  <c:v>44139</c:v>
                </c:pt>
                <c:pt idx="219">
                  <c:v>44140</c:v>
                </c:pt>
                <c:pt idx="220">
                  <c:v>44141</c:v>
                </c:pt>
                <c:pt idx="221">
                  <c:v>44144</c:v>
                </c:pt>
                <c:pt idx="222">
                  <c:v>44145</c:v>
                </c:pt>
                <c:pt idx="223">
                  <c:v>44146</c:v>
                </c:pt>
                <c:pt idx="224">
                  <c:v>44147</c:v>
                </c:pt>
                <c:pt idx="225">
                  <c:v>44148</c:v>
                </c:pt>
                <c:pt idx="226">
                  <c:v>44151</c:v>
                </c:pt>
                <c:pt idx="227">
                  <c:v>44152</c:v>
                </c:pt>
                <c:pt idx="228">
                  <c:v>44153</c:v>
                </c:pt>
                <c:pt idx="229">
                  <c:v>44154</c:v>
                </c:pt>
                <c:pt idx="230">
                  <c:v>44155</c:v>
                </c:pt>
                <c:pt idx="231">
                  <c:v>44158</c:v>
                </c:pt>
                <c:pt idx="232">
                  <c:v>44159</c:v>
                </c:pt>
                <c:pt idx="233">
                  <c:v>44160</c:v>
                </c:pt>
                <c:pt idx="234">
                  <c:v>44161</c:v>
                </c:pt>
                <c:pt idx="235">
                  <c:v>44162</c:v>
                </c:pt>
                <c:pt idx="236">
                  <c:v>44165</c:v>
                </c:pt>
                <c:pt idx="237">
                  <c:v>44166</c:v>
                </c:pt>
                <c:pt idx="238">
                  <c:v>44167</c:v>
                </c:pt>
                <c:pt idx="239">
                  <c:v>44168</c:v>
                </c:pt>
                <c:pt idx="240">
                  <c:v>44169</c:v>
                </c:pt>
                <c:pt idx="241">
                  <c:v>44172</c:v>
                </c:pt>
                <c:pt idx="242">
                  <c:v>44173</c:v>
                </c:pt>
                <c:pt idx="243">
                  <c:v>44174</c:v>
                </c:pt>
                <c:pt idx="244">
                  <c:v>44175</c:v>
                </c:pt>
                <c:pt idx="245">
                  <c:v>44176</c:v>
                </c:pt>
                <c:pt idx="246">
                  <c:v>44179</c:v>
                </c:pt>
                <c:pt idx="247">
                  <c:v>44180</c:v>
                </c:pt>
                <c:pt idx="248">
                  <c:v>44181</c:v>
                </c:pt>
                <c:pt idx="249">
                  <c:v>44182</c:v>
                </c:pt>
                <c:pt idx="250">
                  <c:v>44183</c:v>
                </c:pt>
                <c:pt idx="251">
                  <c:v>44186</c:v>
                </c:pt>
                <c:pt idx="252">
                  <c:v>44187</c:v>
                </c:pt>
                <c:pt idx="253">
                  <c:v>44188</c:v>
                </c:pt>
                <c:pt idx="254">
                  <c:v>44189</c:v>
                </c:pt>
                <c:pt idx="255">
                  <c:v>44193</c:v>
                </c:pt>
                <c:pt idx="256">
                  <c:v>44194</c:v>
                </c:pt>
                <c:pt idx="257">
                  <c:v>44195</c:v>
                </c:pt>
                <c:pt idx="258">
                  <c:v>44196</c:v>
                </c:pt>
                <c:pt idx="259">
                  <c:v>44200</c:v>
                </c:pt>
                <c:pt idx="260">
                  <c:v>44201</c:v>
                </c:pt>
                <c:pt idx="261">
                  <c:v>44202</c:v>
                </c:pt>
                <c:pt idx="262">
                  <c:v>44203</c:v>
                </c:pt>
                <c:pt idx="263">
                  <c:v>44204</c:v>
                </c:pt>
                <c:pt idx="264">
                  <c:v>44207</c:v>
                </c:pt>
                <c:pt idx="265">
                  <c:v>44208</c:v>
                </c:pt>
                <c:pt idx="266">
                  <c:v>44209</c:v>
                </c:pt>
                <c:pt idx="267">
                  <c:v>44210</c:v>
                </c:pt>
                <c:pt idx="268">
                  <c:v>44211</c:v>
                </c:pt>
                <c:pt idx="269">
                  <c:v>44214</c:v>
                </c:pt>
                <c:pt idx="270">
                  <c:v>44215</c:v>
                </c:pt>
                <c:pt idx="271">
                  <c:v>44216</c:v>
                </c:pt>
                <c:pt idx="272">
                  <c:v>44217</c:v>
                </c:pt>
                <c:pt idx="273">
                  <c:v>44218</c:v>
                </c:pt>
                <c:pt idx="274">
                  <c:v>44221</c:v>
                </c:pt>
                <c:pt idx="275">
                  <c:v>44222</c:v>
                </c:pt>
                <c:pt idx="276">
                  <c:v>44223</c:v>
                </c:pt>
                <c:pt idx="277">
                  <c:v>44224</c:v>
                </c:pt>
                <c:pt idx="278">
                  <c:v>44225</c:v>
                </c:pt>
                <c:pt idx="279">
                  <c:v>44228</c:v>
                </c:pt>
                <c:pt idx="280">
                  <c:v>44229</c:v>
                </c:pt>
                <c:pt idx="281">
                  <c:v>44230</c:v>
                </c:pt>
                <c:pt idx="282">
                  <c:v>44231</c:v>
                </c:pt>
                <c:pt idx="283">
                  <c:v>44232</c:v>
                </c:pt>
                <c:pt idx="284">
                  <c:v>44235</c:v>
                </c:pt>
                <c:pt idx="285">
                  <c:v>44236</c:v>
                </c:pt>
                <c:pt idx="286">
                  <c:v>44237</c:v>
                </c:pt>
                <c:pt idx="287">
                  <c:v>44238</c:v>
                </c:pt>
                <c:pt idx="288">
                  <c:v>44239</c:v>
                </c:pt>
                <c:pt idx="289">
                  <c:v>44242</c:v>
                </c:pt>
                <c:pt idx="290">
                  <c:v>44243</c:v>
                </c:pt>
                <c:pt idx="291">
                  <c:v>44244</c:v>
                </c:pt>
                <c:pt idx="292">
                  <c:v>44245</c:v>
                </c:pt>
                <c:pt idx="293">
                  <c:v>44246</c:v>
                </c:pt>
                <c:pt idx="294">
                  <c:v>44249</c:v>
                </c:pt>
                <c:pt idx="295">
                  <c:v>44250</c:v>
                </c:pt>
                <c:pt idx="296">
                  <c:v>44251</c:v>
                </c:pt>
                <c:pt idx="297">
                  <c:v>44252</c:v>
                </c:pt>
                <c:pt idx="298">
                  <c:v>44253</c:v>
                </c:pt>
                <c:pt idx="299">
                  <c:v>44256</c:v>
                </c:pt>
                <c:pt idx="300">
                  <c:v>44257</c:v>
                </c:pt>
                <c:pt idx="301">
                  <c:v>44258</c:v>
                </c:pt>
                <c:pt idx="302">
                  <c:v>44259</c:v>
                </c:pt>
                <c:pt idx="303">
                  <c:v>44260</c:v>
                </c:pt>
                <c:pt idx="304">
                  <c:v>44263</c:v>
                </c:pt>
                <c:pt idx="305">
                  <c:v>44264</c:v>
                </c:pt>
                <c:pt idx="306">
                  <c:v>44265</c:v>
                </c:pt>
                <c:pt idx="307">
                  <c:v>44266</c:v>
                </c:pt>
                <c:pt idx="308">
                  <c:v>44267</c:v>
                </c:pt>
                <c:pt idx="309">
                  <c:v>44270</c:v>
                </c:pt>
                <c:pt idx="310">
                  <c:v>44271</c:v>
                </c:pt>
                <c:pt idx="311">
                  <c:v>44272</c:v>
                </c:pt>
                <c:pt idx="312">
                  <c:v>44273</c:v>
                </c:pt>
                <c:pt idx="313">
                  <c:v>44274</c:v>
                </c:pt>
                <c:pt idx="314">
                  <c:v>44277</c:v>
                </c:pt>
                <c:pt idx="315">
                  <c:v>44278</c:v>
                </c:pt>
                <c:pt idx="316">
                  <c:v>44279</c:v>
                </c:pt>
                <c:pt idx="317">
                  <c:v>44280</c:v>
                </c:pt>
                <c:pt idx="318">
                  <c:v>44281</c:v>
                </c:pt>
                <c:pt idx="319">
                  <c:v>44284</c:v>
                </c:pt>
                <c:pt idx="320">
                  <c:v>44285</c:v>
                </c:pt>
                <c:pt idx="321">
                  <c:v>44286</c:v>
                </c:pt>
                <c:pt idx="322">
                  <c:v>44287</c:v>
                </c:pt>
                <c:pt idx="323">
                  <c:v>44288</c:v>
                </c:pt>
                <c:pt idx="324">
                  <c:v>44291</c:v>
                </c:pt>
                <c:pt idx="325">
                  <c:v>44292</c:v>
                </c:pt>
                <c:pt idx="326">
                  <c:v>44293</c:v>
                </c:pt>
                <c:pt idx="327">
                  <c:v>44294</c:v>
                </c:pt>
                <c:pt idx="328">
                  <c:v>44295</c:v>
                </c:pt>
                <c:pt idx="329">
                  <c:v>44298</c:v>
                </c:pt>
                <c:pt idx="330">
                  <c:v>44299</c:v>
                </c:pt>
                <c:pt idx="331">
                  <c:v>44300</c:v>
                </c:pt>
                <c:pt idx="332">
                  <c:v>44301</c:v>
                </c:pt>
                <c:pt idx="333">
                  <c:v>44302</c:v>
                </c:pt>
                <c:pt idx="334">
                  <c:v>44305</c:v>
                </c:pt>
                <c:pt idx="335">
                  <c:v>44306</c:v>
                </c:pt>
                <c:pt idx="336">
                  <c:v>44307</c:v>
                </c:pt>
                <c:pt idx="337">
                  <c:v>44308</c:v>
                </c:pt>
                <c:pt idx="338">
                  <c:v>44309</c:v>
                </c:pt>
                <c:pt idx="339">
                  <c:v>44312</c:v>
                </c:pt>
                <c:pt idx="340">
                  <c:v>44313</c:v>
                </c:pt>
                <c:pt idx="341">
                  <c:v>44314</c:v>
                </c:pt>
                <c:pt idx="342">
                  <c:v>44315</c:v>
                </c:pt>
                <c:pt idx="343">
                  <c:v>44316</c:v>
                </c:pt>
                <c:pt idx="344">
                  <c:v>44319</c:v>
                </c:pt>
                <c:pt idx="345">
                  <c:v>44320</c:v>
                </c:pt>
                <c:pt idx="346">
                  <c:v>44321</c:v>
                </c:pt>
                <c:pt idx="347">
                  <c:v>44322</c:v>
                </c:pt>
                <c:pt idx="348">
                  <c:v>44323</c:v>
                </c:pt>
                <c:pt idx="349">
                  <c:v>44326</c:v>
                </c:pt>
                <c:pt idx="350">
                  <c:v>44327</c:v>
                </c:pt>
                <c:pt idx="351">
                  <c:v>44328</c:v>
                </c:pt>
                <c:pt idx="352">
                  <c:v>44329</c:v>
                </c:pt>
                <c:pt idx="353">
                  <c:v>44330</c:v>
                </c:pt>
                <c:pt idx="354">
                  <c:v>44333</c:v>
                </c:pt>
                <c:pt idx="355">
                  <c:v>44334</c:v>
                </c:pt>
                <c:pt idx="356">
                  <c:v>44335</c:v>
                </c:pt>
                <c:pt idx="357">
                  <c:v>44336</c:v>
                </c:pt>
                <c:pt idx="358">
                  <c:v>44337</c:v>
                </c:pt>
                <c:pt idx="359">
                  <c:v>44340</c:v>
                </c:pt>
                <c:pt idx="360">
                  <c:v>44341</c:v>
                </c:pt>
                <c:pt idx="361">
                  <c:v>44342</c:v>
                </c:pt>
                <c:pt idx="362">
                  <c:v>44343</c:v>
                </c:pt>
                <c:pt idx="363">
                  <c:v>44344</c:v>
                </c:pt>
                <c:pt idx="364">
                  <c:v>44347</c:v>
                </c:pt>
                <c:pt idx="365">
                  <c:v>44348</c:v>
                </c:pt>
                <c:pt idx="366">
                  <c:v>44349</c:v>
                </c:pt>
                <c:pt idx="367">
                  <c:v>44350</c:v>
                </c:pt>
                <c:pt idx="368">
                  <c:v>44351</c:v>
                </c:pt>
                <c:pt idx="369">
                  <c:v>44354</c:v>
                </c:pt>
                <c:pt idx="370">
                  <c:v>44355</c:v>
                </c:pt>
                <c:pt idx="371">
                  <c:v>44356</c:v>
                </c:pt>
                <c:pt idx="372">
                  <c:v>44357</c:v>
                </c:pt>
                <c:pt idx="373">
                  <c:v>44358</c:v>
                </c:pt>
                <c:pt idx="374">
                  <c:v>44361</c:v>
                </c:pt>
                <c:pt idx="375">
                  <c:v>44362</c:v>
                </c:pt>
                <c:pt idx="376">
                  <c:v>44363</c:v>
                </c:pt>
                <c:pt idx="377">
                  <c:v>44364</c:v>
                </c:pt>
                <c:pt idx="378">
                  <c:v>44365</c:v>
                </c:pt>
                <c:pt idx="379">
                  <c:v>44368</c:v>
                </c:pt>
                <c:pt idx="380">
                  <c:v>44369</c:v>
                </c:pt>
                <c:pt idx="381">
                  <c:v>44370</c:v>
                </c:pt>
                <c:pt idx="382">
                  <c:v>44371</c:v>
                </c:pt>
                <c:pt idx="383">
                  <c:v>44372</c:v>
                </c:pt>
                <c:pt idx="384">
                  <c:v>44375</c:v>
                </c:pt>
                <c:pt idx="385">
                  <c:v>44376</c:v>
                </c:pt>
                <c:pt idx="386">
                  <c:v>44377</c:v>
                </c:pt>
                <c:pt idx="387">
                  <c:v>44378</c:v>
                </c:pt>
                <c:pt idx="388">
                  <c:v>44379</c:v>
                </c:pt>
                <c:pt idx="389">
                  <c:v>44382</c:v>
                </c:pt>
                <c:pt idx="390">
                  <c:v>44383</c:v>
                </c:pt>
                <c:pt idx="391">
                  <c:v>44384</c:v>
                </c:pt>
                <c:pt idx="392">
                  <c:v>44385</c:v>
                </c:pt>
                <c:pt idx="393">
                  <c:v>44386</c:v>
                </c:pt>
                <c:pt idx="394">
                  <c:v>44389</c:v>
                </c:pt>
                <c:pt idx="395">
                  <c:v>44390</c:v>
                </c:pt>
                <c:pt idx="396">
                  <c:v>44391</c:v>
                </c:pt>
                <c:pt idx="397">
                  <c:v>44392</c:v>
                </c:pt>
                <c:pt idx="398">
                  <c:v>44393</c:v>
                </c:pt>
                <c:pt idx="399">
                  <c:v>44396</c:v>
                </c:pt>
                <c:pt idx="400">
                  <c:v>44397</c:v>
                </c:pt>
                <c:pt idx="401">
                  <c:v>44398</c:v>
                </c:pt>
                <c:pt idx="402">
                  <c:v>44399</c:v>
                </c:pt>
                <c:pt idx="403">
                  <c:v>44400</c:v>
                </c:pt>
                <c:pt idx="404">
                  <c:v>44403</c:v>
                </c:pt>
                <c:pt idx="405">
                  <c:v>44404</c:v>
                </c:pt>
                <c:pt idx="406">
                  <c:v>44405</c:v>
                </c:pt>
                <c:pt idx="407">
                  <c:v>44406</c:v>
                </c:pt>
                <c:pt idx="408">
                  <c:v>44407</c:v>
                </c:pt>
                <c:pt idx="409">
                  <c:v>44410</c:v>
                </c:pt>
                <c:pt idx="410">
                  <c:v>44411</c:v>
                </c:pt>
                <c:pt idx="411">
                  <c:v>44412</c:v>
                </c:pt>
                <c:pt idx="412">
                  <c:v>44413</c:v>
                </c:pt>
                <c:pt idx="413">
                  <c:v>44414</c:v>
                </c:pt>
                <c:pt idx="414">
                  <c:v>44417</c:v>
                </c:pt>
                <c:pt idx="415">
                  <c:v>44418</c:v>
                </c:pt>
                <c:pt idx="416">
                  <c:v>44419</c:v>
                </c:pt>
                <c:pt idx="417">
                  <c:v>44420</c:v>
                </c:pt>
                <c:pt idx="418">
                  <c:v>44421</c:v>
                </c:pt>
                <c:pt idx="419">
                  <c:v>44424</c:v>
                </c:pt>
                <c:pt idx="420">
                  <c:v>44425</c:v>
                </c:pt>
                <c:pt idx="421">
                  <c:v>44426</c:v>
                </c:pt>
                <c:pt idx="422">
                  <c:v>44427</c:v>
                </c:pt>
                <c:pt idx="423">
                  <c:v>44428</c:v>
                </c:pt>
                <c:pt idx="424">
                  <c:v>44431</c:v>
                </c:pt>
                <c:pt idx="425">
                  <c:v>44432</c:v>
                </c:pt>
                <c:pt idx="426">
                  <c:v>44433</c:v>
                </c:pt>
                <c:pt idx="427">
                  <c:v>44434</c:v>
                </c:pt>
                <c:pt idx="428">
                  <c:v>44435</c:v>
                </c:pt>
                <c:pt idx="429">
                  <c:v>44438</c:v>
                </c:pt>
                <c:pt idx="430">
                  <c:v>44439</c:v>
                </c:pt>
                <c:pt idx="431">
                  <c:v>44440</c:v>
                </c:pt>
                <c:pt idx="432">
                  <c:v>44441</c:v>
                </c:pt>
                <c:pt idx="433">
                  <c:v>44442</c:v>
                </c:pt>
                <c:pt idx="434">
                  <c:v>44445</c:v>
                </c:pt>
                <c:pt idx="435">
                  <c:v>44446</c:v>
                </c:pt>
                <c:pt idx="436">
                  <c:v>44447</c:v>
                </c:pt>
                <c:pt idx="437">
                  <c:v>44448</c:v>
                </c:pt>
                <c:pt idx="438">
                  <c:v>44449</c:v>
                </c:pt>
                <c:pt idx="439">
                  <c:v>44452</c:v>
                </c:pt>
                <c:pt idx="440">
                  <c:v>44453</c:v>
                </c:pt>
                <c:pt idx="441">
                  <c:v>44454</c:v>
                </c:pt>
                <c:pt idx="442">
                  <c:v>44455</c:v>
                </c:pt>
                <c:pt idx="443">
                  <c:v>44456</c:v>
                </c:pt>
                <c:pt idx="444">
                  <c:v>44459</c:v>
                </c:pt>
                <c:pt idx="445">
                  <c:v>44460</c:v>
                </c:pt>
                <c:pt idx="446">
                  <c:v>44461</c:v>
                </c:pt>
                <c:pt idx="447">
                  <c:v>44462</c:v>
                </c:pt>
                <c:pt idx="448">
                  <c:v>44463</c:v>
                </c:pt>
                <c:pt idx="449">
                  <c:v>44466</c:v>
                </c:pt>
                <c:pt idx="450">
                  <c:v>44467</c:v>
                </c:pt>
                <c:pt idx="451">
                  <c:v>44468</c:v>
                </c:pt>
                <c:pt idx="452">
                  <c:v>44469</c:v>
                </c:pt>
                <c:pt idx="453">
                  <c:v>44470</c:v>
                </c:pt>
                <c:pt idx="454">
                  <c:v>44473</c:v>
                </c:pt>
                <c:pt idx="455">
                  <c:v>44474</c:v>
                </c:pt>
                <c:pt idx="456">
                  <c:v>44475</c:v>
                </c:pt>
                <c:pt idx="457">
                  <c:v>44476</c:v>
                </c:pt>
                <c:pt idx="458">
                  <c:v>44477</c:v>
                </c:pt>
                <c:pt idx="459">
                  <c:v>44480</c:v>
                </c:pt>
                <c:pt idx="460">
                  <c:v>44481</c:v>
                </c:pt>
                <c:pt idx="461">
                  <c:v>44482</c:v>
                </c:pt>
                <c:pt idx="462">
                  <c:v>44483</c:v>
                </c:pt>
                <c:pt idx="463">
                  <c:v>44484</c:v>
                </c:pt>
                <c:pt idx="464">
                  <c:v>44487</c:v>
                </c:pt>
                <c:pt idx="465">
                  <c:v>44488</c:v>
                </c:pt>
                <c:pt idx="466">
                  <c:v>44489</c:v>
                </c:pt>
                <c:pt idx="467">
                  <c:v>44490</c:v>
                </c:pt>
                <c:pt idx="468">
                  <c:v>44491</c:v>
                </c:pt>
                <c:pt idx="469">
                  <c:v>44494</c:v>
                </c:pt>
                <c:pt idx="470">
                  <c:v>44495</c:v>
                </c:pt>
                <c:pt idx="471">
                  <c:v>44496</c:v>
                </c:pt>
                <c:pt idx="472">
                  <c:v>44497</c:v>
                </c:pt>
                <c:pt idx="473">
                  <c:v>44498</c:v>
                </c:pt>
                <c:pt idx="474">
                  <c:v>44501</c:v>
                </c:pt>
                <c:pt idx="475">
                  <c:v>44502</c:v>
                </c:pt>
                <c:pt idx="476">
                  <c:v>44503</c:v>
                </c:pt>
                <c:pt idx="477">
                  <c:v>44504</c:v>
                </c:pt>
                <c:pt idx="478">
                  <c:v>44505</c:v>
                </c:pt>
                <c:pt idx="479">
                  <c:v>44508</c:v>
                </c:pt>
                <c:pt idx="480">
                  <c:v>44509</c:v>
                </c:pt>
                <c:pt idx="481">
                  <c:v>44510</c:v>
                </c:pt>
                <c:pt idx="482">
                  <c:v>44511</c:v>
                </c:pt>
                <c:pt idx="483">
                  <c:v>44512</c:v>
                </c:pt>
                <c:pt idx="484">
                  <c:v>44515</c:v>
                </c:pt>
                <c:pt idx="485">
                  <c:v>44516</c:v>
                </c:pt>
                <c:pt idx="486">
                  <c:v>44517</c:v>
                </c:pt>
                <c:pt idx="487">
                  <c:v>44518</c:v>
                </c:pt>
                <c:pt idx="488">
                  <c:v>44519</c:v>
                </c:pt>
                <c:pt idx="489">
                  <c:v>44522</c:v>
                </c:pt>
                <c:pt idx="490">
                  <c:v>44523</c:v>
                </c:pt>
                <c:pt idx="491">
                  <c:v>44524</c:v>
                </c:pt>
                <c:pt idx="492">
                  <c:v>44525</c:v>
                </c:pt>
                <c:pt idx="493">
                  <c:v>44526</c:v>
                </c:pt>
                <c:pt idx="494">
                  <c:v>44529</c:v>
                </c:pt>
                <c:pt idx="495">
                  <c:v>44530</c:v>
                </c:pt>
                <c:pt idx="496">
                  <c:v>44531</c:v>
                </c:pt>
                <c:pt idx="497">
                  <c:v>44532</c:v>
                </c:pt>
                <c:pt idx="498">
                  <c:v>44533</c:v>
                </c:pt>
                <c:pt idx="499">
                  <c:v>44536</c:v>
                </c:pt>
                <c:pt idx="500">
                  <c:v>44537</c:v>
                </c:pt>
                <c:pt idx="501">
                  <c:v>44538</c:v>
                </c:pt>
                <c:pt idx="502">
                  <c:v>44539</c:v>
                </c:pt>
                <c:pt idx="503">
                  <c:v>44540</c:v>
                </c:pt>
                <c:pt idx="504">
                  <c:v>44543</c:v>
                </c:pt>
                <c:pt idx="505">
                  <c:v>44544</c:v>
                </c:pt>
                <c:pt idx="506">
                  <c:v>44545</c:v>
                </c:pt>
                <c:pt idx="507">
                  <c:v>44546</c:v>
                </c:pt>
                <c:pt idx="508">
                  <c:v>44547</c:v>
                </c:pt>
                <c:pt idx="509">
                  <c:v>44550</c:v>
                </c:pt>
                <c:pt idx="510">
                  <c:v>44551</c:v>
                </c:pt>
                <c:pt idx="511">
                  <c:v>44552</c:v>
                </c:pt>
                <c:pt idx="512">
                  <c:v>44553</c:v>
                </c:pt>
                <c:pt idx="513">
                  <c:v>44557</c:v>
                </c:pt>
                <c:pt idx="514">
                  <c:v>44558</c:v>
                </c:pt>
                <c:pt idx="515">
                  <c:v>44559</c:v>
                </c:pt>
                <c:pt idx="516">
                  <c:v>44560</c:v>
                </c:pt>
                <c:pt idx="517">
                  <c:v>44561</c:v>
                </c:pt>
                <c:pt idx="518">
                  <c:v>44564</c:v>
                </c:pt>
                <c:pt idx="519">
                  <c:v>44565</c:v>
                </c:pt>
                <c:pt idx="520">
                  <c:v>44566</c:v>
                </c:pt>
                <c:pt idx="521">
                  <c:v>44567</c:v>
                </c:pt>
                <c:pt idx="522">
                  <c:v>44568</c:v>
                </c:pt>
                <c:pt idx="523">
                  <c:v>44571</c:v>
                </c:pt>
                <c:pt idx="524">
                  <c:v>44572</c:v>
                </c:pt>
                <c:pt idx="525">
                  <c:v>44573</c:v>
                </c:pt>
                <c:pt idx="526">
                  <c:v>44574</c:v>
                </c:pt>
                <c:pt idx="527">
                  <c:v>44575</c:v>
                </c:pt>
                <c:pt idx="528">
                  <c:v>44578</c:v>
                </c:pt>
                <c:pt idx="529">
                  <c:v>44579</c:v>
                </c:pt>
                <c:pt idx="530">
                  <c:v>44580</c:v>
                </c:pt>
                <c:pt idx="531">
                  <c:v>44581</c:v>
                </c:pt>
                <c:pt idx="532">
                  <c:v>44582</c:v>
                </c:pt>
                <c:pt idx="533">
                  <c:v>44585</c:v>
                </c:pt>
                <c:pt idx="534">
                  <c:v>44586</c:v>
                </c:pt>
                <c:pt idx="535">
                  <c:v>44587</c:v>
                </c:pt>
                <c:pt idx="536">
                  <c:v>44588</c:v>
                </c:pt>
                <c:pt idx="537">
                  <c:v>44589</c:v>
                </c:pt>
                <c:pt idx="538">
                  <c:v>44592</c:v>
                </c:pt>
                <c:pt idx="539">
                  <c:v>44593</c:v>
                </c:pt>
                <c:pt idx="540">
                  <c:v>44594</c:v>
                </c:pt>
                <c:pt idx="541">
                  <c:v>44595</c:v>
                </c:pt>
                <c:pt idx="542">
                  <c:v>44596</c:v>
                </c:pt>
                <c:pt idx="543">
                  <c:v>44599</c:v>
                </c:pt>
                <c:pt idx="544">
                  <c:v>44600</c:v>
                </c:pt>
                <c:pt idx="545">
                  <c:v>44601</c:v>
                </c:pt>
                <c:pt idx="546">
                  <c:v>44602</c:v>
                </c:pt>
                <c:pt idx="547">
                  <c:v>44603</c:v>
                </c:pt>
                <c:pt idx="548">
                  <c:v>44606</c:v>
                </c:pt>
                <c:pt idx="549">
                  <c:v>44607</c:v>
                </c:pt>
                <c:pt idx="550">
                  <c:v>44608</c:v>
                </c:pt>
                <c:pt idx="551">
                  <c:v>44609</c:v>
                </c:pt>
                <c:pt idx="552">
                  <c:v>44610</c:v>
                </c:pt>
                <c:pt idx="553">
                  <c:v>44613</c:v>
                </c:pt>
                <c:pt idx="554">
                  <c:v>44614</c:v>
                </c:pt>
                <c:pt idx="555">
                  <c:v>44615</c:v>
                </c:pt>
                <c:pt idx="556">
                  <c:v>44616</c:v>
                </c:pt>
                <c:pt idx="557">
                  <c:v>44617</c:v>
                </c:pt>
                <c:pt idx="558">
                  <c:v>44620</c:v>
                </c:pt>
                <c:pt idx="559">
                  <c:v>44621</c:v>
                </c:pt>
                <c:pt idx="560">
                  <c:v>44622</c:v>
                </c:pt>
                <c:pt idx="561">
                  <c:v>44623</c:v>
                </c:pt>
                <c:pt idx="562">
                  <c:v>44624</c:v>
                </c:pt>
                <c:pt idx="563">
                  <c:v>44627</c:v>
                </c:pt>
                <c:pt idx="564">
                  <c:v>44628</c:v>
                </c:pt>
                <c:pt idx="565">
                  <c:v>44629</c:v>
                </c:pt>
                <c:pt idx="566">
                  <c:v>44630</c:v>
                </c:pt>
                <c:pt idx="567">
                  <c:v>44631</c:v>
                </c:pt>
                <c:pt idx="568">
                  <c:v>44634</c:v>
                </c:pt>
                <c:pt idx="569">
                  <c:v>44635</c:v>
                </c:pt>
                <c:pt idx="570">
                  <c:v>44636</c:v>
                </c:pt>
                <c:pt idx="571">
                  <c:v>44637</c:v>
                </c:pt>
                <c:pt idx="572">
                  <c:v>44638</c:v>
                </c:pt>
                <c:pt idx="573">
                  <c:v>44641</c:v>
                </c:pt>
                <c:pt idx="574">
                  <c:v>44642</c:v>
                </c:pt>
                <c:pt idx="575">
                  <c:v>44643</c:v>
                </c:pt>
                <c:pt idx="576">
                  <c:v>44644</c:v>
                </c:pt>
                <c:pt idx="577">
                  <c:v>44645</c:v>
                </c:pt>
                <c:pt idx="578">
                  <c:v>44648</c:v>
                </c:pt>
                <c:pt idx="579">
                  <c:v>44649</c:v>
                </c:pt>
                <c:pt idx="580">
                  <c:v>44650</c:v>
                </c:pt>
                <c:pt idx="581">
                  <c:v>44651</c:v>
                </c:pt>
                <c:pt idx="582">
                  <c:v>44652</c:v>
                </c:pt>
                <c:pt idx="583">
                  <c:v>44655</c:v>
                </c:pt>
                <c:pt idx="584">
                  <c:v>44656</c:v>
                </c:pt>
                <c:pt idx="585">
                  <c:v>44657</c:v>
                </c:pt>
                <c:pt idx="586">
                  <c:v>44658</c:v>
                </c:pt>
                <c:pt idx="587">
                  <c:v>44659</c:v>
                </c:pt>
                <c:pt idx="588">
                  <c:v>44662</c:v>
                </c:pt>
                <c:pt idx="589">
                  <c:v>44663</c:v>
                </c:pt>
                <c:pt idx="590">
                  <c:v>44664</c:v>
                </c:pt>
                <c:pt idx="591">
                  <c:v>44665</c:v>
                </c:pt>
                <c:pt idx="592">
                  <c:v>44669</c:v>
                </c:pt>
                <c:pt idx="593">
                  <c:v>44670</c:v>
                </c:pt>
                <c:pt idx="594">
                  <c:v>44671</c:v>
                </c:pt>
                <c:pt idx="595">
                  <c:v>44672</c:v>
                </c:pt>
                <c:pt idx="596">
                  <c:v>44673</c:v>
                </c:pt>
                <c:pt idx="597">
                  <c:v>44676</c:v>
                </c:pt>
                <c:pt idx="598">
                  <c:v>44677</c:v>
                </c:pt>
                <c:pt idx="599">
                  <c:v>44678</c:v>
                </c:pt>
                <c:pt idx="600">
                  <c:v>44679</c:v>
                </c:pt>
                <c:pt idx="601">
                  <c:v>44680</c:v>
                </c:pt>
                <c:pt idx="602">
                  <c:v>44683</c:v>
                </c:pt>
                <c:pt idx="603">
                  <c:v>44684</c:v>
                </c:pt>
                <c:pt idx="604">
                  <c:v>44685</c:v>
                </c:pt>
                <c:pt idx="605">
                  <c:v>44686</c:v>
                </c:pt>
                <c:pt idx="606">
                  <c:v>44687</c:v>
                </c:pt>
                <c:pt idx="607">
                  <c:v>44690</c:v>
                </c:pt>
                <c:pt idx="608">
                  <c:v>44691</c:v>
                </c:pt>
                <c:pt idx="609">
                  <c:v>44692</c:v>
                </c:pt>
                <c:pt idx="610">
                  <c:v>44693</c:v>
                </c:pt>
                <c:pt idx="611">
                  <c:v>44694</c:v>
                </c:pt>
                <c:pt idx="612">
                  <c:v>44697</c:v>
                </c:pt>
                <c:pt idx="613">
                  <c:v>44698</c:v>
                </c:pt>
                <c:pt idx="614">
                  <c:v>44699</c:v>
                </c:pt>
                <c:pt idx="615">
                  <c:v>44700</c:v>
                </c:pt>
                <c:pt idx="616">
                  <c:v>44701</c:v>
                </c:pt>
                <c:pt idx="617">
                  <c:v>44704</c:v>
                </c:pt>
                <c:pt idx="618">
                  <c:v>44705</c:v>
                </c:pt>
                <c:pt idx="619">
                  <c:v>44706</c:v>
                </c:pt>
                <c:pt idx="620">
                  <c:v>44707</c:v>
                </c:pt>
                <c:pt idx="621">
                  <c:v>44708</c:v>
                </c:pt>
                <c:pt idx="622">
                  <c:v>44711</c:v>
                </c:pt>
                <c:pt idx="623">
                  <c:v>44712</c:v>
                </c:pt>
                <c:pt idx="624">
                  <c:v>44713</c:v>
                </c:pt>
                <c:pt idx="625">
                  <c:v>44714</c:v>
                </c:pt>
                <c:pt idx="626">
                  <c:v>44715</c:v>
                </c:pt>
                <c:pt idx="627">
                  <c:v>44718</c:v>
                </c:pt>
                <c:pt idx="628">
                  <c:v>44719</c:v>
                </c:pt>
                <c:pt idx="629">
                  <c:v>44720</c:v>
                </c:pt>
                <c:pt idx="630">
                  <c:v>44721</c:v>
                </c:pt>
                <c:pt idx="631">
                  <c:v>44722</c:v>
                </c:pt>
                <c:pt idx="632">
                  <c:v>44725</c:v>
                </c:pt>
                <c:pt idx="633">
                  <c:v>44726</c:v>
                </c:pt>
                <c:pt idx="634">
                  <c:v>44727</c:v>
                </c:pt>
                <c:pt idx="635">
                  <c:v>44728</c:v>
                </c:pt>
                <c:pt idx="636">
                  <c:v>44729</c:v>
                </c:pt>
                <c:pt idx="637">
                  <c:v>44732</c:v>
                </c:pt>
                <c:pt idx="638">
                  <c:v>44733</c:v>
                </c:pt>
                <c:pt idx="639">
                  <c:v>44734</c:v>
                </c:pt>
                <c:pt idx="640">
                  <c:v>44735</c:v>
                </c:pt>
                <c:pt idx="641">
                  <c:v>44736</c:v>
                </c:pt>
                <c:pt idx="642">
                  <c:v>44739</c:v>
                </c:pt>
                <c:pt idx="643">
                  <c:v>44740</c:v>
                </c:pt>
                <c:pt idx="644">
                  <c:v>44741</c:v>
                </c:pt>
                <c:pt idx="645">
                  <c:v>44742</c:v>
                </c:pt>
                <c:pt idx="646">
                  <c:v>44743</c:v>
                </c:pt>
                <c:pt idx="647">
                  <c:v>44746</c:v>
                </c:pt>
                <c:pt idx="648">
                  <c:v>44747</c:v>
                </c:pt>
                <c:pt idx="649">
                  <c:v>44748</c:v>
                </c:pt>
                <c:pt idx="650">
                  <c:v>44749</c:v>
                </c:pt>
                <c:pt idx="651">
                  <c:v>44750</c:v>
                </c:pt>
                <c:pt idx="652">
                  <c:v>44753</c:v>
                </c:pt>
                <c:pt idx="653">
                  <c:v>44754</c:v>
                </c:pt>
                <c:pt idx="654">
                  <c:v>44755</c:v>
                </c:pt>
                <c:pt idx="655">
                  <c:v>44756</c:v>
                </c:pt>
                <c:pt idx="656">
                  <c:v>44757</c:v>
                </c:pt>
                <c:pt idx="657">
                  <c:v>44760</c:v>
                </c:pt>
                <c:pt idx="658">
                  <c:v>44761</c:v>
                </c:pt>
                <c:pt idx="659">
                  <c:v>44762</c:v>
                </c:pt>
                <c:pt idx="660">
                  <c:v>44763</c:v>
                </c:pt>
                <c:pt idx="661">
                  <c:v>44764</c:v>
                </c:pt>
                <c:pt idx="662">
                  <c:v>44767</c:v>
                </c:pt>
                <c:pt idx="663">
                  <c:v>44768</c:v>
                </c:pt>
                <c:pt idx="664">
                  <c:v>44769</c:v>
                </c:pt>
                <c:pt idx="665">
                  <c:v>44770</c:v>
                </c:pt>
                <c:pt idx="666">
                  <c:v>44771</c:v>
                </c:pt>
                <c:pt idx="667">
                  <c:v>44774</c:v>
                </c:pt>
                <c:pt idx="668">
                  <c:v>44775</c:v>
                </c:pt>
                <c:pt idx="669">
                  <c:v>44776</c:v>
                </c:pt>
                <c:pt idx="670">
                  <c:v>44777</c:v>
                </c:pt>
                <c:pt idx="671">
                  <c:v>44778</c:v>
                </c:pt>
                <c:pt idx="672">
                  <c:v>44781</c:v>
                </c:pt>
                <c:pt idx="673">
                  <c:v>44782</c:v>
                </c:pt>
                <c:pt idx="674">
                  <c:v>44783</c:v>
                </c:pt>
                <c:pt idx="675">
                  <c:v>44784</c:v>
                </c:pt>
                <c:pt idx="676">
                  <c:v>44785</c:v>
                </c:pt>
                <c:pt idx="677">
                  <c:v>44788</c:v>
                </c:pt>
                <c:pt idx="678">
                  <c:v>44789</c:v>
                </c:pt>
                <c:pt idx="679">
                  <c:v>44790</c:v>
                </c:pt>
                <c:pt idx="680">
                  <c:v>44791</c:v>
                </c:pt>
                <c:pt idx="681">
                  <c:v>44792</c:v>
                </c:pt>
                <c:pt idx="682">
                  <c:v>44795</c:v>
                </c:pt>
                <c:pt idx="683">
                  <c:v>44796</c:v>
                </c:pt>
                <c:pt idx="684">
                  <c:v>44797</c:v>
                </c:pt>
                <c:pt idx="685">
                  <c:v>44798</c:v>
                </c:pt>
                <c:pt idx="686">
                  <c:v>44799</c:v>
                </c:pt>
                <c:pt idx="687">
                  <c:v>44802</c:v>
                </c:pt>
                <c:pt idx="688">
                  <c:v>44803</c:v>
                </c:pt>
                <c:pt idx="689">
                  <c:v>44804</c:v>
                </c:pt>
                <c:pt idx="690">
                  <c:v>44805</c:v>
                </c:pt>
                <c:pt idx="691">
                  <c:v>44806</c:v>
                </c:pt>
                <c:pt idx="692">
                  <c:v>44809</c:v>
                </c:pt>
                <c:pt idx="693">
                  <c:v>44810</c:v>
                </c:pt>
                <c:pt idx="694">
                  <c:v>44811</c:v>
                </c:pt>
                <c:pt idx="695">
                  <c:v>44812</c:v>
                </c:pt>
                <c:pt idx="696">
                  <c:v>44813</c:v>
                </c:pt>
                <c:pt idx="697">
                  <c:v>44816</c:v>
                </c:pt>
                <c:pt idx="698">
                  <c:v>44817</c:v>
                </c:pt>
                <c:pt idx="699">
                  <c:v>44818</c:v>
                </c:pt>
                <c:pt idx="700">
                  <c:v>44819</c:v>
                </c:pt>
                <c:pt idx="701">
                  <c:v>44820</c:v>
                </c:pt>
                <c:pt idx="702">
                  <c:v>44823</c:v>
                </c:pt>
                <c:pt idx="703">
                  <c:v>44824</c:v>
                </c:pt>
                <c:pt idx="704">
                  <c:v>44825</c:v>
                </c:pt>
                <c:pt idx="705">
                  <c:v>44826</c:v>
                </c:pt>
                <c:pt idx="706">
                  <c:v>44827</c:v>
                </c:pt>
                <c:pt idx="707">
                  <c:v>44830</c:v>
                </c:pt>
                <c:pt idx="708">
                  <c:v>44831</c:v>
                </c:pt>
                <c:pt idx="709">
                  <c:v>44832</c:v>
                </c:pt>
                <c:pt idx="710">
                  <c:v>44833</c:v>
                </c:pt>
                <c:pt idx="711">
                  <c:v>44834</c:v>
                </c:pt>
                <c:pt idx="712">
                  <c:v>44837</c:v>
                </c:pt>
                <c:pt idx="713">
                  <c:v>44838</c:v>
                </c:pt>
                <c:pt idx="714">
                  <c:v>44839</c:v>
                </c:pt>
                <c:pt idx="715">
                  <c:v>44840</c:v>
                </c:pt>
                <c:pt idx="716">
                  <c:v>44841</c:v>
                </c:pt>
                <c:pt idx="717">
                  <c:v>44844</c:v>
                </c:pt>
                <c:pt idx="718">
                  <c:v>44845</c:v>
                </c:pt>
                <c:pt idx="719">
                  <c:v>44846</c:v>
                </c:pt>
                <c:pt idx="720">
                  <c:v>44847</c:v>
                </c:pt>
                <c:pt idx="721">
                  <c:v>44848</c:v>
                </c:pt>
                <c:pt idx="722">
                  <c:v>44851</c:v>
                </c:pt>
                <c:pt idx="723">
                  <c:v>44852</c:v>
                </c:pt>
                <c:pt idx="724">
                  <c:v>44853</c:v>
                </c:pt>
                <c:pt idx="725">
                  <c:v>44854</c:v>
                </c:pt>
                <c:pt idx="726">
                  <c:v>44855</c:v>
                </c:pt>
                <c:pt idx="727">
                  <c:v>44858</c:v>
                </c:pt>
                <c:pt idx="728">
                  <c:v>44859</c:v>
                </c:pt>
                <c:pt idx="729">
                  <c:v>44860</c:v>
                </c:pt>
                <c:pt idx="730">
                  <c:v>44861</c:v>
                </c:pt>
                <c:pt idx="731">
                  <c:v>44862</c:v>
                </c:pt>
                <c:pt idx="732">
                  <c:v>44865</c:v>
                </c:pt>
                <c:pt idx="733">
                  <c:v>44866</c:v>
                </c:pt>
                <c:pt idx="734">
                  <c:v>44867</c:v>
                </c:pt>
                <c:pt idx="735">
                  <c:v>44868</c:v>
                </c:pt>
                <c:pt idx="736">
                  <c:v>44869</c:v>
                </c:pt>
                <c:pt idx="737">
                  <c:v>44872</c:v>
                </c:pt>
                <c:pt idx="738">
                  <c:v>44873</c:v>
                </c:pt>
                <c:pt idx="739">
                  <c:v>44874</c:v>
                </c:pt>
                <c:pt idx="740">
                  <c:v>44875</c:v>
                </c:pt>
                <c:pt idx="741">
                  <c:v>44876</c:v>
                </c:pt>
                <c:pt idx="742">
                  <c:v>44879</c:v>
                </c:pt>
                <c:pt idx="743">
                  <c:v>44880</c:v>
                </c:pt>
                <c:pt idx="744">
                  <c:v>44881</c:v>
                </c:pt>
                <c:pt idx="745">
                  <c:v>44882</c:v>
                </c:pt>
                <c:pt idx="746">
                  <c:v>44883</c:v>
                </c:pt>
                <c:pt idx="747">
                  <c:v>44886</c:v>
                </c:pt>
                <c:pt idx="748">
                  <c:v>44887</c:v>
                </c:pt>
                <c:pt idx="749">
                  <c:v>44888</c:v>
                </c:pt>
                <c:pt idx="750">
                  <c:v>44889</c:v>
                </c:pt>
                <c:pt idx="751">
                  <c:v>44890</c:v>
                </c:pt>
                <c:pt idx="752">
                  <c:v>44893</c:v>
                </c:pt>
                <c:pt idx="753">
                  <c:v>44894</c:v>
                </c:pt>
                <c:pt idx="754">
                  <c:v>44895</c:v>
                </c:pt>
                <c:pt idx="755">
                  <c:v>44896</c:v>
                </c:pt>
                <c:pt idx="756">
                  <c:v>44897</c:v>
                </c:pt>
                <c:pt idx="757">
                  <c:v>44900</c:v>
                </c:pt>
                <c:pt idx="758">
                  <c:v>44901</c:v>
                </c:pt>
                <c:pt idx="759">
                  <c:v>44902</c:v>
                </c:pt>
                <c:pt idx="760">
                  <c:v>44903</c:v>
                </c:pt>
                <c:pt idx="761">
                  <c:v>44904</c:v>
                </c:pt>
                <c:pt idx="762">
                  <c:v>44907</c:v>
                </c:pt>
                <c:pt idx="763">
                  <c:v>44908</c:v>
                </c:pt>
                <c:pt idx="764">
                  <c:v>44909</c:v>
                </c:pt>
                <c:pt idx="765">
                  <c:v>44910</c:v>
                </c:pt>
                <c:pt idx="766">
                  <c:v>44911</c:v>
                </c:pt>
                <c:pt idx="767">
                  <c:v>44914</c:v>
                </c:pt>
                <c:pt idx="768">
                  <c:v>44915</c:v>
                </c:pt>
                <c:pt idx="769">
                  <c:v>44916</c:v>
                </c:pt>
                <c:pt idx="770">
                  <c:v>44917</c:v>
                </c:pt>
                <c:pt idx="771">
                  <c:v>44918</c:v>
                </c:pt>
                <c:pt idx="772">
                  <c:v>44922</c:v>
                </c:pt>
                <c:pt idx="773">
                  <c:v>44923</c:v>
                </c:pt>
                <c:pt idx="774">
                  <c:v>44924</c:v>
                </c:pt>
                <c:pt idx="775">
                  <c:v>44925</c:v>
                </c:pt>
                <c:pt idx="776">
                  <c:v>44929</c:v>
                </c:pt>
                <c:pt idx="777">
                  <c:v>44930</c:v>
                </c:pt>
                <c:pt idx="778">
                  <c:v>44931</c:v>
                </c:pt>
                <c:pt idx="779">
                  <c:v>44932</c:v>
                </c:pt>
                <c:pt idx="780">
                  <c:v>44935</c:v>
                </c:pt>
                <c:pt idx="781">
                  <c:v>44936</c:v>
                </c:pt>
                <c:pt idx="782">
                  <c:v>44937</c:v>
                </c:pt>
                <c:pt idx="783">
                  <c:v>44938</c:v>
                </c:pt>
                <c:pt idx="784">
                  <c:v>44939</c:v>
                </c:pt>
                <c:pt idx="785">
                  <c:v>44942</c:v>
                </c:pt>
                <c:pt idx="786">
                  <c:v>44943</c:v>
                </c:pt>
                <c:pt idx="787">
                  <c:v>44944</c:v>
                </c:pt>
                <c:pt idx="788">
                  <c:v>44945</c:v>
                </c:pt>
                <c:pt idx="789">
                  <c:v>44946</c:v>
                </c:pt>
                <c:pt idx="790">
                  <c:v>44949</c:v>
                </c:pt>
                <c:pt idx="791">
                  <c:v>44950</c:v>
                </c:pt>
                <c:pt idx="792">
                  <c:v>44951</c:v>
                </c:pt>
                <c:pt idx="793">
                  <c:v>44952</c:v>
                </c:pt>
                <c:pt idx="794">
                  <c:v>44953</c:v>
                </c:pt>
                <c:pt idx="795">
                  <c:v>44956</c:v>
                </c:pt>
                <c:pt idx="796">
                  <c:v>44957</c:v>
                </c:pt>
                <c:pt idx="797">
                  <c:v>44958</c:v>
                </c:pt>
                <c:pt idx="798">
                  <c:v>44959</c:v>
                </c:pt>
                <c:pt idx="799">
                  <c:v>44960</c:v>
                </c:pt>
                <c:pt idx="800">
                  <c:v>44963</c:v>
                </c:pt>
                <c:pt idx="801">
                  <c:v>44964</c:v>
                </c:pt>
                <c:pt idx="802">
                  <c:v>44965</c:v>
                </c:pt>
                <c:pt idx="803">
                  <c:v>44966</c:v>
                </c:pt>
                <c:pt idx="804">
                  <c:v>44967</c:v>
                </c:pt>
                <c:pt idx="805">
                  <c:v>44970</c:v>
                </c:pt>
                <c:pt idx="806">
                  <c:v>44971</c:v>
                </c:pt>
                <c:pt idx="807">
                  <c:v>44972</c:v>
                </c:pt>
                <c:pt idx="808">
                  <c:v>44973</c:v>
                </c:pt>
                <c:pt idx="809">
                  <c:v>44974</c:v>
                </c:pt>
                <c:pt idx="810">
                  <c:v>44977</c:v>
                </c:pt>
                <c:pt idx="811">
                  <c:v>44978</c:v>
                </c:pt>
                <c:pt idx="812">
                  <c:v>44979</c:v>
                </c:pt>
                <c:pt idx="813">
                  <c:v>44980</c:v>
                </c:pt>
                <c:pt idx="814">
                  <c:v>44981</c:v>
                </c:pt>
                <c:pt idx="815">
                  <c:v>44984</c:v>
                </c:pt>
                <c:pt idx="816">
                  <c:v>44985</c:v>
                </c:pt>
                <c:pt idx="817">
                  <c:v>44986</c:v>
                </c:pt>
                <c:pt idx="818">
                  <c:v>44987</c:v>
                </c:pt>
                <c:pt idx="819">
                  <c:v>44988</c:v>
                </c:pt>
                <c:pt idx="820">
                  <c:v>44991</c:v>
                </c:pt>
                <c:pt idx="821">
                  <c:v>44992</c:v>
                </c:pt>
                <c:pt idx="822">
                  <c:v>44993</c:v>
                </c:pt>
                <c:pt idx="823">
                  <c:v>44994</c:v>
                </c:pt>
                <c:pt idx="824">
                  <c:v>44995</c:v>
                </c:pt>
                <c:pt idx="825">
                  <c:v>44998</c:v>
                </c:pt>
                <c:pt idx="826">
                  <c:v>44999</c:v>
                </c:pt>
                <c:pt idx="827">
                  <c:v>45000</c:v>
                </c:pt>
                <c:pt idx="828">
                  <c:v>45001</c:v>
                </c:pt>
                <c:pt idx="829">
                  <c:v>45002</c:v>
                </c:pt>
                <c:pt idx="830">
                  <c:v>45005</c:v>
                </c:pt>
                <c:pt idx="831">
                  <c:v>45006</c:v>
                </c:pt>
                <c:pt idx="832">
                  <c:v>45007</c:v>
                </c:pt>
                <c:pt idx="833">
                  <c:v>45008</c:v>
                </c:pt>
                <c:pt idx="834">
                  <c:v>45009</c:v>
                </c:pt>
                <c:pt idx="835">
                  <c:v>45012</c:v>
                </c:pt>
                <c:pt idx="836">
                  <c:v>45013</c:v>
                </c:pt>
                <c:pt idx="837">
                  <c:v>45014</c:v>
                </c:pt>
                <c:pt idx="838">
                  <c:v>45015</c:v>
                </c:pt>
                <c:pt idx="839">
                  <c:v>45016</c:v>
                </c:pt>
                <c:pt idx="840">
                  <c:v>45019</c:v>
                </c:pt>
                <c:pt idx="841">
                  <c:v>45020</c:v>
                </c:pt>
                <c:pt idx="842">
                  <c:v>45021</c:v>
                </c:pt>
                <c:pt idx="843">
                  <c:v>45022</c:v>
                </c:pt>
                <c:pt idx="844">
                  <c:v>45023</c:v>
                </c:pt>
                <c:pt idx="845">
                  <c:v>45026</c:v>
                </c:pt>
                <c:pt idx="846">
                  <c:v>45027</c:v>
                </c:pt>
                <c:pt idx="847">
                  <c:v>45028</c:v>
                </c:pt>
                <c:pt idx="848">
                  <c:v>45029</c:v>
                </c:pt>
                <c:pt idx="849">
                  <c:v>45030</c:v>
                </c:pt>
                <c:pt idx="850">
                  <c:v>45033</c:v>
                </c:pt>
                <c:pt idx="851">
                  <c:v>45034</c:v>
                </c:pt>
                <c:pt idx="852">
                  <c:v>45035</c:v>
                </c:pt>
                <c:pt idx="853">
                  <c:v>45036</c:v>
                </c:pt>
                <c:pt idx="854">
                  <c:v>45037</c:v>
                </c:pt>
                <c:pt idx="855">
                  <c:v>45040</c:v>
                </c:pt>
                <c:pt idx="856">
                  <c:v>45041</c:v>
                </c:pt>
                <c:pt idx="857">
                  <c:v>45042</c:v>
                </c:pt>
                <c:pt idx="858">
                  <c:v>45043</c:v>
                </c:pt>
                <c:pt idx="859">
                  <c:v>45044</c:v>
                </c:pt>
                <c:pt idx="860">
                  <c:v>45047</c:v>
                </c:pt>
                <c:pt idx="861">
                  <c:v>45048</c:v>
                </c:pt>
                <c:pt idx="862">
                  <c:v>45049</c:v>
                </c:pt>
                <c:pt idx="863">
                  <c:v>45050</c:v>
                </c:pt>
                <c:pt idx="864">
                  <c:v>45051</c:v>
                </c:pt>
                <c:pt idx="865">
                  <c:v>45054</c:v>
                </c:pt>
                <c:pt idx="866">
                  <c:v>45055</c:v>
                </c:pt>
                <c:pt idx="867">
                  <c:v>45056</c:v>
                </c:pt>
                <c:pt idx="868">
                  <c:v>45057</c:v>
                </c:pt>
                <c:pt idx="869">
                  <c:v>45058</c:v>
                </c:pt>
                <c:pt idx="870">
                  <c:v>45061</c:v>
                </c:pt>
                <c:pt idx="871">
                  <c:v>45062</c:v>
                </c:pt>
                <c:pt idx="872">
                  <c:v>45063</c:v>
                </c:pt>
                <c:pt idx="873">
                  <c:v>45064</c:v>
                </c:pt>
                <c:pt idx="874">
                  <c:v>45065</c:v>
                </c:pt>
                <c:pt idx="875">
                  <c:v>45068</c:v>
                </c:pt>
                <c:pt idx="876">
                  <c:v>45069</c:v>
                </c:pt>
                <c:pt idx="877">
                  <c:v>45070</c:v>
                </c:pt>
                <c:pt idx="878">
                  <c:v>45071</c:v>
                </c:pt>
                <c:pt idx="879">
                  <c:v>45072</c:v>
                </c:pt>
                <c:pt idx="880">
                  <c:v>45075</c:v>
                </c:pt>
                <c:pt idx="881">
                  <c:v>45076</c:v>
                </c:pt>
                <c:pt idx="882">
                  <c:v>45077</c:v>
                </c:pt>
                <c:pt idx="883">
                  <c:v>45078</c:v>
                </c:pt>
                <c:pt idx="884">
                  <c:v>45079</c:v>
                </c:pt>
                <c:pt idx="885">
                  <c:v>45082</c:v>
                </c:pt>
                <c:pt idx="886">
                  <c:v>45083</c:v>
                </c:pt>
                <c:pt idx="887">
                  <c:v>45084</c:v>
                </c:pt>
                <c:pt idx="888">
                  <c:v>45085</c:v>
                </c:pt>
              </c:numCache>
            </c:numRef>
          </c:cat>
          <c:val>
            <c:numRef>
              <c:f>Sheet1!$B$2:$B$957</c:f>
              <c:numCache>
                <c:formatCode>0.0</c:formatCode>
                <c:ptCount val="956"/>
                <c:pt idx="0">
                  <c:v>100</c:v>
                </c:pt>
                <c:pt idx="1">
                  <c:v>99.50149876189235</c:v>
                </c:pt>
                <c:pt idx="2">
                  <c:v>99.594356835657479</c:v>
                </c:pt>
                <c:pt idx="3">
                  <c:v>99.346735305617088</c:v>
                </c:pt>
                <c:pt idx="4">
                  <c:v>99.988596376906045</c:v>
                </c:pt>
                <c:pt idx="5">
                  <c:v>99.760523915026724</c:v>
                </c:pt>
                <c:pt idx="6">
                  <c:v>99.653004040140758</c:v>
                </c:pt>
                <c:pt idx="7">
                  <c:v>99.604131369738042</c:v>
                </c:pt>
                <c:pt idx="8">
                  <c:v>99.607389547764896</c:v>
                </c:pt>
                <c:pt idx="9">
                  <c:v>99.508015117946059</c:v>
                </c:pt>
                <c:pt idx="10">
                  <c:v>99.349993483643956</c:v>
                </c:pt>
                <c:pt idx="11">
                  <c:v>99.392349797992978</c:v>
                </c:pt>
                <c:pt idx="12">
                  <c:v>99.224553629610327</c:v>
                </c:pt>
                <c:pt idx="13">
                  <c:v>99.074677440375353</c:v>
                </c:pt>
                <c:pt idx="14">
                  <c:v>99.191971849341854</c:v>
                </c:pt>
                <c:pt idx="15">
                  <c:v>99.045353838133721</c:v>
                </c:pt>
                <c:pt idx="16">
                  <c:v>98.901994004952428</c:v>
                </c:pt>
                <c:pt idx="17">
                  <c:v>98.25361657760979</c:v>
                </c:pt>
                <c:pt idx="18">
                  <c:v>98.551739867066331</c:v>
                </c:pt>
                <c:pt idx="19">
                  <c:v>98.128176723576175</c:v>
                </c:pt>
                <c:pt idx="20">
                  <c:v>97.82679525609278</c:v>
                </c:pt>
                <c:pt idx="21">
                  <c:v>97.421152091750287</c:v>
                </c:pt>
                <c:pt idx="22">
                  <c:v>97.857747947347846</c:v>
                </c:pt>
                <c:pt idx="23">
                  <c:v>97.971784178287507</c:v>
                </c:pt>
                <c:pt idx="24">
                  <c:v>98.183565750032571</c:v>
                </c:pt>
                <c:pt idx="25">
                  <c:v>97.733937182327651</c:v>
                </c:pt>
                <c:pt idx="26">
                  <c:v>97.049719796689701</c:v>
                </c:pt>
                <c:pt idx="27">
                  <c:v>97.245210478300535</c:v>
                </c:pt>
                <c:pt idx="28">
                  <c:v>97.442330248924804</c:v>
                </c:pt>
                <c:pt idx="29">
                  <c:v>97.188192362830705</c:v>
                </c:pt>
                <c:pt idx="30">
                  <c:v>97.18167600677701</c:v>
                </c:pt>
                <c:pt idx="31">
                  <c:v>97.325035839958275</c:v>
                </c:pt>
                <c:pt idx="32">
                  <c:v>97.145836048481684</c:v>
                </c:pt>
                <c:pt idx="33">
                  <c:v>96.932425387723185</c:v>
                </c:pt>
                <c:pt idx="34">
                  <c:v>96.701094747817024</c:v>
                </c:pt>
                <c:pt idx="35">
                  <c:v>96.161866284373772</c:v>
                </c:pt>
                <c:pt idx="36">
                  <c:v>96.378535123159125</c:v>
                </c:pt>
                <c:pt idx="37">
                  <c:v>96.047830053434112</c:v>
                </c:pt>
                <c:pt idx="38">
                  <c:v>95.821386680568224</c:v>
                </c:pt>
                <c:pt idx="39">
                  <c:v>95.464616186628433</c:v>
                </c:pt>
                <c:pt idx="40">
                  <c:v>94.928645901212036</c:v>
                </c:pt>
                <c:pt idx="41">
                  <c:v>94.900951387983838</c:v>
                </c:pt>
                <c:pt idx="42">
                  <c:v>95.412485338198877</c:v>
                </c:pt>
                <c:pt idx="43">
                  <c:v>95.50534341196402</c:v>
                </c:pt>
                <c:pt idx="44">
                  <c:v>95.202332855467219</c:v>
                </c:pt>
                <c:pt idx="45">
                  <c:v>94.311221165124465</c:v>
                </c:pt>
                <c:pt idx="46">
                  <c:v>94.345432034406343</c:v>
                </c:pt>
                <c:pt idx="47">
                  <c:v>92.902059168512963</c:v>
                </c:pt>
                <c:pt idx="48">
                  <c:v>93.270233285546709</c:v>
                </c:pt>
                <c:pt idx="49">
                  <c:v>91.707936921673394</c:v>
                </c:pt>
                <c:pt idx="50">
                  <c:v>90.736999869672871</c:v>
                </c:pt>
                <c:pt idx="51">
                  <c:v>91.212693861592584</c:v>
                </c:pt>
                <c:pt idx="52">
                  <c:v>89.88661540466569</c:v>
                </c:pt>
                <c:pt idx="53">
                  <c:v>89.541248533819868</c:v>
                </c:pt>
                <c:pt idx="54">
                  <c:v>86.472044832529633</c:v>
                </c:pt>
                <c:pt idx="55">
                  <c:v>87.200247621530025</c:v>
                </c:pt>
                <c:pt idx="56">
                  <c:v>86.739215430731122</c:v>
                </c:pt>
                <c:pt idx="57">
                  <c:v>86.392219470871865</c:v>
                </c:pt>
                <c:pt idx="58">
                  <c:v>87.038967809201068</c:v>
                </c:pt>
                <c:pt idx="59">
                  <c:v>87.695490681610821</c:v>
                </c:pt>
                <c:pt idx="60">
                  <c:v>88.817933011859736</c:v>
                </c:pt>
                <c:pt idx="61">
                  <c:v>88.063664798644552</c:v>
                </c:pt>
                <c:pt idx="62">
                  <c:v>86.918415222207685</c:v>
                </c:pt>
                <c:pt idx="63">
                  <c:v>86.954255180502997</c:v>
                </c:pt>
                <c:pt idx="64">
                  <c:v>86.019158086797802</c:v>
                </c:pt>
                <c:pt idx="65">
                  <c:v>86.025674442851496</c:v>
                </c:pt>
                <c:pt idx="66">
                  <c:v>85.255115339502098</c:v>
                </c:pt>
                <c:pt idx="67">
                  <c:v>86.001238107650153</c:v>
                </c:pt>
                <c:pt idx="68">
                  <c:v>86.529062947999435</c:v>
                </c:pt>
                <c:pt idx="69">
                  <c:v>87.048742343281589</c:v>
                </c:pt>
                <c:pt idx="70">
                  <c:v>87.811156001563873</c:v>
                </c:pt>
                <c:pt idx="71">
                  <c:v>87.651505278248351</c:v>
                </c:pt>
                <c:pt idx="72">
                  <c:v>87.576567183630857</c:v>
                </c:pt>
                <c:pt idx="73">
                  <c:v>86.239085103609995</c:v>
                </c:pt>
                <c:pt idx="74">
                  <c:v>86.656131891046471</c:v>
                </c:pt>
                <c:pt idx="75">
                  <c:v>86.687084582301523</c:v>
                </c:pt>
                <c:pt idx="76">
                  <c:v>86.085950736348181</c:v>
                </c:pt>
                <c:pt idx="77">
                  <c:v>85.585820409227097</c:v>
                </c:pt>
                <c:pt idx="78">
                  <c:v>85.509253225596183</c:v>
                </c:pt>
                <c:pt idx="79">
                  <c:v>85.344715235240386</c:v>
                </c:pt>
                <c:pt idx="80">
                  <c:v>85.246969894434969</c:v>
                </c:pt>
                <c:pt idx="81">
                  <c:v>85.212759025153076</c:v>
                </c:pt>
                <c:pt idx="82">
                  <c:v>86.126677961683768</c:v>
                </c:pt>
                <c:pt idx="83">
                  <c:v>87.135084060993037</c:v>
                </c:pt>
                <c:pt idx="84">
                  <c:v>86.294474130066391</c:v>
                </c:pt>
                <c:pt idx="85">
                  <c:v>86.027303531864916</c:v>
                </c:pt>
                <c:pt idx="86">
                  <c:v>86.204874234328102</c:v>
                </c:pt>
                <c:pt idx="87">
                  <c:v>86.245601459663703</c:v>
                </c:pt>
                <c:pt idx="88">
                  <c:v>85.541835005864655</c:v>
                </c:pt>
                <c:pt idx="89">
                  <c:v>85.885572787697058</c:v>
                </c:pt>
                <c:pt idx="90">
                  <c:v>86.436204874234278</c:v>
                </c:pt>
                <c:pt idx="91">
                  <c:v>85.965398149354826</c:v>
                </c:pt>
                <c:pt idx="92">
                  <c:v>86.009383552717267</c:v>
                </c:pt>
                <c:pt idx="93">
                  <c:v>85.805747426039304</c:v>
                </c:pt>
                <c:pt idx="94">
                  <c:v>85.963769060341406</c:v>
                </c:pt>
                <c:pt idx="95">
                  <c:v>85.861136452495714</c:v>
                </c:pt>
                <c:pt idx="96">
                  <c:v>86.641470089925662</c:v>
                </c:pt>
                <c:pt idx="97">
                  <c:v>86.959142447543286</c:v>
                </c:pt>
                <c:pt idx="98">
                  <c:v>87.58634171771142</c:v>
                </c:pt>
                <c:pt idx="99">
                  <c:v>88.022937573308965</c:v>
                </c:pt>
                <c:pt idx="100">
                  <c:v>87.95288674573176</c:v>
                </c:pt>
                <c:pt idx="101">
                  <c:v>88.327577218819215</c:v>
                </c:pt>
                <c:pt idx="102">
                  <c:v>88.927081975759151</c:v>
                </c:pt>
                <c:pt idx="103">
                  <c:v>88.756027629349646</c:v>
                </c:pt>
                <c:pt idx="104">
                  <c:v>88.873322038316161</c:v>
                </c:pt>
                <c:pt idx="105">
                  <c:v>89.230092532255952</c:v>
                </c:pt>
                <c:pt idx="106">
                  <c:v>89.51844128763193</c:v>
                </c:pt>
                <c:pt idx="107">
                  <c:v>90.707676267431211</c:v>
                </c:pt>
                <c:pt idx="108">
                  <c:v>90.727225335592294</c:v>
                </c:pt>
                <c:pt idx="109">
                  <c:v>90.987879577740088</c:v>
                </c:pt>
                <c:pt idx="110">
                  <c:v>91.540140753290729</c:v>
                </c:pt>
                <c:pt idx="111">
                  <c:v>91.857813110908353</c:v>
                </c:pt>
                <c:pt idx="112">
                  <c:v>91.71608236674048</c:v>
                </c:pt>
                <c:pt idx="113">
                  <c:v>91.400039098136276</c:v>
                </c:pt>
                <c:pt idx="114">
                  <c:v>90.174964160041668</c:v>
                </c:pt>
                <c:pt idx="115">
                  <c:v>90.352534862504854</c:v>
                </c:pt>
                <c:pt idx="116">
                  <c:v>90.554541900169397</c:v>
                </c:pt>
                <c:pt idx="117">
                  <c:v>89.915939006907308</c:v>
                </c:pt>
                <c:pt idx="118">
                  <c:v>89.730222859377008</c:v>
                </c:pt>
                <c:pt idx="119">
                  <c:v>88.917307441678588</c:v>
                </c:pt>
                <c:pt idx="120">
                  <c:v>89.101394500195468</c:v>
                </c:pt>
                <c:pt idx="121">
                  <c:v>89.414179590772818</c:v>
                </c:pt>
                <c:pt idx="122">
                  <c:v>89.841000912289829</c:v>
                </c:pt>
                <c:pt idx="123">
                  <c:v>88.936856509839686</c:v>
                </c:pt>
                <c:pt idx="124">
                  <c:v>89.218688909161969</c:v>
                </c:pt>
                <c:pt idx="125">
                  <c:v>88.467678873973639</c:v>
                </c:pt>
                <c:pt idx="126">
                  <c:v>88.523067900430036</c:v>
                </c:pt>
                <c:pt idx="127">
                  <c:v>88.443242538772282</c:v>
                </c:pt>
                <c:pt idx="128">
                  <c:v>89.21217255310826</c:v>
                </c:pt>
                <c:pt idx="129">
                  <c:v>89.520070376645336</c:v>
                </c:pt>
                <c:pt idx="130">
                  <c:v>89.433728658933887</c:v>
                </c:pt>
                <c:pt idx="131">
                  <c:v>89.568943047048052</c:v>
                </c:pt>
                <c:pt idx="132">
                  <c:v>89.305030626873418</c:v>
                </c:pt>
                <c:pt idx="133">
                  <c:v>89.65202658673266</c:v>
                </c:pt>
                <c:pt idx="134">
                  <c:v>89.544506711846708</c:v>
                </c:pt>
                <c:pt idx="135">
                  <c:v>89.751401016551526</c:v>
                </c:pt>
                <c:pt idx="136">
                  <c:v>89.510295842564801</c:v>
                </c:pt>
                <c:pt idx="137">
                  <c:v>89.845888179330089</c:v>
                </c:pt>
                <c:pt idx="138">
                  <c:v>89.953408054216041</c:v>
                </c:pt>
                <c:pt idx="139">
                  <c:v>89.849146357356929</c:v>
                </c:pt>
                <c:pt idx="140">
                  <c:v>89.746513749511251</c:v>
                </c:pt>
                <c:pt idx="141">
                  <c:v>90.039749771927518</c:v>
                </c:pt>
                <c:pt idx="142">
                  <c:v>91.038381337156238</c:v>
                </c:pt>
                <c:pt idx="143">
                  <c:v>91.092141274599214</c:v>
                </c:pt>
                <c:pt idx="144">
                  <c:v>90.697901733350676</c:v>
                </c:pt>
                <c:pt idx="145">
                  <c:v>90.732112602632583</c:v>
                </c:pt>
                <c:pt idx="146">
                  <c:v>91.206177505538875</c:v>
                </c:pt>
                <c:pt idx="147">
                  <c:v>91.111690342760298</c:v>
                </c:pt>
                <c:pt idx="148">
                  <c:v>91.21269386159257</c:v>
                </c:pt>
                <c:pt idx="149">
                  <c:v>91.162192102176434</c:v>
                </c:pt>
                <c:pt idx="150">
                  <c:v>90.574090968330481</c:v>
                </c:pt>
                <c:pt idx="151">
                  <c:v>90.222207741430964</c:v>
                </c:pt>
                <c:pt idx="152">
                  <c:v>90.192884139189331</c:v>
                </c:pt>
                <c:pt idx="153">
                  <c:v>90.261305877753131</c:v>
                </c:pt>
                <c:pt idx="154">
                  <c:v>89.575459403101746</c:v>
                </c:pt>
                <c:pt idx="155">
                  <c:v>89.215430731135115</c:v>
                </c:pt>
                <c:pt idx="156">
                  <c:v>88.97106737912155</c:v>
                </c:pt>
                <c:pt idx="157">
                  <c:v>89.275707024631785</c:v>
                </c:pt>
                <c:pt idx="158">
                  <c:v>89.288739736739174</c:v>
                </c:pt>
                <c:pt idx="159">
                  <c:v>89.511924931578221</c:v>
                </c:pt>
                <c:pt idx="160">
                  <c:v>89.52495764368561</c:v>
                </c:pt>
                <c:pt idx="161">
                  <c:v>89.006907337416891</c:v>
                </c:pt>
                <c:pt idx="162">
                  <c:v>89.441874104001016</c:v>
                </c:pt>
                <c:pt idx="163">
                  <c:v>89.446761371041291</c:v>
                </c:pt>
                <c:pt idx="164">
                  <c:v>89.404405056692283</c:v>
                </c:pt>
                <c:pt idx="165">
                  <c:v>89.01831096051086</c:v>
                </c:pt>
                <c:pt idx="166">
                  <c:v>89.375081454450651</c:v>
                </c:pt>
                <c:pt idx="167">
                  <c:v>89.45979408314868</c:v>
                </c:pt>
                <c:pt idx="168">
                  <c:v>89.274077935618379</c:v>
                </c:pt>
                <c:pt idx="169">
                  <c:v>89.420695946826527</c:v>
                </c:pt>
                <c:pt idx="170">
                  <c:v>90.491007428645901</c:v>
                </c:pt>
                <c:pt idx="171">
                  <c:v>90.331356705330379</c:v>
                </c:pt>
                <c:pt idx="172">
                  <c:v>90.548025544115745</c:v>
                </c:pt>
                <c:pt idx="173">
                  <c:v>90.207545940310197</c:v>
                </c:pt>
                <c:pt idx="174">
                  <c:v>90.264564055780042</c:v>
                </c:pt>
                <c:pt idx="175">
                  <c:v>90.401407532907626</c:v>
                </c:pt>
                <c:pt idx="176">
                  <c:v>90.086993353316871</c:v>
                </c:pt>
                <c:pt idx="177">
                  <c:v>89.687866545028072</c:v>
                </c:pt>
                <c:pt idx="178">
                  <c:v>90.481232894565409</c:v>
                </c:pt>
                <c:pt idx="179">
                  <c:v>90.316694904209626</c:v>
                </c:pt>
                <c:pt idx="180">
                  <c:v>90.464942004431194</c:v>
                </c:pt>
                <c:pt idx="181">
                  <c:v>90.908054216082434</c:v>
                </c:pt>
                <c:pt idx="182">
                  <c:v>90.9390069073375</c:v>
                </c:pt>
                <c:pt idx="183">
                  <c:v>90.945523263391195</c:v>
                </c:pt>
                <c:pt idx="184">
                  <c:v>91.215952039619523</c:v>
                </c:pt>
                <c:pt idx="185">
                  <c:v>90.56920370129032</c:v>
                </c:pt>
                <c:pt idx="186">
                  <c:v>89.878469959598675</c:v>
                </c:pt>
                <c:pt idx="187">
                  <c:v>89.334354229115164</c:v>
                </c:pt>
                <c:pt idx="188">
                  <c:v>88.374820800208596</c:v>
                </c:pt>
                <c:pt idx="189">
                  <c:v>88.801642121725607</c:v>
                </c:pt>
                <c:pt idx="190">
                  <c:v>88.308028150658231</c:v>
                </c:pt>
                <c:pt idx="191">
                  <c:v>87.990355793040607</c:v>
                </c:pt>
                <c:pt idx="192">
                  <c:v>88.08647204483259</c:v>
                </c:pt>
                <c:pt idx="193">
                  <c:v>88.809787566792707</c:v>
                </c:pt>
                <c:pt idx="194">
                  <c:v>88.918936530692093</c:v>
                </c:pt>
                <c:pt idx="195">
                  <c:v>88.941743776880017</c:v>
                </c:pt>
                <c:pt idx="196">
                  <c:v>89.254528867457367</c:v>
                </c:pt>
                <c:pt idx="197">
                  <c:v>88.817933011859836</c:v>
                </c:pt>
                <c:pt idx="198">
                  <c:v>89.005278248403542</c:v>
                </c:pt>
                <c:pt idx="199">
                  <c:v>89.262674312524496</c:v>
                </c:pt>
                <c:pt idx="200">
                  <c:v>89.803531864981167</c:v>
                </c:pt>
                <c:pt idx="201">
                  <c:v>89.332725140101715</c:v>
                </c:pt>
                <c:pt idx="202">
                  <c:v>89.148638081584849</c:v>
                </c:pt>
                <c:pt idx="203">
                  <c:v>88.980841913202198</c:v>
                </c:pt>
                <c:pt idx="204">
                  <c:v>88.759285807376585</c:v>
                </c:pt>
                <c:pt idx="205">
                  <c:v>89.031343672618348</c:v>
                </c:pt>
                <c:pt idx="206">
                  <c:v>89.32132151700776</c:v>
                </c:pt>
                <c:pt idx="207">
                  <c:v>89.656913853773034</c:v>
                </c:pt>
                <c:pt idx="208">
                  <c:v>89.585233937182394</c:v>
                </c:pt>
                <c:pt idx="209">
                  <c:v>89.681350188974378</c:v>
                </c:pt>
                <c:pt idx="210">
                  <c:v>89.803531864981153</c:v>
                </c:pt>
                <c:pt idx="211">
                  <c:v>89.555910334940748</c:v>
                </c:pt>
                <c:pt idx="212">
                  <c:v>89.205656197054665</c:v>
                </c:pt>
                <c:pt idx="213">
                  <c:v>88.562166036752302</c:v>
                </c:pt>
                <c:pt idx="214">
                  <c:v>88.467678873973725</c:v>
                </c:pt>
                <c:pt idx="215">
                  <c:v>88.439984360745513</c:v>
                </c:pt>
                <c:pt idx="216">
                  <c:v>88.294995438550799</c:v>
                </c:pt>
                <c:pt idx="217">
                  <c:v>88.470937052000565</c:v>
                </c:pt>
                <c:pt idx="218">
                  <c:v>89.436986836960813</c:v>
                </c:pt>
                <c:pt idx="219">
                  <c:v>90.15541509188067</c:v>
                </c:pt>
                <c:pt idx="220">
                  <c:v>90.678352665189664</c:v>
                </c:pt>
                <c:pt idx="221">
                  <c:v>91.092141274599285</c:v>
                </c:pt>
                <c:pt idx="222">
                  <c:v>91.189886615404703</c:v>
                </c:pt>
                <c:pt idx="223">
                  <c:v>91.142643034015421</c:v>
                </c:pt>
                <c:pt idx="224">
                  <c:v>90.986250488726739</c:v>
                </c:pt>
                <c:pt idx="225">
                  <c:v>91.189886615404703</c:v>
                </c:pt>
                <c:pt idx="226">
                  <c:v>91.530366219210265</c:v>
                </c:pt>
                <c:pt idx="227">
                  <c:v>91.673726052391558</c:v>
                </c:pt>
                <c:pt idx="228">
                  <c:v>91.717711455753985</c:v>
                </c:pt>
                <c:pt idx="229">
                  <c:v>92.063078326599822</c:v>
                </c:pt>
                <c:pt idx="230">
                  <c:v>91.799165906425188</c:v>
                </c:pt>
                <c:pt idx="231">
                  <c:v>91.33487553759943</c:v>
                </c:pt>
                <c:pt idx="232">
                  <c:v>91.569464355532446</c:v>
                </c:pt>
                <c:pt idx="233">
                  <c:v>91.978365697901793</c:v>
                </c:pt>
                <c:pt idx="234">
                  <c:v>91.952300273687015</c:v>
                </c:pt>
                <c:pt idx="235">
                  <c:v>91.815456796559431</c:v>
                </c:pt>
                <c:pt idx="236">
                  <c:v>91.820344063599705</c:v>
                </c:pt>
                <c:pt idx="237">
                  <c:v>92.473608757982603</c:v>
                </c:pt>
                <c:pt idx="238">
                  <c:v>92.432881532647002</c:v>
                </c:pt>
                <c:pt idx="239">
                  <c:v>93.144793431513165</c:v>
                </c:pt>
                <c:pt idx="240">
                  <c:v>93.20832790303669</c:v>
                </c:pt>
                <c:pt idx="241">
                  <c:v>93.297927798774992</c:v>
                </c:pt>
                <c:pt idx="242">
                  <c:v>93.568356575003321</c:v>
                </c:pt>
                <c:pt idx="243">
                  <c:v>93.314218688909222</c:v>
                </c:pt>
                <c:pt idx="244">
                  <c:v>93.695425518050371</c:v>
                </c:pt>
                <c:pt idx="245">
                  <c:v>93.482014857291858</c:v>
                </c:pt>
                <c:pt idx="246">
                  <c:v>93.314218688909222</c:v>
                </c:pt>
                <c:pt idx="247">
                  <c:v>93.737781832399378</c:v>
                </c:pt>
                <c:pt idx="248">
                  <c:v>93.991919718493463</c:v>
                </c:pt>
                <c:pt idx="249">
                  <c:v>94.306333898084247</c:v>
                </c:pt>
                <c:pt idx="250">
                  <c:v>94.280268473869455</c:v>
                </c:pt>
                <c:pt idx="251">
                  <c:v>93.687280072983242</c:v>
                </c:pt>
                <c:pt idx="252">
                  <c:v>93.506451192493216</c:v>
                </c:pt>
                <c:pt idx="253">
                  <c:v>93.824123550110841</c:v>
                </c:pt>
                <c:pt idx="254">
                  <c:v>93.983774273426363</c:v>
                </c:pt>
                <c:pt idx="255">
                  <c:v>94.135279551674756</c:v>
                </c:pt>
                <c:pt idx="256">
                  <c:v>94.410595594943359</c:v>
                </c:pt>
                <c:pt idx="257">
                  <c:v>94.47250097745345</c:v>
                </c:pt>
                <c:pt idx="258">
                  <c:v>94.361722924540643</c:v>
                </c:pt>
                <c:pt idx="259">
                  <c:v>94.483904600547405</c:v>
                </c:pt>
                <c:pt idx="260">
                  <c:v>94.532777270950106</c:v>
                </c:pt>
                <c:pt idx="261">
                  <c:v>94.720122507493826</c:v>
                </c:pt>
                <c:pt idx="262">
                  <c:v>93.710087319171137</c:v>
                </c:pt>
                <c:pt idx="263">
                  <c:v>93.701941874104023</c:v>
                </c:pt>
                <c:pt idx="264">
                  <c:v>92.931382770754624</c:v>
                </c:pt>
                <c:pt idx="265">
                  <c:v>93.884399843607483</c:v>
                </c:pt>
                <c:pt idx="266">
                  <c:v>93.615600156392574</c:v>
                </c:pt>
                <c:pt idx="267">
                  <c:v>94.231395803466739</c:v>
                </c:pt>
                <c:pt idx="268">
                  <c:v>93.563469307963032</c:v>
                </c:pt>
                <c:pt idx="269">
                  <c:v>93.687280072983242</c:v>
                </c:pt>
                <c:pt idx="270">
                  <c:v>93.780138146748385</c:v>
                </c:pt>
                <c:pt idx="271">
                  <c:v>94.351948390460109</c:v>
                </c:pt>
                <c:pt idx="272">
                  <c:v>94.105955949433124</c:v>
                </c:pt>
                <c:pt idx="273">
                  <c:v>93.299556887788398</c:v>
                </c:pt>
                <c:pt idx="274">
                  <c:v>92.954190016942562</c:v>
                </c:pt>
                <c:pt idx="275">
                  <c:v>93.519483904600591</c:v>
                </c:pt>
                <c:pt idx="276">
                  <c:v>92.739150267170643</c:v>
                </c:pt>
                <c:pt idx="277">
                  <c:v>92.859702854163999</c:v>
                </c:pt>
                <c:pt idx="278">
                  <c:v>92.968851818063399</c:v>
                </c:pt>
                <c:pt idx="279">
                  <c:v>93.348429558191128</c:v>
                </c:pt>
                <c:pt idx="280">
                  <c:v>93.609083800338908</c:v>
                </c:pt>
                <c:pt idx="281">
                  <c:v>93.555323862895932</c:v>
                </c:pt>
                <c:pt idx="282">
                  <c:v>93.227876971197773</c:v>
                </c:pt>
                <c:pt idx="283">
                  <c:v>93.845301707285358</c:v>
                </c:pt>
                <c:pt idx="284">
                  <c:v>94.02124332073511</c:v>
                </c:pt>
                <c:pt idx="285">
                  <c:v>94.180894044050632</c:v>
                </c:pt>
                <c:pt idx="286">
                  <c:v>94.356835657500397</c:v>
                </c:pt>
                <c:pt idx="287">
                  <c:v>94.451322820278975</c:v>
                </c:pt>
                <c:pt idx="288">
                  <c:v>94.62726443372874</c:v>
                </c:pt>
                <c:pt idx="289">
                  <c:v>94.930274990225556</c:v>
                </c:pt>
                <c:pt idx="290">
                  <c:v>94.374755636648061</c:v>
                </c:pt>
                <c:pt idx="291">
                  <c:v>94.404079238889679</c:v>
                </c:pt>
                <c:pt idx="292">
                  <c:v>94.338915678352734</c:v>
                </c:pt>
                <c:pt idx="293">
                  <c:v>94.44806464225212</c:v>
                </c:pt>
                <c:pt idx="294">
                  <c:v>94.223250358399653</c:v>
                </c:pt>
                <c:pt idx="295">
                  <c:v>94.376384725661481</c:v>
                </c:pt>
                <c:pt idx="296">
                  <c:v>94.553955428124667</c:v>
                </c:pt>
                <c:pt idx="297">
                  <c:v>92.815717450801571</c:v>
                </c:pt>
                <c:pt idx="298">
                  <c:v>92.4605760458752</c:v>
                </c:pt>
                <c:pt idx="299">
                  <c:v>92.58764498892225</c:v>
                </c:pt>
                <c:pt idx="300">
                  <c:v>92.713084842955865</c:v>
                </c:pt>
                <c:pt idx="301">
                  <c:v>92.447543333767797</c:v>
                </c:pt>
                <c:pt idx="302">
                  <c:v>91.851296754854729</c:v>
                </c:pt>
                <c:pt idx="303">
                  <c:v>91.447282679525657</c:v>
                </c:pt>
                <c:pt idx="304">
                  <c:v>90.570832790303697</c:v>
                </c:pt>
                <c:pt idx="305">
                  <c:v>91.211064772579221</c:v>
                </c:pt>
                <c:pt idx="306">
                  <c:v>92.172227290499208</c:v>
                </c:pt>
                <c:pt idx="307">
                  <c:v>92.916720969633829</c:v>
                </c:pt>
                <c:pt idx="308">
                  <c:v>92.540401407532954</c:v>
                </c:pt>
                <c:pt idx="309">
                  <c:v>92.602306790043059</c:v>
                </c:pt>
                <c:pt idx="310">
                  <c:v>92.471979668969155</c:v>
                </c:pt>
                <c:pt idx="311">
                  <c:v>92.947673660888867</c:v>
                </c:pt>
                <c:pt idx="312">
                  <c:v>92.85807376515055</c:v>
                </c:pt>
                <c:pt idx="313">
                  <c:v>93.306073243842064</c:v>
                </c:pt>
                <c:pt idx="314">
                  <c:v>92.441026977714074</c:v>
                </c:pt>
                <c:pt idx="315">
                  <c:v>91.835005864720458</c:v>
                </c:pt>
                <c:pt idx="316">
                  <c:v>91.481493548807521</c:v>
                </c:pt>
                <c:pt idx="317">
                  <c:v>91.546657109344466</c:v>
                </c:pt>
                <c:pt idx="318">
                  <c:v>91.233872018767116</c:v>
                </c:pt>
                <c:pt idx="319">
                  <c:v>90.968330509579047</c:v>
                </c:pt>
                <c:pt idx="320">
                  <c:v>90.794017985142702</c:v>
                </c:pt>
                <c:pt idx="321">
                  <c:v>91.458686302619569</c:v>
                </c:pt>
                <c:pt idx="322">
                  <c:v>91.68675876449889</c:v>
                </c:pt>
                <c:pt idx="323">
                  <c:v>91.567835266518955</c:v>
                </c:pt>
                <c:pt idx="324">
                  <c:v>91.75680959207611</c:v>
                </c:pt>
                <c:pt idx="325">
                  <c:v>92.012576567183629</c:v>
                </c:pt>
                <c:pt idx="326">
                  <c:v>91.914831226378197</c:v>
                </c:pt>
                <c:pt idx="327">
                  <c:v>92.123354620096435</c:v>
                </c:pt>
                <c:pt idx="328">
                  <c:v>91.760067770102964</c:v>
                </c:pt>
                <c:pt idx="329">
                  <c:v>91.597158868760602</c:v>
                </c:pt>
                <c:pt idx="330">
                  <c:v>92.002802033103109</c:v>
                </c:pt>
                <c:pt idx="331">
                  <c:v>92.195034536687118</c:v>
                </c:pt>
                <c:pt idx="332">
                  <c:v>92.662583083539715</c:v>
                </c:pt>
                <c:pt idx="333">
                  <c:v>92.690277596767913</c:v>
                </c:pt>
                <c:pt idx="334">
                  <c:v>92.986771797211034</c:v>
                </c:pt>
                <c:pt idx="335">
                  <c:v>92.612081324123579</c:v>
                </c:pt>
                <c:pt idx="336">
                  <c:v>92.630001303271257</c:v>
                </c:pt>
                <c:pt idx="337">
                  <c:v>92.696793952821622</c:v>
                </c:pt>
                <c:pt idx="338">
                  <c:v>92.688648507754493</c:v>
                </c:pt>
                <c:pt idx="339">
                  <c:v>92.942786393848593</c:v>
                </c:pt>
                <c:pt idx="340">
                  <c:v>92.923237325687509</c:v>
                </c:pt>
                <c:pt idx="341">
                  <c:v>93.581389287110696</c:v>
                </c:pt>
                <c:pt idx="342">
                  <c:v>93.284895086667589</c:v>
                </c:pt>
                <c:pt idx="343">
                  <c:v>92.616968591163868</c:v>
                </c:pt>
                <c:pt idx="344">
                  <c:v>92.916720969633829</c:v>
                </c:pt>
                <c:pt idx="345">
                  <c:v>92.840153786002901</c:v>
                </c:pt>
                <c:pt idx="346">
                  <c:v>92.90694643555328</c:v>
                </c:pt>
                <c:pt idx="347">
                  <c:v>93.58953473217781</c:v>
                </c:pt>
                <c:pt idx="348">
                  <c:v>94.257461227681532</c:v>
                </c:pt>
                <c:pt idx="349">
                  <c:v>94.047308744949873</c:v>
                </c:pt>
                <c:pt idx="350">
                  <c:v>93.832268995177955</c:v>
                </c:pt>
                <c:pt idx="351">
                  <c:v>93.350058647204534</c:v>
                </c:pt>
                <c:pt idx="352">
                  <c:v>93.451062166036792</c:v>
                </c:pt>
                <c:pt idx="353">
                  <c:v>93.829010817151101</c:v>
                </c:pt>
                <c:pt idx="354">
                  <c:v>94.001694252574026</c:v>
                </c:pt>
                <c:pt idx="355">
                  <c:v>94.097810504366038</c:v>
                </c:pt>
                <c:pt idx="356">
                  <c:v>93.710087319171194</c:v>
                </c:pt>
                <c:pt idx="357">
                  <c:v>93.900690733741754</c:v>
                </c:pt>
                <c:pt idx="358">
                  <c:v>93.698683696077211</c:v>
                </c:pt>
                <c:pt idx="359">
                  <c:v>93.936530692037067</c:v>
                </c:pt>
                <c:pt idx="360">
                  <c:v>93.899061644728334</c:v>
                </c:pt>
                <c:pt idx="361">
                  <c:v>93.94956340414447</c:v>
                </c:pt>
                <c:pt idx="362">
                  <c:v>94.167861331943243</c:v>
                </c:pt>
                <c:pt idx="363">
                  <c:v>94.229766714453334</c:v>
                </c:pt>
                <c:pt idx="364">
                  <c:v>94.400821060862825</c:v>
                </c:pt>
                <c:pt idx="365">
                  <c:v>94.14994135279558</c:v>
                </c:pt>
                <c:pt idx="366">
                  <c:v>94.689169816238831</c:v>
                </c:pt>
                <c:pt idx="367">
                  <c:v>94.215104913332524</c:v>
                </c:pt>
                <c:pt idx="368">
                  <c:v>94.710347973413334</c:v>
                </c:pt>
                <c:pt idx="369">
                  <c:v>94.835787827446964</c:v>
                </c:pt>
                <c:pt idx="370">
                  <c:v>94.866740518702002</c:v>
                </c:pt>
                <c:pt idx="371">
                  <c:v>94.754333376775776</c:v>
                </c:pt>
                <c:pt idx="372">
                  <c:v>95.101329336635018</c:v>
                </c:pt>
                <c:pt idx="373">
                  <c:v>94.59794083148708</c:v>
                </c:pt>
                <c:pt idx="374">
                  <c:v>94.5230027368696</c:v>
                </c:pt>
                <c:pt idx="375">
                  <c:v>94.273752117815775</c:v>
                </c:pt>
                <c:pt idx="376">
                  <c:v>93.566727485989901</c:v>
                </c:pt>
                <c:pt idx="377">
                  <c:v>93.092662583083595</c:v>
                </c:pt>
                <c:pt idx="378">
                  <c:v>92.392154307311401</c:v>
                </c:pt>
                <c:pt idx="379">
                  <c:v>92.660953994526309</c:v>
                </c:pt>
                <c:pt idx="380">
                  <c:v>93.042160823667459</c:v>
                </c:pt>
                <c:pt idx="381">
                  <c:v>93.310960510882353</c:v>
                </c:pt>
                <c:pt idx="382">
                  <c:v>93.693796429036908</c:v>
                </c:pt>
                <c:pt idx="383">
                  <c:v>93.687280072983214</c:v>
                </c:pt>
                <c:pt idx="384">
                  <c:v>93.610712889352314</c:v>
                </c:pt>
                <c:pt idx="385">
                  <c:v>93.565098396976452</c:v>
                </c:pt>
                <c:pt idx="386">
                  <c:v>93.268604196533346</c:v>
                </c:pt>
                <c:pt idx="387">
                  <c:v>92.858073765150564</c:v>
                </c:pt>
                <c:pt idx="388">
                  <c:v>93.193666101915852</c:v>
                </c:pt>
                <c:pt idx="389">
                  <c:v>93.157826143620525</c:v>
                </c:pt>
                <c:pt idx="390">
                  <c:v>92.297667144532824</c:v>
                </c:pt>
                <c:pt idx="391">
                  <c:v>92.028867457317915</c:v>
                </c:pt>
                <c:pt idx="392">
                  <c:v>91.96207480776755</c:v>
                </c:pt>
                <c:pt idx="393">
                  <c:v>92.343281636908671</c:v>
                </c:pt>
                <c:pt idx="394">
                  <c:v>92.522481428385277</c:v>
                </c:pt>
                <c:pt idx="395">
                  <c:v>92.033754724358175</c:v>
                </c:pt>
                <c:pt idx="396">
                  <c:v>92.553434119640343</c:v>
                </c:pt>
                <c:pt idx="397">
                  <c:v>92.219470871888475</c:v>
                </c:pt>
                <c:pt idx="398">
                  <c:v>92.328619835787862</c:v>
                </c:pt>
                <c:pt idx="399">
                  <c:v>91.621595203961974</c:v>
                </c:pt>
                <c:pt idx="400">
                  <c:v>91.67535514140495</c:v>
                </c:pt>
                <c:pt idx="401">
                  <c:v>91.976736608888331</c:v>
                </c:pt>
                <c:pt idx="402">
                  <c:v>91.960445718754087</c:v>
                </c:pt>
                <c:pt idx="403">
                  <c:v>91.777987749250642</c:v>
                </c:pt>
                <c:pt idx="404">
                  <c:v>91.903427603284271</c:v>
                </c:pt>
                <c:pt idx="405">
                  <c:v>91.807311351492274</c:v>
                </c:pt>
                <c:pt idx="406">
                  <c:v>92.1738563795126</c:v>
                </c:pt>
                <c:pt idx="407">
                  <c:v>92.631630392284663</c:v>
                </c:pt>
                <c:pt idx="408">
                  <c:v>92.369347061123463</c:v>
                </c:pt>
                <c:pt idx="409">
                  <c:v>92.568095920761152</c:v>
                </c:pt>
                <c:pt idx="410">
                  <c:v>92.499674182197353</c:v>
                </c:pt>
                <c:pt idx="411">
                  <c:v>92.336765280854976</c:v>
                </c:pt>
                <c:pt idx="412">
                  <c:v>92.152678222338096</c:v>
                </c:pt>
                <c:pt idx="413">
                  <c:v>91.650918806203592</c:v>
                </c:pt>
                <c:pt idx="414">
                  <c:v>91.496155349928344</c:v>
                </c:pt>
                <c:pt idx="415">
                  <c:v>91.562947999478709</c:v>
                </c:pt>
                <c:pt idx="416">
                  <c:v>91.913202137364806</c:v>
                </c:pt>
                <c:pt idx="417">
                  <c:v>91.766584126156673</c:v>
                </c:pt>
                <c:pt idx="418">
                  <c:v>91.966962074807782</c:v>
                </c:pt>
                <c:pt idx="419">
                  <c:v>91.68350058647205</c:v>
                </c:pt>
                <c:pt idx="420">
                  <c:v>91.598787957773993</c:v>
                </c:pt>
                <c:pt idx="421">
                  <c:v>91.152417568095913</c:v>
                </c:pt>
                <c:pt idx="422">
                  <c:v>90.836374299491709</c:v>
                </c:pt>
                <c:pt idx="423">
                  <c:v>90.885246969894425</c:v>
                </c:pt>
                <c:pt idx="424">
                  <c:v>91.19151570441808</c:v>
                </c:pt>
                <c:pt idx="425">
                  <c:v>91.644402450149869</c:v>
                </c:pt>
                <c:pt idx="426">
                  <c:v>91.751922325035835</c:v>
                </c:pt>
                <c:pt idx="427">
                  <c:v>91.574351622572664</c:v>
                </c:pt>
                <c:pt idx="428">
                  <c:v>92.195034536687103</c:v>
                </c:pt>
                <c:pt idx="429">
                  <c:v>92.372605239150289</c:v>
                </c:pt>
                <c:pt idx="430">
                  <c:v>92.696793952821608</c:v>
                </c:pt>
                <c:pt idx="431">
                  <c:v>92.918350058647235</c:v>
                </c:pt>
                <c:pt idx="432">
                  <c:v>92.98351361918418</c:v>
                </c:pt>
                <c:pt idx="433">
                  <c:v>93.135018897432587</c:v>
                </c:pt>
                <c:pt idx="434">
                  <c:v>93.125244363352053</c:v>
                </c:pt>
                <c:pt idx="435">
                  <c:v>92.719601199009546</c:v>
                </c:pt>
                <c:pt idx="436">
                  <c:v>92.217841782875055</c:v>
                </c:pt>
                <c:pt idx="437">
                  <c:v>92.370976150136883</c:v>
                </c:pt>
                <c:pt idx="438">
                  <c:v>92.452430600808071</c:v>
                </c:pt>
                <c:pt idx="439">
                  <c:v>92.625114036230997</c:v>
                </c:pt>
                <c:pt idx="440">
                  <c:v>92.450801511794666</c:v>
                </c:pt>
                <c:pt idx="441">
                  <c:v>92.656066727486049</c:v>
                </c:pt>
                <c:pt idx="442">
                  <c:v>92.172227290499222</c:v>
                </c:pt>
                <c:pt idx="443">
                  <c:v>91.673726052391572</c:v>
                </c:pt>
                <c:pt idx="444">
                  <c:v>91.349537338720253</c:v>
                </c:pt>
                <c:pt idx="445">
                  <c:v>91.631369738042551</c:v>
                </c:pt>
                <c:pt idx="446">
                  <c:v>91.453799035579365</c:v>
                </c:pt>
                <c:pt idx="447">
                  <c:v>91.470089925713609</c:v>
                </c:pt>
                <c:pt idx="448">
                  <c:v>91.049784960250292</c:v>
                </c:pt>
                <c:pt idx="449">
                  <c:v>90.973217776619393</c:v>
                </c:pt>
                <c:pt idx="450">
                  <c:v>90.378600286719745</c:v>
                </c:pt>
                <c:pt idx="451">
                  <c:v>90.060927929102121</c:v>
                </c:pt>
                <c:pt idx="452">
                  <c:v>89.985989834484627</c:v>
                </c:pt>
                <c:pt idx="453">
                  <c:v>90.616447282679587</c:v>
                </c:pt>
                <c:pt idx="454">
                  <c:v>90.256418610712942</c:v>
                </c:pt>
                <c:pt idx="455">
                  <c:v>90.08536426430345</c:v>
                </c:pt>
                <c:pt idx="456">
                  <c:v>90.018571614753071</c:v>
                </c:pt>
                <c:pt idx="457">
                  <c:v>89.955037143229546</c:v>
                </c:pt>
                <c:pt idx="458">
                  <c:v>89.751401016551583</c:v>
                </c:pt>
                <c:pt idx="459">
                  <c:v>89.48097224032324</c:v>
                </c:pt>
                <c:pt idx="460">
                  <c:v>89.588492115209206</c:v>
                </c:pt>
                <c:pt idx="461">
                  <c:v>89.85566271341068</c:v>
                </c:pt>
                <c:pt idx="462">
                  <c:v>89.85240453538384</c:v>
                </c:pt>
                <c:pt idx="463">
                  <c:v>90.140753290759832</c:v>
                </c:pt>
                <c:pt idx="464">
                  <c:v>90.044637038967835</c:v>
                </c:pt>
                <c:pt idx="465">
                  <c:v>90.202658673269937</c:v>
                </c:pt>
                <c:pt idx="466">
                  <c:v>90.433989313176099</c:v>
                </c:pt>
                <c:pt idx="467">
                  <c:v>89.658542942786426</c:v>
                </c:pt>
                <c:pt idx="468">
                  <c:v>89.653655675746151</c:v>
                </c:pt>
                <c:pt idx="469">
                  <c:v>90.031604326860446</c:v>
                </c:pt>
                <c:pt idx="470">
                  <c:v>90.049524306008109</c:v>
                </c:pt>
                <c:pt idx="471">
                  <c:v>89.785611885833461</c:v>
                </c:pt>
                <c:pt idx="472">
                  <c:v>89.762804639645537</c:v>
                </c:pt>
                <c:pt idx="473">
                  <c:v>89.288739736739245</c:v>
                </c:pt>
                <c:pt idx="474">
                  <c:v>88.993874625309559</c:v>
                </c:pt>
                <c:pt idx="475">
                  <c:v>89.021569138537771</c:v>
                </c:pt>
                <c:pt idx="476">
                  <c:v>89.334354229115121</c:v>
                </c:pt>
                <c:pt idx="477">
                  <c:v>89.187736217906973</c:v>
                </c:pt>
                <c:pt idx="478">
                  <c:v>89.697641079108593</c:v>
                </c:pt>
                <c:pt idx="479">
                  <c:v>89.875211781571764</c:v>
                </c:pt>
                <c:pt idx="480">
                  <c:v>90.059298840088644</c:v>
                </c:pt>
                <c:pt idx="481">
                  <c:v>89.257787045484193</c:v>
                </c:pt>
                <c:pt idx="482">
                  <c:v>89.378339632477548</c:v>
                </c:pt>
                <c:pt idx="483">
                  <c:v>89.114427212302914</c:v>
                </c:pt>
                <c:pt idx="484">
                  <c:v>89.137234458490852</c:v>
                </c:pt>
                <c:pt idx="485">
                  <c:v>88.216799165906465</c:v>
                </c:pt>
                <c:pt idx="486">
                  <c:v>87.882835918154598</c:v>
                </c:pt>
                <c:pt idx="487">
                  <c:v>87.41854554932884</c:v>
                </c:pt>
                <c:pt idx="488">
                  <c:v>87.029193275120576</c:v>
                </c:pt>
                <c:pt idx="489">
                  <c:v>86.703375472435852</c:v>
                </c:pt>
                <c:pt idx="490">
                  <c:v>85.856249185455525</c:v>
                </c:pt>
                <c:pt idx="491">
                  <c:v>86.213019679395316</c:v>
                </c:pt>
                <c:pt idx="492">
                  <c:v>85.564642252052693</c:v>
                </c:pt>
                <c:pt idx="493">
                  <c:v>85.201355402059207</c:v>
                </c:pt>
                <c:pt idx="494">
                  <c:v>85.246969894435068</c:v>
                </c:pt>
                <c:pt idx="495">
                  <c:v>85.401733350710316</c:v>
                </c:pt>
                <c:pt idx="496">
                  <c:v>85.11175550632089</c:v>
                </c:pt>
                <c:pt idx="497">
                  <c:v>85.057995568877928</c:v>
                </c:pt>
                <c:pt idx="498">
                  <c:v>84.937442981884558</c:v>
                </c:pt>
                <c:pt idx="499">
                  <c:v>84.782679525609311</c:v>
                </c:pt>
                <c:pt idx="500">
                  <c:v>85.290955297797495</c:v>
                </c:pt>
                <c:pt idx="501">
                  <c:v>85.584191320213762</c:v>
                </c:pt>
                <c:pt idx="502">
                  <c:v>85.051479212824219</c:v>
                </c:pt>
                <c:pt idx="503">
                  <c:v>85.100351883226935</c:v>
                </c:pt>
                <c:pt idx="504">
                  <c:v>84.847843086146256</c:v>
                </c:pt>
                <c:pt idx="505">
                  <c:v>84.342825491984911</c:v>
                </c:pt>
                <c:pt idx="506">
                  <c:v>84.098462139971346</c:v>
                </c:pt>
                <c:pt idx="507">
                  <c:v>83.986054998045105</c:v>
                </c:pt>
                <c:pt idx="508">
                  <c:v>83.606477257917376</c:v>
                </c:pt>
                <c:pt idx="509">
                  <c:v>84.743581389287101</c:v>
                </c:pt>
                <c:pt idx="510">
                  <c:v>85.378926104522336</c:v>
                </c:pt>
                <c:pt idx="511">
                  <c:v>86.027303531864973</c:v>
                </c:pt>
                <c:pt idx="512">
                  <c:v>86.496481167730991</c:v>
                </c:pt>
                <c:pt idx="513">
                  <c:v>86.532321126026318</c:v>
                </c:pt>
                <c:pt idx="514">
                  <c:v>86.323797732308094</c:v>
                </c:pt>
                <c:pt idx="515">
                  <c:v>85.742212954515836</c:v>
                </c:pt>
                <c:pt idx="516">
                  <c:v>85.786198357878277</c:v>
                </c:pt>
                <c:pt idx="517">
                  <c:v>85.634693079629884</c:v>
                </c:pt>
                <c:pt idx="518">
                  <c:v>85.662387592858067</c:v>
                </c:pt>
                <c:pt idx="519">
                  <c:v>85.344715235240457</c:v>
                </c:pt>
                <c:pt idx="520">
                  <c:v>85.154111820669897</c:v>
                </c:pt>
                <c:pt idx="521">
                  <c:v>85.416395151831111</c:v>
                </c:pt>
                <c:pt idx="522">
                  <c:v>85.823667405187038</c:v>
                </c:pt>
                <c:pt idx="523">
                  <c:v>85.79923106998568</c:v>
                </c:pt>
                <c:pt idx="524">
                  <c:v>86.286328684999361</c:v>
                </c:pt>
                <c:pt idx="525">
                  <c:v>86.863026195751345</c:v>
                </c:pt>
                <c:pt idx="526">
                  <c:v>86.688713671315014</c:v>
                </c:pt>
                <c:pt idx="527">
                  <c:v>86.542095660106867</c:v>
                </c:pt>
                <c:pt idx="528">
                  <c:v>86.550241105173995</c:v>
                </c:pt>
                <c:pt idx="529">
                  <c:v>86.157630652938892</c:v>
                </c:pt>
                <c:pt idx="530">
                  <c:v>86.786459012120446</c:v>
                </c:pt>
                <c:pt idx="531">
                  <c:v>86.880946174899023</c:v>
                </c:pt>
                <c:pt idx="532">
                  <c:v>86.819040792388918</c:v>
                </c:pt>
                <c:pt idx="533">
                  <c:v>86.270037794865146</c:v>
                </c:pt>
                <c:pt idx="534">
                  <c:v>86.566531995308253</c:v>
                </c:pt>
                <c:pt idx="535">
                  <c:v>86.025674442851582</c:v>
                </c:pt>
                <c:pt idx="536">
                  <c:v>86.139710673791242</c:v>
                </c:pt>
                <c:pt idx="537">
                  <c:v>85.999609018636804</c:v>
                </c:pt>
                <c:pt idx="538">
                  <c:v>86.91678613319435</c:v>
                </c:pt>
                <c:pt idx="539">
                  <c:v>87.030822364134011</c:v>
                </c:pt>
                <c:pt idx="540">
                  <c:v>86.858138928711099</c:v>
                </c:pt>
                <c:pt idx="541">
                  <c:v>86.965658803597066</c:v>
                </c:pt>
                <c:pt idx="542">
                  <c:v>86.638211911898907</c:v>
                </c:pt>
                <c:pt idx="543">
                  <c:v>86.804378991268109</c:v>
                </c:pt>
                <c:pt idx="544">
                  <c:v>86.939593379382273</c:v>
                </c:pt>
                <c:pt idx="545">
                  <c:v>87.309396585429468</c:v>
                </c:pt>
                <c:pt idx="546">
                  <c:v>87.149745862113946</c:v>
                </c:pt>
                <c:pt idx="547">
                  <c:v>86.794604457187575</c:v>
                </c:pt>
                <c:pt idx="548">
                  <c:v>86.998240583865538</c:v>
                </c:pt>
                <c:pt idx="549">
                  <c:v>87.493483643946334</c:v>
                </c:pt>
                <c:pt idx="550">
                  <c:v>87.60263260784572</c:v>
                </c:pt>
                <c:pt idx="551">
                  <c:v>87.661279812328971</c:v>
                </c:pt>
                <c:pt idx="552">
                  <c:v>87.364785611885864</c:v>
                </c:pt>
                <c:pt idx="553">
                  <c:v>87.117164081845459</c:v>
                </c:pt>
                <c:pt idx="554">
                  <c:v>87.553759937443004</c:v>
                </c:pt>
                <c:pt idx="555">
                  <c:v>86.545353838133735</c:v>
                </c:pt>
                <c:pt idx="556">
                  <c:v>85.817151049133344</c:v>
                </c:pt>
                <c:pt idx="557">
                  <c:v>86.36615404665713</c:v>
                </c:pt>
                <c:pt idx="558">
                  <c:v>84.422650853642665</c:v>
                </c:pt>
                <c:pt idx="559">
                  <c:v>83.666753551414061</c:v>
                </c:pt>
                <c:pt idx="560">
                  <c:v>84.328163690864088</c:v>
                </c:pt>
                <c:pt idx="561">
                  <c:v>83.725400755897311</c:v>
                </c:pt>
                <c:pt idx="562">
                  <c:v>82.407467744037547</c:v>
                </c:pt>
                <c:pt idx="563">
                  <c:v>81.377883487553774</c:v>
                </c:pt>
                <c:pt idx="564">
                  <c:v>81.575003258178029</c:v>
                </c:pt>
                <c:pt idx="565">
                  <c:v>81.921999218037286</c:v>
                </c:pt>
                <c:pt idx="566">
                  <c:v>81.809592076111059</c:v>
                </c:pt>
                <c:pt idx="567">
                  <c:v>81.662974064902926</c:v>
                </c:pt>
                <c:pt idx="568">
                  <c:v>82.286915157044191</c:v>
                </c:pt>
                <c:pt idx="569">
                  <c:v>83.085168773621788</c:v>
                </c:pt>
                <c:pt idx="570">
                  <c:v>84.596963378078982</c:v>
                </c:pt>
                <c:pt idx="571">
                  <c:v>84.191320213736475</c:v>
                </c:pt>
                <c:pt idx="572">
                  <c:v>84.106607585038432</c:v>
                </c:pt>
                <c:pt idx="573">
                  <c:v>84.07891307181022</c:v>
                </c:pt>
                <c:pt idx="574">
                  <c:v>84.412876319562088</c:v>
                </c:pt>
                <c:pt idx="575">
                  <c:v>84.987944741300652</c:v>
                </c:pt>
                <c:pt idx="576">
                  <c:v>85.017268343542284</c:v>
                </c:pt>
                <c:pt idx="577">
                  <c:v>85.347973413267297</c:v>
                </c:pt>
                <c:pt idx="578">
                  <c:v>85.629805812589595</c:v>
                </c:pt>
                <c:pt idx="579">
                  <c:v>86.762022676919059</c:v>
                </c:pt>
                <c:pt idx="580">
                  <c:v>87.115534992831996</c:v>
                </c:pt>
                <c:pt idx="581">
                  <c:v>87.146487684087049</c:v>
                </c:pt>
                <c:pt idx="582">
                  <c:v>86.996611494852061</c:v>
                </c:pt>
                <c:pt idx="583">
                  <c:v>87.355011077805273</c:v>
                </c:pt>
                <c:pt idx="584">
                  <c:v>86.760393587905625</c:v>
                </c:pt>
                <c:pt idx="585">
                  <c:v>86.502997523784686</c:v>
                </c:pt>
                <c:pt idx="586">
                  <c:v>86.520917502932349</c:v>
                </c:pt>
                <c:pt idx="587">
                  <c:v>86.550241105173981</c:v>
                </c:pt>
                <c:pt idx="588">
                  <c:v>86.331943177375209</c:v>
                </c:pt>
                <c:pt idx="589">
                  <c:v>86.48344845562363</c:v>
                </c:pt>
                <c:pt idx="590">
                  <c:v>86.845106216603668</c:v>
                </c:pt>
                <c:pt idx="591">
                  <c:v>86.361266779616841</c:v>
                </c:pt>
                <c:pt idx="592">
                  <c:v>86.639841000912298</c:v>
                </c:pt>
                <c:pt idx="593">
                  <c:v>86.353121334549726</c:v>
                </c:pt>
                <c:pt idx="594">
                  <c:v>86.260263260784598</c:v>
                </c:pt>
                <c:pt idx="595">
                  <c:v>85.996350840609949</c:v>
                </c:pt>
                <c:pt idx="596">
                  <c:v>85.504365958555994</c:v>
                </c:pt>
                <c:pt idx="597">
                  <c:v>85.349602502280746</c:v>
                </c:pt>
                <c:pt idx="598">
                  <c:v>84.649094226508552</c:v>
                </c:pt>
                <c:pt idx="599">
                  <c:v>84.535057995568891</c:v>
                </c:pt>
                <c:pt idx="600">
                  <c:v>84.505734393327259</c:v>
                </c:pt>
                <c:pt idx="601">
                  <c:v>84.815261305877769</c:v>
                </c:pt>
                <c:pt idx="602">
                  <c:v>84.222272904991542</c:v>
                </c:pt>
                <c:pt idx="603">
                  <c:v>85.150853642643057</c:v>
                </c:pt>
                <c:pt idx="604">
                  <c:v>86.063143490160328</c:v>
                </c:pt>
                <c:pt idx="605">
                  <c:v>85.064511924931608</c:v>
                </c:pt>
                <c:pt idx="606">
                  <c:v>84.600221556105836</c:v>
                </c:pt>
                <c:pt idx="607">
                  <c:v>83.973022285937731</c:v>
                </c:pt>
                <c:pt idx="608">
                  <c:v>83.920891437508175</c:v>
                </c:pt>
                <c:pt idx="609">
                  <c:v>84.157109344454611</c:v>
                </c:pt>
                <c:pt idx="610">
                  <c:v>84.134302098266687</c:v>
                </c:pt>
                <c:pt idx="611">
                  <c:v>84.122898475172704</c:v>
                </c:pt>
                <c:pt idx="612">
                  <c:v>84.336309135931216</c:v>
                </c:pt>
                <c:pt idx="613">
                  <c:v>84.85273035318653</c:v>
                </c:pt>
                <c:pt idx="614">
                  <c:v>84.637690603414612</c:v>
                </c:pt>
                <c:pt idx="615">
                  <c:v>85.465267822233855</c:v>
                </c:pt>
                <c:pt idx="616">
                  <c:v>85.60374038837486</c:v>
                </c:pt>
                <c:pt idx="617">
                  <c:v>86.46389938746259</c:v>
                </c:pt>
                <c:pt idx="618">
                  <c:v>86.714779095529821</c:v>
                </c:pt>
                <c:pt idx="619">
                  <c:v>85.887201876710577</c:v>
                </c:pt>
                <c:pt idx="620">
                  <c:v>85.595594943307745</c:v>
                </c:pt>
                <c:pt idx="621">
                  <c:v>85.602111299361439</c:v>
                </c:pt>
                <c:pt idx="622">
                  <c:v>86.095725270428815</c:v>
                </c:pt>
                <c:pt idx="623">
                  <c:v>85.989834484556269</c:v>
                </c:pt>
                <c:pt idx="624">
                  <c:v>85.836700117294441</c:v>
                </c:pt>
                <c:pt idx="625">
                  <c:v>86.317281376254428</c:v>
                </c:pt>
                <c:pt idx="626">
                  <c:v>86.061514401146908</c:v>
                </c:pt>
                <c:pt idx="627">
                  <c:v>86.133194317737548</c:v>
                </c:pt>
                <c:pt idx="628">
                  <c:v>85.861136452495785</c:v>
                </c:pt>
                <c:pt idx="629">
                  <c:v>85.901863677831372</c:v>
                </c:pt>
                <c:pt idx="630">
                  <c:v>85.576045875146633</c:v>
                </c:pt>
                <c:pt idx="631">
                  <c:v>84.74846865632739</c:v>
                </c:pt>
                <c:pt idx="632">
                  <c:v>83.973022285937716</c:v>
                </c:pt>
                <c:pt idx="633">
                  <c:v>83.697706242669113</c:v>
                </c:pt>
                <c:pt idx="634">
                  <c:v>84.465007167991672</c:v>
                </c:pt>
                <c:pt idx="635">
                  <c:v>84.246709240192899</c:v>
                </c:pt>
                <c:pt idx="636">
                  <c:v>83.845953342890667</c:v>
                </c:pt>
                <c:pt idx="637">
                  <c:v>84.280920109474792</c:v>
                </c:pt>
                <c:pt idx="638">
                  <c:v>84.499218037273579</c:v>
                </c:pt>
                <c:pt idx="639">
                  <c:v>84.481298058125901</c:v>
                </c:pt>
                <c:pt idx="640">
                  <c:v>84.131043920239804</c:v>
                </c:pt>
                <c:pt idx="641">
                  <c:v>84.212498370910993</c:v>
                </c:pt>
                <c:pt idx="642">
                  <c:v>84.377036361266775</c:v>
                </c:pt>
                <c:pt idx="643">
                  <c:v>84.326534601850639</c:v>
                </c:pt>
                <c:pt idx="644">
                  <c:v>84.05121855858205</c:v>
                </c:pt>
                <c:pt idx="645">
                  <c:v>84.132673009253239</c:v>
                </c:pt>
                <c:pt idx="646">
                  <c:v>83.093314218688931</c:v>
                </c:pt>
                <c:pt idx="647">
                  <c:v>83.197575915548043</c:v>
                </c:pt>
                <c:pt idx="648">
                  <c:v>81.35670533037927</c:v>
                </c:pt>
                <c:pt idx="649">
                  <c:v>80.892414961553527</c:v>
                </c:pt>
                <c:pt idx="650">
                  <c:v>81.361592597419545</c:v>
                </c:pt>
                <c:pt idx="651">
                  <c:v>81.001563925452913</c:v>
                </c:pt>
                <c:pt idx="652">
                  <c:v>80.713215170076921</c:v>
                </c:pt>
                <c:pt idx="653">
                  <c:v>80.416720969633801</c:v>
                </c:pt>
                <c:pt idx="654">
                  <c:v>80.685520656848709</c:v>
                </c:pt>
                <c:pt idx="655">
                  <c:v>80.105564968069871</c:v>
                </c:pt>
                <c:pt idx="656">
                  <c:v>81.324123550110798</c:v>
                </c:pt>
                <c:pt idx="657">
                  <c:v>81.640166818714988</c:v>
                </c:pt>
                <c:pt idx="658">
                  <c:v>81.977388244493682</c:v>
                </c:pt>
                <c:pt idx="659">
                  <c:v>81.954580998305758</c:v>
                </c:pt>
                <c:pt idx="660">
                  <c:v>81.438159781050445</c:v>
                </c:pt>
                <c:pt idx="661">
                  <c:v>81.407207089795392</c:v>
                </c:pt>
                <c:pt idx="662">
                  <c:v>81.824253877231854</c:v>
                </c:pt>
                <c:pt idx="663">
                  <c:v>81.464225205265222</c:v>
                </c:pt>
                <c:pt idx="664">
                  <c:v>82.052326339111175</c:v>
                </c:pt>
                <c:pt idx="665">
                  <c:v>82.29668969112474</c:v>
                </c:pt>
                <c:pt idx="666">
                  <c:v>82.138668056822652</c:v>
                </c:pt>
                <c:pt idx="667">
                  <c:v>82.506842173856413</c:v>
                </c:pt>
                <c:pt idx="668">
                  <c:v>81.952951909292352</c:v>
                </c:pt>
                <c:pt idx="669">
                  <c:v>81.993679134627939</c:v>
                </c:pt>
                <c:pt idx="670">
                  <c:v>82.358595073634845</c:v>
                </c:pt>
                <c:pt idx="671">
                  <c:v>82.1077153655676</c:v>
                </c:pt>
                <c:pt idx="672">
                  <c:v>82.503583995829558</c:v>
                </c:pt>
                <c:pt idx="673">
                  <c:v>82.508471262869833</c:v>
                </c:pt>
                <c:pt idx="674">
                  <c:v>83.210608627655461</c:v>
                </c:pt>
                <c:pt idx="675">
                  <c:v>83.103088752769494</c:v>
                </c:pt>
                <c:pt idx="676">
                  <c:v>83.345823015769625</c:v>
                </c:pt>
                <c:pt idx="677">
                  <c:v>82.824514531474037</c:v>
                </c:pt>
                <c:pt idx="678">
                  <c:v>82.713736478561231</c:v>
                </c:pt>
                <c:pt idx="679">
                  <c:v>82.316238759285852</c:v>
                </c:pt>
                <c:pt idx="680">
                  <c:v>81.702072201225121</c:v>
                </c:pt>
                <c:pt idx="681">
                  <c:v>81.482145184412929</c:v>
                </c:pt>
                <c:pt idx="682">
                  <c:v>81.363221686432993</c:v>
                </c:pt>
                <c:pt idx="683">
                  <c:v>81.557083279030408</c:v>
                </c:pt>
                <c:pt idx="684">
                  <c:v>81.778639384856021</c:v>
                </c:pt>
                <c:pt idx="685">
                  <c:v>81.938290108171543</c:v>
                </c:pt>
                <c:pt idx="686">
                  <c:v>81.819366610191608</c:v>
                </c:pt>
                <c:pt idx="687">
                  <c:v>81.974130066466856</c:v>
                </c:pt>
                <c:pt idx="688">
                  <c:v>82.049068161084335</c:v>
                </c:pt>
                <c:pt idx="689">
                  <c:v>81.547308744949845</c:v>
                </c:pt>
                <c:pt idx="690">
                  <c:v>81.433272514010184</c:v>
                </c:pt>
                <c:pt idx="691">
                  <c:v>81.734653981493551</c:v>
                </c:pt>
                <c:pt idx="692">
                  <c:v>81.693926756157964</c:v>
                </c:pt>
                <c:pt idx="693">
                  <c:v>81.024371171640823</c:v>
                </c:pt>
                <c:pt idx="694">
                  <c:v>81.395803466701423</c:v>
                </c:pt>
                <c:pt idx="695">
                  <c:v>81.723250358399582</c:v>
                </c:pt>
                <c:pt idx="696">
                  <c:v>81.676006777010301</c:v>
                </c:pt>
                <c:pt idx="697">
                  <c:v>82.158217124983707</c:v>
                </c:pt>
                <c:pt idx="698">
                  <c:v>81.296429036882571</c:v>
                </c:pt>
                <c:pt idx="699">
                  <c:v>81.218232764238238</c:v>
                </c:pt>
                <c:pt idx="700">
                  <c:v>80.825622312003134</c:v>
                </c:pt>
                <c:pt idx="701">
                  <c:v>80.892414961553513</c:v>
                </c:pt>
                <c:pt idx="702">
                  <c:v>81.177505538902651</c:v>
                </c:pt>
                <c:pt idx="703">
                  <c:v>80.837025935097103</c:v>
                </c:pt>
                <c:pt idx="704">
                  <c:v>80.345041053043147</c:v>
                </c:pt>
                <c:pt idx="705">
                  <c:v>80.532386289586867</c:v>
                </c:pt>
                <c:pt idx="706">
                  <c:v>79.724358138928721</c:v>
                </c:pt>
                <c:pt idx="707">
                  <c:v>79.022220774143108</c:v>
                </c:pt>
                <c:pt idx="708">
                  <c:v>78.763195621008734</c:v>
                </c:pt>
                <c:pt idx="709">
                  <c:v>79.36595855597551</c:v>
                </c:pt>
                <c:pt idx="710">
                  <c:v>79.36921673400235</c:v>
                </c:pt>
                <c:pt idx="711">
                  <c:v>78.904926365176607</c:v>
                </c:pt>
                <c:pt idx="712">
                  <c:v>80.188648507754465</c:v>
                </c:pt>
                <c:pt idx="713">
                  <c:v>80.354815587123696</c:v>
                </c:pt>
                <c:pt idx="714">
                  <c:v>79.968721490942286</c:v>
                </c:pt>
                <c:pt idx="715">
                  <c:v>79.449042095660118</c:v>
                </c:pt>
                <c:pt idx="716">
                  <c:v>79.136257005082769</c:v>
                </c:pt>
                <c:pt idx="717">
                  <c:v>78.904926365176607</c:v>
                </c:pt>
                <c:pt idx="718">
                  <c:v>78.789261045223512</c:v>
                </c:pt>
                <c:pt idx="719">
                  <c:v>78.577479473478434</c:v>
                </c:pt>
                <c:pt idx="720">
                  <c:v>78.846279160693342</c:v>
                </c:pt>
                <c:pt idx="721">
                  <c:v>78.665450280203302</c:v>
                </c:pt>
                <c:pt idx="722">
                  <c:v>79.173726052391501</c:v>
                </c:pt>
                <c:pt idx="723">
                  <c:v>79.05806073243842</c:v>
                </c:pt>
                <c:pt idx="724">
                  <c:v>78.738759285807362</c:v>
                </c:pt>
                <c:pt idx="725">
                  <c:v>78.896780920109464</c:v>
                </c:pt>
                <c:pt idx="726">
                  <c:v>79.357813110908367</c:v>
                </c:pt>
                <c:pt idx="727">
                  <c:v>78.735501107780522</c:v>
                </c:pt>
                <c:pt idx="728">
                  <c:v>79.054802554411566</c:v>
                </c:pt>
                <c:pt idx="729">
                  <c:v>79.507689300143355</c:v>
                </c:pt>
                <c:pt idx="730">
                  <c:v>79.672227290499151</c:v>
                </c:pt>
                <c:pt idx="731">
                  <c:v>79.510947478170209</c:v>
                </c:pt>
                <c:pt idx="732">
                  <c:v>79.528867457317858</c:v>
                </c:pt>
                <c:pt idx="733">
                  <c:v>79.857943438029451</c:v>
                </c:pt>
                <c:pt idx="734">
                  <c:v>79.642903688257519</c:v>
                </c:pt>
                <c:pt idx="735">
                  <c:v>79.597289195881658</c:v>
                </c:pt>
                <c:pt idx="736">
                  <c:v>80.538902645640562</c:v>
                </c:pt>
                <c:pt idx="737">
                  <c:v>80.739280594291671</c:v>
                </c:pt>
                <c:pt idx="738">
                  <c:v>80.838655024110523</c:v>
                </c:pt>
                <c:pt idx="739">
                  <c:v>80.62198618532517</c:v>
                </c:pt>
                <c:pt idx="740">
                  <c:v>81.226378209305366</c:v>
                </c:pt>
                <c:pt idx="741">
                  <c:v>81.522872409748473</c:v>
                </c:pt>
                <c:pt idx="742">
                  <c:v>81.513097875667924</c:v>
                </c:pt>
                <c:pt idx="743">
                  <c:v>81.369738042486631</c:v>
                </c:pt>
                <c:pt idx="744">
                  <c:v>81.032516616707923</c:v>
                </c:pt>
                <c:pt idx="745">
                  <c:v>80.755571484425886</c:v>
                </c:pt>
                <c:pt idx="746">
                  <c:v>80.724618793170848</c:v>
                </c:pt>
                <c:pt idx="747">
                  <c:v>80.636647986445965</c:v>
                </c:pt>
                <c:pt idx="748">
                  <c:v>80.832138668056814</c:v>
                </c:pt>
                <c:pt idx="749">
                  <c:v>81.241040010426161</c:v>
                </c:pt>
                <c:pt idx="750">
                  <c:v>81.273621790694634</c:v>
                </c:pt>
                <c:pt idx="751">
                  <c:v>80.879382249446095</c:v>
                </c:pt>
                <c:pt idx="752">
                  <c:v>81.166101915808667</c:v>
                </c:pt>
                <c:pt idx="753">
                  <c:v>81.552196011990077</c:v>
                </c:pt>
                <c:pt idx="754">
                  <c:v>81.912224683956708</c:v>
                </c:pt>
                <c:pt idx="755">
                  <c:v>81.941548286198341</c:v>
                </c:pt>
                <c:pt idx="756">
                  <c:v>81.69066857813111</c:v>
                </c:pt>
                <c:pt idx="757">
                  <c:v>81.170989182848942</c:v>
                </c:pt>
                <c:pt idx="758">
                  <c:v>81.32412355011077</c:v>
                </c:pt>
                <c:pt idx="759">
                  <c:v>81.705330379251919</c:v>
                </c:pt>
                <c:pt idx="760">
                  <c:v>81.837286589339229</c:v>
                </c:pt>
                <c:pt idx="761">
                  <c:v>81.550566922976657</c:v>
                </c:pt>
                <c:pt idx="762">
                  <c:v>81.20031278509056</c:v>
                </c:pt>
                <c:pt idx="763">
                  <c:v>81.765606672748589</c:v>
                </c:pt>
                <c:pt idx="764">
                  <c:v>81.545679655936382</c:v>
                </c:pt>
                <c:pt idx="765">
                  <c:v>81.206829141144254</c:v>
                </c:pt>
                <c:pt idx="766">
                  <c:v>80.990160302358916</c:v>
                </c:pt>
                <c:pt idx="767">
                  <c:v>80.814218688909151</c:v>
                </c:pt>
                <c:pt idx="768">
                  <c:v>80.946174898996475</c:v>
                </c:pt>
                <c:pt idx="769">
                  <c:v>81.130261957513355</c:v>
                </c:pt>
                <c:pt idx="770">
                  <c:v>81.224749120291932</c:v>
                </c:pt>
                <c:pt idx="771">
                  <c:v>81.475628828359177</c:v>
                </c:pt>
                <c:pt idx="772">
                  <c:v>81.117229245405966</c:v>
                </c:pt>
                <c:pt idx="773">
                  <c:v>81.19053825101004</c:v>
                </c:pt>
                <c:pt idx="774">
                  <c:v>81.293170858855731</c:v>
                </c:pt>
                <c:pt idx="775">
                  <c:v>81.291541769842297</c:v>
                </c:pt>
                <c:pt idx="776">
                  <c:v>81.216603675224803</c:v>
                </c:pt>
                <c:pt idx="777">
                  <c:v>81.19379642903688</c:v>
                </c:pt>
                <c:pt idx="778">
                  <c:v>81.335527173204738</c:v>
                </c:pt>
                <c:pt idx="779">
                  <c:v>81.931773752117806</c:v>
                </c:pt>
                <c:pt idx="780">
                  <c:v>82.427016812198602</c:v>
                </c:pt>
                <c:pt idx="781">
                  <c:v>82.585038446500704</c:v>
                </c:pt>
                <c:pt idx="782">
                  <c:v>83.034667014205638</c:v>
                </c:pt>
                <c:pt idx="783">
                  <c:v>83.57878274468915</c:v>
                </c:pt>
                <c:pt idx="784">
                  <c:v>83.551088231460938</c:v>
                </c:pt>
                <c:pt idx="785">
                  <c:v>83.132412355011041</c:v>
                </c:pt>
                <c:pt idx="786">
                  <c:v>83.280659455232595</c:v>
                </c:pt>
                <c:pt idx="787">
                  <c:v>83.050957904339839</c:v>
                </c:pt>
                <c:pt idx="788">
                  <c:v>82.961358008601536</c:v>
                </c:pt>
                <c:pt idx="789">
                  <c:v>83.228528606803025</c:v>
                </c:pt>
                <c:pt idx="790">
                  <c:v>83.178026847386889</c:v>
                </c:pt>
                <c:pt idx="791">
                  <c:v>83.5364264303401</c:v>
                </c:pt>
                <c:pt idx="792">
                  <c:v>83.731917111950963</c:v>
                </c:pt>
                <c:pt idx="793">
                  <c:v>83.650462661279775</c:v>
                </c:pt>
                <c:pt idx="794">
                  <c:v>83.497328294017947</c:v>
                </c:pt>
                <c:pt idx="795">
                  <c:v>83.252964942004397</c:v>
                </c:pt>
                <c:pt idx="796">
                  <c:v>83.461488335722635</c:v>
                </c:pt>
                <c:pt idx="797">
                  <c:v>84.106607585038418</c:v>
                </c:pt>
                <c:pt idx="798">
                  <c:v>84.000716799165886</c:v>
                </c:pt>
                <c:pt idx="799">
                  <c:v>82.977648898735794</c:v>
                </c:pt>
                <c:pt idx="800">
                  <c:v>82.46122768148048</c:v>
                </c:pt>
                <c:pt idx="801">
                  <c:v>82.643685650983926</c:v>
                </c:pt>
                <c:pt idx="802">
                  <c:v>82.506842173856342</c:v>
                </c:pt>
                <c:pt idx="803">
                  <c:v>82.326013293366316</c:v>
                </c:pt>
                <c:pt idx="804">
                  <c:v>82.394435031930115</c:v>
                </c:pt>
                <c:pt idx="805">
                  <c:v>82.681154698292687</c:v>
                </c:pt>
                <c:pt idx="806">
                  <c:v>82.674638342238993</c:v>
                </c:pt>
                <c:pt idx="807">
                  <c:v>82.436791346279136</c:v>
                </c:pt>
                <c:pt idx="808">
                  <c:v>82.128893522742047</c:v>
                </c:pt>
                <c:pt idx="809">
                  <c:v>82.625765671836277</c:v>
                </c:pt>
                <c:pt idx="810">
                  <c:v>82.337416916460285</c:v>
                </c:pt>
                <c:pt idx="811">
                  <c:v>82.145184412876276</c:v>
                </c:pt>
                <c:pt idx="812">
                  <c:v>82.272253355923326</c:v>
                </c:pt>
                <c:pt idx="813">
                  <c:v>82.073504496285636</c:v>
                </c:pt>
                <c:pt idx="814">
                  <c:v>81.491919718493378</c:v>
                </c:pt>
                <c:pt idx="815">
                  <c:v>81.716734002345845</c:v>
                </c:pt>
                <c:pt idx="816">
                  <c:v>81.812850254137842</c:v>
                </c:pt>
                <c:pt idx="817">
                  <c:v>82.316238759285767</c:v>
                </c:pt>
                <c:pt idx="818">
                  <c:v>82.205460706372961</c:v>
                </c:pt>
                <c:pt idx="819">
                  <c:v>82.498696728789227</c:v>
                </c:pt>
                <c:pt idx="820">
                  <c:v>82.53453668708454</c:v>
                </c:pt>
                <c:pt idx="821">
                  <c:v>81.868239280594253</c:v>
                </c:pt>
                <c:pt idx="822">
                  <c:v>82.08490811937962</c:v>
                </c:pt>
                <c:pt idx="823">
                  <c:v>81.933402841131212</c:v>
                </c:pt>
                <c:pt idx="824">
                  <c:v>81.866610191580847</c:v>
                </c:pt>
                <c:pt idx="825">
                  <c:v>81.527759676788733</c:v>
                </c:pt>
                <c:pt idx="826">
                  <c:v>81.891046526782219</c:v>
                </c:pt>
                <c:pt idx="827">
                  <c:v>80.915222207741422</c:v>
                </c:pt>
                <c:pt idx="828">
                  <c:v>81.263847256614099</c:v>
                </c:pt>
                <c:pt idx="829">
                  <c:v>80.965723967157572</c:v>
                </c:pt>
                <c:pt idx="830">
                  <c:v>81.045549328815326</c:v>
                </c:pt>
                <c:pt idx="831">
                  <c:v>81.372996220513485</c:v>
                </c:pt>
                <c:pt idx="832">
                  <c:v>82.052326339111147</c:v>
                </c:pt>
                <c:pt idx="833">
                  <c:v>81.993679134627911</c:v>
                </c:pt>
                <c:pt idx="834">
                  <c:v>81.848690212433198</c:v>
                </c:pt>
                <c:pt idx="835">
                  <c:v>82.086537208393068</c:v>
                </c:pt>
                <c:pt idx="836">
                  <c:v>82.355336895607962</c:v>
                </c:pt>
                <c:pt idx="837">
                  <c:v>82.446565880359699</c:v>
                </c:pt>
                <c:pt idx="838">
                  <c:v>82.878274468916985</c:v>
                </c:pt>
                <c:pt idx="839">
                  <c:v>82.796820018245796</c:v>
                </c:pt>
                <c:pt idx="840">
                  <c:v>82.493809461748981</c:v>
                </c:pt>
                <c:pt idx="841">
                  <c:v>82.484034927668432</c:v>
                </c:pt>
                <c:pt idx="842">
                  <c:v>82.172878926104502</c:v>
                </c:pt>
                <c:pt idx="843">
                  <c:v>82.083279030366199</c:v>
                </c:pt>
                <c:pt idx="844">
                  <c:v>82.132151700768901</c:v>
                </c:pt>
                <c:pt idx="845">
                  <c:v>81.895933793822479</c:v>
                </c:pt>
                <c:pt idx="846">
                  <c:v>82.161475303010533</c:v>
                </c:pt>
                <c:pt idx="847">
                  <c:v>82.501954906816096</c:v>
                </c:pt>
                <c:pt idx="848">
                  <c:v>82.928776228333092</c:v>
                </c:pt>
                <c:pt idx="849">
                  <c:v>82.782158217124959</c:v>
                </c:pt>
                <c:pt idx="850">
                  <c:v>82.58503844650069</c:v>
                </c:pt>
                <c:pt idx="851">
                  <c:v>82.567118467353026</c:v>
                </c:pt>
                <c:pt idx="852">
                  <c:v>82.198944350319266</c:v>
                </c:pt>
                <c:pt idx="853">
                  <c:v>82.441678613319397</c:v>
                </c:pt>
                <c:pt idx="854">
                  <c:v>82.352078717581094</c:v>
                </c:pt>
                <c:pt idx="855">
                  <c:v>82.251075198748808</c:v>
                </c:pt>
                <c:pt idx="856">
                  <c:v>81.90733741691642</c:v>
                </c:pt>
                <c:pt idx="857">
                  <c:v>82.130522611755467</c:v>
                </c:pt>
                <c:pt idx="858">
                  <c:v>82.365111429688469</c:v>
                </c:pt>
                <c:pt idx="859">
                  <c:v>82.508471262869762</c:v>
                </c:pt>
                <c:pt idx="860">
                  <c:v>82.368369607715337</c:v>
                </c:pt>
                <c:pt idx="861">
                  <c:v>82.288544246057583</c:v>
                </c:pt>
                <c:pt idx="862">
                  <c:v>82.741430991789372</c:v>
                </c:pt>
                <c:pt idx="863">
                  <c:v>82.912485338198863</c:v>
                </c:pt>
                <c:pt idx="864">
                  <c:v>83.106346930796292</c:v>
                </c:pt>
                <c:pt idx="865">
                  <c:v>82.886419913984085</c:v>
                </c:pt>
                <c:pt idx="866">
                  <c:v>82.941808940440495</c:v>
                </c:pt>
                <c:pt idx="867">
                  <c:v>83.151961423172153</c:v>
                </c:pt>
                <c:pt idx="868">
                  <c:v>82.778900039098119</c:v>
                </c:pt>
                <c:pt idx="869">
                  <c:v>82.658347452104749</c:v>
                </c:pt>
                <c:pt idx="870">
                  <c:v>82.780529128111539</c:v>
                </c:pt>
                <c:pt idx="871">
                  <c:v>82.285286068030729</c:v>
                </c:pt>
                <c:pt idx="872">
                  <c:v>82.211977062426669</c:v>
                </c:pt>
                <c:pt idx="873">
                  <c:v>81.698814023198196</c:v>
                </c:pt>
                <c:pt idx="874">
                  <c:v>81.625505017594122</c:v>
                </c:pt>
                <c:pt idx="875">
                  <c:v>81.718363091359279</c:v>
                </c:pt>
                <c:pt idx="876">
                  <c:v>81.531017854815545</c:v>
                </c:pt>
                <c:pt idx="877">
                  <c:v>81.493548807506812</c:v>
                </c:pt>
                <c:pt idx="878">
                  <c:v>81.140036491593875</c:v>
                </c:pt>
                <c:pt idx="879">
                  <c:v>81.628763195620976</c:v>
                </c:pt>
                <c:pt idx="880">
                  <c:v>81.271992701681185</c:v>
                </c:pt>
                <c:pt idx="881">
                  <c:v>81.452821582171225</c:v>
                </c:pt>
                <c:pt idx="882">
                  <c:v>80.83539684608364</c:v>
                </c:pt>
                <c:pt idx="883">
                  <c:v>81.237781832399293</c:v>
                </c:pt>
                <c:pt idx="884">
                  <c:v>81.245927277466421</c:v>
                </c:pt>
                <c:pt idx="885">
                  <c:v>81.356705330379228</c:v>
                </c:pt>
                <c:pt idx="886">
                  <c:v>81.170989182848942</c:v>
                </c:pt>
                <c:pt idx="887">
                  <c:v>80.854945914244738</c:v>
                </c:pt>
                <c:pt idx="888">
                  <c:v>80.970611234197833</c:v>
                </c:pt>
                <c:pt idx="889">
                  <c:v>81.140036491593889</c:v>
                </c:pt>
                <c:pt idx="890">
                  <c:v>80.988531213345482</c:v>
                </c:pt>
                <c:pt idx="891">
                  <c:v>80.866349537338706</c:v>
                </c:pt>
                <c:pt idx="892">
                  <c:v>81.063469307962961</c:v>
                </c:pt>
                <c:pt idx="893">
                  <c:v>81.462596116251774</c:v>
                </c:pt>
                <c:pt idx="894">
                  <c:v>81.45933793822492</c:v>
                </c:pt>
                <c:pt idx="895">
                  <c:v>81.402319822755089</c:v>
                </c:pt>
                <c:pt idx="896">
                  <c:v>81.131891046526746</c:v>
                </c:pt>
                <c:pt idx="897">
                  <c:v>81.420239801902738</c:v>
                </c:pt>
                <c:pt idx="898">
                  <c:v>80.656197054607034</c:v>
                </c:pt>
                <c:pt idx="899">
                  <c:v>80.524240844519724</c:v>
                </c:pt>
                <c:pt idx="900">
                  <c:v>80.403688257526369</c:v>
                </c:pt>
                <c:pt idx="901">
                  <c:v>80.364590121204202</c:v>
                </c:pt>
                <c:pt idx="902">
                  <c:v>80.02411051739864</c:v>
                </c:pt>
                <c:pt idx="903">
                  <c:v>79.846539814935454</c:v>
                </c:pt>
                <c:pt idx="904">
                  <c:v>79.95568877883484</c:v>
                </c:pt>
                <c:pt idx="905">
                  <c:v>79.963834223901955</c:v>
                </c:pt>
                <c:pt idx="906">
                  <c:v>79.831878013814631</c:v>
                </c:pt>
                <c:pt idx="907">
                  <c:v>79.486511142968823</c:v>
                </c:pt>
                <c:pt idx="908">
                  <c:v>78.961944480646395</c:v>
                </c:pt>
                <c:pt idx="909">
                  <c:v>79.255180503062661</c:v>
                </c:pt>
                <c:pt idx="910">
                  <c:v>79.473478430861448</c:v>
                </c:pt>
                <c:pt idx="911">
                  <c:v>79.771601720317975</c:v>
                </c:pt>
                <c:pt idx="912">
                  <c:v>80.292910204613563</c:v>
                </c:pt>
                <c:pt idx="913">
                  <c:v>80.714844259090299</c:v>
                </c:pt>
                <c:pt idx="914">
                  <c:v>80.525869933533158</c:v>
                </c:pt>
                <c:pt idx="915">
                  <c:v>80.434640948781436</c:v>
                </c:pt>
                <c:pt idx="916">
                  <c:v>80.224488466049777</c:v>
                </c:pt>
                <c:pt idx="917">
                  <c:v>80.336895607976018</c:v>
                </c:pt>
                <c:pt idx="918">
                  <c:v>80.092532255962468</c:v>
                </c:pt>
                <c:pt idx="919">
                  <c:v>79.872605239150275</c:v>
                </c:pt>
                <c:pt idx="920">
                  <c:v>80.255441157304844</c:v>
                </c:pt>
                <c:pt idx="921">
                  <c:v>80.1218558582041</c:v>
                </c:pt>
                <c:pt idx="922">
                  <c:v>80.351557409096841</c:v>
                </c:pt>
                <c:pt idx="923">
                  <c:v>79.885637951257664</c:v>
                </c:pt>
                <c:pt idx="924">
                  <c:v>79.975237846995967</c:v>
                </c:pt>
                <c:pt idx="925">
                  <c:v>79.660823667405197</c:v>
                </c:pt>
                <c:pt idx="926">
                  <c:v>79.129740649029074</c:v>
                </c:pt>
                <c:pt idx="927">
                  <c:v>78.704548416525483</c:v>
                </c:pt>
                <c:pt idx="928">
                  <c:v>78.155545419001712</c:v>
                </c:pt>
                <c:pt idx="929">
                  <c:v>78.443894174377704</c:v>
                </c:pt>
                <c:pt idx="930">
                  <c:v>78.121334549719805</c:v>
                </c:pt>
                <c:pt idx="931">
                  <c:v>77.916069334028421</c:v>
                </c:pt>
                <c:pt idx="932">
                  <c:v>77.950280203310314</c:v>
                </c:pt>
                <c:pt idx="933">
                  <c:v>78.166949042095666</c:v>
                </c:pt>
                <c:pt idx="934">
                  <c:v>77.850905773491462</c:v>
                </c:pt>
                <c:pt idx="935">
                  <c:v>77.637495112732964</c:v>
                </c:pt>
                <c:pt idx="936">
                  <c:v>77.402906294799948</c:v>
                </c:pt>
                <c:pt idx="937">
                  <c:v>77.256288283591815</c:v>
                </c:pt>
                <c:pt idx="938">
                  <c:v>77.686367783135651</c:v>
                </c:pt>
                <c:pt idx="939">
                  <c:v>77.743385898605482</c:v>
                </c:pt>
                <c:pt idx="940">
                  <c:v>77.855793040531708</c:v>
                </c:pt>
                <c:pt idx="941">
                  <c:v>77.958425648377414</c:v>
                </c:pt>
                <c:pt idx="942">
                  <c:v>78.512315912941474</c:v>
                </c:pt>
                <c:pt idx="943">
                  <c:v>78.583995829532114</c:v>
                </c:pt>
                <c:pt idx="944">
                  <c:v>78.569334028411291</c:v>
                </c:pt>
                <c:pt idx="945">
                  <c:v>78.592141274599228</c:v>
                </c:pt>
                <c:pt idx="946">
                  <c:v>78.543268604196513</c:v>
                </c:pt>
                <c:pt idx="947">
                  <c:v>78.482992310699842</c:v>
                </c:pt>
                <c:pt idx="948">
                  <c:v>78.153916329988249</c:v>
                </c:pt>
                <c:pt idx="949">
                  <c:v>77.976345627525077</c:v>
                </c:pt>
                <c:pt idx="950">
                  <c:v>77.679851427081957</c:v>
                </c:pt>
                <c:pt idx="951">
                  <c:v>77.106412094356827</c:v>
                </c:pt>
                <c:pt idx="952">
                  <c:v>76.940245014987596</c:v>
                </c:pt>
                <c:pt idx="953">
                  <c:v>76.845757852209019</c:v>
                </c:pt>
                <c:pt idx="954">
                  <c:v>76.725205265215664</c:v>
                </c:pt>
                <c:pt idx="955">
                  <c:v>77.029844910725885</c:v>
                </c:pt>
              </c:numCache>
            </c:numRef>
          </c:val>
          <c:smooth val="0"/>
          <c:extLst>
            <c:ext xmlns:c16="http://schemas.microsoft.com/office/drawing/2014/chart" uri="{C3380CC4-5D6E-409C-BE32-E72D297353CC}">
              <c16:uniqueId val="{00000000-3681-4EBC-BDC7-036968F800BB}"/>
            </c:ext>
          </c:extLst>
        </c:ser>
        <c:ser>
          <c:idx val="1"/>
          <c:order val="1"/>
          <c:tx>
            <c:strRef>
              <c:f>Sheet1!$C$1</c:f>
              <c:strCache>
                <c:ptCount val="1"/>
                <c:pt idx="0">
                  <c:v>ՀՀ դրամ</c:v>
                </c:pt>
              </c:strCache>
            </c:strRef>
          </c:tx>
          <c:spPr>
            <a:ln w="19050" cap="rnd">
              <a:solidFill>
                <a:srgbClr val="1F497D"/>
              </a:solidFill>
              <a:round/>
            </a:ln>
            <a:effectLst/>
          </c:spPr>
          <c:marker>
            <c:symbol val="none"/>
          </c:marker>
          <c:cat>
            <c:numRef>
              <c:f>Sheet1!$A$2:$A$890</c:f>
              <c:numCache>
                <c:formatCode>m\/d\/yyyy</c:formatCode>
                <c:ptCount val="889"/>
                <c:pt idx="0">
                  <c:v>43832</c:v>
                </c:pt>
                <c:pt idx="1">
                  <c:v>43833</c:v>
                </c:pt>
                <c:pt idx="2">
                  <c:v>43836</c:v>
                </c:pt>
                <c:pt idx="3">
                  <c:v>43837</c:v>
                </c:pt>
                <c:pt idx="4">
                  <c:v>43838</c:v>
                </c:pt>
                <c:pt idx="5">
                  <c:v>43839</c:v>
                </c:pt>
                <c:pt idx="6">
                  <c:v>43840</c:v>
                </c:pt>
                <c:pt idx="7">
                  <c:v>43843</c:v>
                </c:pt>
                <c:pt idx="8">
                  <c:v>43844</c:v>
                </c:pt>
                <c:pt idx="9">
                  <c:v>43845</c:v>
                </c:pt>
                <c:pt idx="10">
                  <c:v>43846</c:v>
                </c:pt>
                <c:pt idx="11">
                  <c:v>43847</c:v>
                </c:pt>
                <c:pt idx="12">
                  <c:v>43850</c:v>
                </c:pt>
                <c:pt idx="13">
                  <c:v>43851</c:v>
                </c:pt>
                <c:pt idx="14">
                  <c:v>43852</c:v>
                </c:pt>
                <c:pt idx="15">
                  <c:v>43853</c:v>
                </c:pt>
                <c:pt idx="16">
                  <c:v>43854</c:v>
                </c:pt>
                <c:pt idx="17">
                  <c:v>43857</c:v>
                </c:pt>
                <c:pt idx="18">
                  <c:v>43858</c:v>
                </c:pt>
                <c:pt idx="19">
                  <c:v>43859</c:v>
                </c:pt>
                <c:pt idx="20">
                  <c:v>43860</c:v>
                </c:pt>
                <c:pt idx="21">
                  <c:v>43861</c:v>
                </c:pt>
                <c:pt idx="22">
                  <c:v>43864</c:v>
                </c:pt>
                <c:pt idx="23">
                  <c:v>43865</c:v>
                </c:pt>
                <c:pt idx="24">
                  <c:v>43866</c:v>
                </c:pt>
                <c:pt idx="25">
                  <c:v>43867</c:v>
                </c:pt>
                <c:pt idx="26">
                  <c:v>43868</c:v>
                </c:pt>
                <c:pt idx="27">
                  <c:v>43871</c:v>
                </c:pt>
                <c:pt idx="28">
                  <c:v>43872</c:v>
                </c:pt>
                <c:pt idx="29">
                  <c:v>43873</c:v>
                </c:pt>
                <c:pt idx="30">
                  <c:v>43874</c:v>
                </c:pt>
                <c:pt idx="31">
                  <c:v>43875</c:v>
                </c:pt>
                <c:pt idx="32">
                  <c:v>43878</c:v>
                </c:pt>
                <c:pt idx="33">
                  <c:v>43879</c:v>
                </c:pt>
                <c:pt idx="34">
                  <c:v>43880</c:v>
                </c:pt>
                <c:pt idx="35">
                  <c:v>43881</c:v>
                </c:pt>
                <c:pt idx="36">
                  <c:v>43882</c:v>
                </c:pt>
                <c:pt idx="37">
                  <c:v>43885</c:v>
                </c:pt>
                <c:pt idx="38">
                  <c:v>43886</c:v>
                </c:pt>
                <c:pt idx="39">
                  <c:v>43887</c:v>
                </c:pt>
                <c:pt idx="40">
                  <c:v>43888</c:v>
                </c:pt>
                <c:pt idx="41">
                  <c:v>43889</c:v>
                </c:pt>
                <c:pt idx="42">
                  <c:v>43892</c:v>
                </c:pt>
                <c:pt idx="43">
                  <c:v>43893</c:v>
                </c:pt>
                <c:pt idx="44">
                  <c:v>43894</c:v>
                </c:pt>
                <c:pt idx="45">
                  <c:v>43895</c:v>
                </c:pt>
                <c:pt idx="46">
                  <c:v>43896</c:v>
                </c:pt>
                <c:pt idx="47">
                  <c:v>43899</c:v>
                </c:pt>
                <c:pt idx="48">
                  <c:v>43900</c:v>
                </c:pt>
                <c:pt idx="49">
                  <c:v>43901</c:v>
                </c:pt>
                <c:pt idx="50">
                  <c:v>43902</c:v>
                </c:pt>
                <c:pt idx="51">
                  <c:v>43903</c:v>
                </c:pt>
                <c:pt idx="52">
                  <c:v>43906</c:v>
                </c:pt>
                <c:pt idx="53">
                  <c:v>43907</c:v>
                </c:pt>
                <c:pt idx="54">
                  <c:v>43908</c:v>
                </c:pt>
                <c:pt idx="55">
                  <c:v>43909</c:v>
                </c:pt>
                <c:pt idx="56">
                  <c:v>43910</c:v>
                </c:pt>
                <c:pt idx="57">
                  <c:v>43913</c:v>
                </c:pt>
                <c:pt idx="58">
                  <c:v>43914</c:v>
                </c:pt>
                <c:pt idx="59">
                  <c:v>43915</c:v>
                </c:pt>
                <c:pt idx="60">
                  <c:v>43916</c:v>
                </c:pt>
                <c:pt idx="61">
                  <c:v>43917</c:v>
                </c:pt>
                <c:pt idx="62">
                  <c:v>43920</c:v>
                </c:pt>
                <c:pt idx="63">
                  <c:v>43921</c:v>
                </c:pt>
                <c:pt idx="64">
                  <c:v>43922</c:v>
                </c:pt>
                <c:pt idx="65">
                  <c:v>43923</c:v>
                </c:pt>
                <c:pt idx="66">
                  <c:v>43924</c:v>
                </c:pt>
                <c:pt idx="67">
                  <c:v>43927</c:v>
                </c:pt>
                <c:pt idx="68">
                  <c:v>43928</c:v>
                </c:pt>
                <c:pt idx="69">
                  <c:v>43929</c:v>
                </c:pt>
                <c:pt idx="70">
                  <c:v>43930</c:v>
                </c:pt>
                <c:pt idx="71">
                  <c:v>43934</c:v>
                </c:pt>
                <c:pt idx="72">
                  <c:v>43935</c:v>
                </c:pt>
                <c:pt idx="73">
                  <c:v>43936</c:v>
                </c:pt>
                <c:pt idx="74">
                  <c:v>43937</c:v>
                </c:pt>
                <c:pt idx="75">
                  <c:v>43938</c:v>
                </c:pt>
                <c:pt idx="76">
                  <c:v>43941</c:v>
                </c:pt>
                <c:pt idx="77">
                  <c:v>43942</c:v>
                </c:pt>
                <c:pt idx="78">
                  <c:v>43943</c:v>
                </c:pt>
                <c:pt idx="79">
                  <c:v>43944</c:v>
                </c:pt>
                <c:pt idx="80">
                  <c:v>43945</c:v>
                </c:pt>
                <c:pt idx="81">
                  <c:v>43948</c:v>
                </c:pt>
                <c:pt idx="82">
                  <c:v>43949</c:v>
                </c:pt>
                <c:pt idx="83">
                  <c:v>43950</c:v>
                </c:pt>
                <c:pt idx="84">
                  <c:v>43951</c:v>
                </c:pt>
                <c:pt idx="85">
                  <c:v>43952</c:v>
                </c:pt>
                <c:pt idx="86">
                  <c:v>43955</c:v>
                </c:pt>
                <c:pt idx="87">
                  <c:v>43956</c:v>
                </c:pt>
                <c:pt idx="88">
                  <c:v>43957</c:v>
                </c:pt>
                <c:pt idx="89">
                  <c:v>43958</c:v>
                </c:pt>
                <c:pt idx="90">
                  <c:v>43959</c:v>
                </c:pt>
                <c:pt idx="91">
                  <c:v>43962</c:v>
                </c:pt>
                <c:pt idx="92">
                  <c:v>43963</c:v>
                </c:pt>
                <c:pt idx="93">
                  <c:v>43964</c:v>
                </c:pt>
                <c:pt idx="94">
                  <c:v>43965</c:v>
                </c:pt>
                <c:pt idx="95">
                  <c:v>43966</c:v>
                </c:pt>
                <c:pt idx="96">
                  <c:v>43969</c:v>
                </c:pt>
                <c:pt idx="97">
                  <c:v>43970</c:v>
                </c:pt>
                <c:pt idx="98">
                  <c:v>43971</c:v>
                </c:pt>
                <c:pt idx="99">
                  <c:v>43972</c:v>
                </c:pt>
                <c:pt idx="100">
                  <c:v>43973</c:v>
                </c:pt>
                <c:pt idx="101">
                  <c:v>43976</c:v>
                </c:pt>
                <c:pt idx="102">
                  <c:v>43977</c:v>
                </c:pt>
                <c:pt idx="103">
                  <c:v>43978</c:v>
                </c:pt>
                <c:pt idx="104">
                  <c:v>43979</c:v>
                </c:pt>
                <c:pt idx="105">
                  <c:v>43980</c:v>
                </c:pt>
                <c:pt idx="106">
                  <c:v>43983</c:v>
                </c:pt>
                <c:pt idx="107">
                  <c:v>43984</c:v>
                </c:pt>
                <c:pt idx="108">
                  <c:v>43985</c:v>
                </c:pt>
                <c:pt idx="109">
                  <c:v>43986</c:v>
                </c:pt>
                <c:pt idx="110">
                  <c:v>43987</c:v>
                </c:pt>
                <c:pt idx="111">
                  <c:v>43990</c:v>
                </c:pt>
                <c:pt idx="112">
                  <c:v>43991</c:v>
                </c:pt>
                <c:pt idx="113">
                  <c:v>43992</c:v>
                </c:pt>
                <c:pt idx="114">
                  <c:v>43993</c:v>
                </c:pt>
                <c:pt idx="115">
                  <c:v>43994</c:v>
                </c:pt>
                <c:pt idx="116">
                  <c:v>43997</c:v>
                </c:pt>
                <c:pt idx="117">
                  <c:v>43998</c:v>
                </c:pt>
                <c:pt idx="118">
                  <c:v>43999</c:v>
                </c:pt>
                <c:pt idx="119">
                  <c:v>44000</c:v>
                </c:pt>
                <c:pt idx="120">
                  <c:v>44001</c:v>
                </c:pt>
                <c:pt idx="121">
                  <c:v>44004</c:v>
                </c:pt>
                <c:pt idx="122">
                  <c:v>44005</c:v>
                </c:pt>
                <c:pt idx="123">
                  <c:v>44006</c:v>
                </c:pt>
                <c:pt idx="124">
                  <c:v>44007</c:v>
                </c:pt>
                <c:pt idx="125">
                  <c:v>44008</c:v>
                </c:pt>
                <c:pt idx="126">
                  <c:v>44011</c:v>
                </c:pt>
                <c:pt idx="127">
                  <c:v>44012</c:v>
                </c:pt>
                <c:pt idx="128">
                  <c:v>44013</c:v>
                </c:pt>
                <c:pt idx="129">
                  <c:v>44014</c:v>
                </c:pt>
                <c:pt idx="130">
                  <c:v>44015</c:v>
                </c:pt>
                <c:pt idx="131">
                  <c:v>44018</c:v>
                </c:pt>
                <c:pt idx="132">
                  <c:v>44019</c:v>
                </c:pt>
                <c:pt idx="133">
                  <c:v>44020</c:v>
                </c:pt>
                <c:pt idx="134">
                  <c:v>44021</c:v>
                </c:pt>
                <c:pt idx="135">
                  <c:v>44022</c:v>
                </c:pt>
                <c:pt idx="136">
                  <c:v>44025</c:v>
                </c:pt>
                <c:pt idx="137">
                  <c:v>44026</c:v>
                </c:pt>
                <c:pt idx="138">
                  <c:v>44027</c:v>
                </c:pt>
                <c:pt idx="139">
                  <c:v>44028</c:v>
                </c:pt>
                <c:pt idx="140">
                  <c:v>44029</c:v>
                </c:pt>
                <c:pt idx="141">
                  <c:v>44032</c:v>
                </c:pt>
                <c:pt idx="142">
                  <c:v>44033</c:v>
                </c:pt>
                <c:pt idx="143">
                  <c:v>44034</c:v>
                </c:pt>
                <c:pt idx="144">
                  <c:v>44035</c:v>
                </c:pt>
                <c:pt idx="145">
                  <c:v>44036</c:v>
                </c:pt>
                <c:pt idx="146">
                  <c:v>44039</c:v>
                </c:pt>
                <c:pt idx="147">
                  <c:v>44040</c:v>
                </c:pt>
                <c:pt idx="148">
                  <c:v>44041</c:v>
                </c:pt>
                <c:pt idx="149">
                  <c:v>44042</c:v>
                </c:pt>
                <c:pt idx="150">
                  <c:v>44043</c:v>
                </c:pt>
                <c:pt idx="151">
                  <c:v>44046</c:v>
                </c:pt>
                <c:pt idx="152">
                  <c:v>44047</c:v>
                </c:pt>
                <c:pt idx="153">
                  <c:v>44048</c:v>
                </c:pt>
                <c:pt idx="154">
                  <c:v>44049</c:v>
                </c:pt>
                <c:pt idx="155">
                  <c:v>44050</c:v>
                </c:pt>
                <c:pt idx="156">
                  <c:v>44053</c:v>
                </c:pt>
                <c:pt idx="157">
                  <c:v>44054</c:v>
                </c:pt>
                <c:pt idx="158">
                  <c:v>44055</c:v>
                </c:pt>
                <c:pt idx="159">
                  <c:v>44056</c:v>
                </c:pt>
                <c:pt idx="160">
                  <c:v>44057</c:v>
                </c:pt>
                <c:pt idx="161">
                  <c:v>44060</c:v>
                </c:pt>
                <c:pt idx="162">
                  <c:v>44061</c:v>
                </c:pt>
                <c:pt idx="163">
                  <c:v>44062</c:v>
                </c:pt>
                <c:pt idx="164">
                  <c:v>44063</c:v>
                </c:pt>
                <c:pt idx="165">
                  <c:v>44064</c:v>
                </c:pt>
                <c:pt idx="166">
                  <c:v>44067</c:v>
                </c:pt>
                <c:pt idx="167">
                  <c:v>44068</c:v>
                </c:pt>
                <c:pt idx="168">
                  <c:v>44069</c:v>
                </c:pt>
                <c:pt idx="169">
                  <c:v>44070</c:v>
                </c:pt>
                <c:pt idx="170">
                  <c:v>44071</c:v>
                </c:pt>
                <c:pt idx="171">
                  <c:v>44074</c:v>
                </c:pt>
                <c:pt idx="172">
                  <c:v>44075</c:v>
                </c:pt>
                <c:pt idx="173">
                  <c:v>44076</c:v>
                </c:pt>
                <c:pt idx="174">
                  <c:v>44077</c:v>
                </c:pt>
                <c:pt idx="175">
                  <c:v>44078</c:v>
                </c:pt>
                <c:pt idx="176">
                  <c:v>44081</c:v>
                </c:pt>
                <c:pt idx="177">
                  <c:v>44082</c:v>
                </c:pt>
                <c:pt idx="178">
                  <c:v>44083</c:v>
                </c:pt>
                <c:pt idx="179">
                  <c:v>44084</c:v>
                </c:pt>
                <c:pt idx="180">
                  <c:v>44085</c:v>
                </c:pt>
                <c:pt idx="181">
                  <c:v>44088</c:v>
                </c:pt>
                <c:pt idx="182">
                  <c:v>44089</c:v>
                </c:pt>
                <c:pt idx="183">
                  <c:v>44090</c:v>
                </c:pt>
                <c:pt idx="184">
                  <c:v>44091</c:v>
                </c:pt>
                <c:pt idx="185">
                  <c:v>44092</c:v>
                </c:pt>
                <c:pt idx="186">
                  <c:v>44095</c:v>
                </c:pt>
                <c:pt idx="187">
                  <c:v>44096</c:v>
                </c:pt>
                <c:pt idx="188">
                  <c:v>44097</c:v>
                </c:pt>
                <c:pt idx="189">
                  <c:v>44098</c:v>
                </c:pt>
                <c:pt idx="190">
                  <c:v>44099</c:v>
                </c:pt>
                <c:pt idx="191">
                  <c:v>44102</c:v>
                </c:pt>
                <c:pt idx="192">
                  <c:v>44103</c:v>
                </c:pt>
                <c:pt idx="193">
                  <c:v>44104</c:v>
                </c:pt>
                <c:pt idx="194">
                  <c:v>44105</c:v>
                </c:pt>
                <c:pt idx="195">
                  <c:v>44106</c:v>
                </c:pt>
                <c:pt idx="196">
                  <c:v>44109</c:v>
                </c:pt>
                <c:pt idx="197">
                  <c:v>44110</c:v>
                </c:pt>
                <c:pt idx="198">
                  <c:v>44111</c:v>
                </c:pt>
                <c:pt idx="199">
                  <c:v>44112</c:v>
                </c:pt>
                <c:pt idx="200">
                  <c:v>44113</c:v>
                </c:pt>
                <c:pt idx="201">
                  <c:v>44116</c:v>
                </c:pt>
                <c:pt idx="202">
                  <c:v>44117</c:v>
                </c:pt>
                <c:pt idx="203">
                  <c:v>44118</c:v>
                </c:pt>
                <c:pt idx="204">
                  <c:v>44119</c:v>
                </c:pt>
                <c:pt idx="205">
                  <c:v>44120</c:v>
                </c:pt>
                <c:pt idx="206">
                  <c:v>44123</c:v>
                </c:pt>
                <c:pt idx="207">
                  <c:v>44124</c:v>
                </c:pt>
                <c:pt idx="208">
                  <c:v>44125</c:v>
                </c:pt>
                <c:pt idx="209">
                  <c:v>44126</c:v>
                </c:pt>
                <c:pt idx="210">
                  <c:v>44127</c:v>
                </c:pt>
                <c:pt idx="211">
                  <c:v>44130</c:v>
                </c:pt>
                <c:pt idx="212">
                  <c:v>44131</c:v>
                </c:pt>
                <c:pt idx="213">
                  <c:v>44132</c:v>
                </c:pt>
                <c:pt idx="214">
                  <c:v>44133</c:v>
                </c:pt>
                <c:pt idx="215">
                  <c:v>44134</c:v>
                </c:pt>
                <c:pt idx="216">
                  <c:v>44137</c:v>
                </c:pt>
                <c:pt idx="217">
                  <c:v>44138</c:v>
                </c:pt>
                <c:pt idx="218">
                  <c:v>44139</c:v>
                </c:pt>
                <c:pt idx="219">
                  <c:v>44140</c:v>
                </c:pt>
                <c:pt idx="220">
                  <c:v>44141</c:v>
                </c:pt>
                <c:pt idx="221">
                  <c:v>44144</c:v>
                </c:pt>
                <c:pt idx="222">
                  <c:v>44145</c:v>
                </c:pt>
                <c:pt idx="223">
                  <c:v>44146</c:v>
                </c:pt>
                <c:pt idx="224">
                  <c:v>44147</c:v>
                </c:pt>
                <c:pt idx="225">
                  <c:v>44148</c:v>
                </c:pt>
                <c:pt idx="226">
                  <c:v>44151</c:v>
                </c:pt>
                <c:pt idx="227">
                  <c:v>44152</c:v>
                </c:pt>
                <c:pt idx="228">
                  <c:v>44153</c:v>
                </c:pt>
                <c:pt idx="229">
                  <c:v>44154</c:v>
                </c:pt>
                <c:pt idx="230">
                  <c:v>44155</c:v>
                </c:pt>
                <c:pt idx="231">
                  <c:v>44158</c:v>
                </c:pt>
                <c:pt idx="232">
                  <c:v>44159</c:v>
                </c:pt>
                <c:pt idx="233">
                  <c:v>44160</c:v>
                </c:pt>
                <c:pt idx="234">
                  <c:v>44161</c:v>
                </c:pt>
                <c:pt idx="235">
                  <c:v>44162</c:v>
                </c:pt>
                <c:pt idx="236">
                  <c:v>44165</c:v>
                </c:pt>
                <c:pt idx="237">
                  <c:v>44166</c:v>
                </c:pt>
                <c:pt idx="238">
                  <c:v>44167</c:v>
                </c:pt>
                <c:pt idx="239">
                  <c:v>44168</c:v>
                </c:pt>
                <c:pt idx="240">
                  <c:v>44169</c:v>
                </c:pt>
                <c:pt idx="241">
                  <c:v>44172</c:v>
                </c:pt>
                <c:pt idx="242">
                  <c:v>44173</c:v>
                </c:pt>
                <c:pt idx="243">
                  <c:v>44174</c:v>
                </c:pt>
                <c:pt idx="244">
                  <c:v>44175</c:v>
                </c:pt>
                <c:pt idx="245">
                  <c:v>44176</c:v>
                </c:pt>
                <c:pt idx="246">
                  <c:v>44179</c:v>
                </c:pt>
                <c:pt idx="247">
                  <c:v>44180</c:v>
                </c:pt>
                <c:pt idx="248">
                  <c:v>44181</c:v>
                </c:pt>
                <c:pt idx="249">
                  <c:v>44182</c:v>
                </c:pt>
                <c:pt idx="250">
                  <c:v>44183</c:v>
                </c:pt>
                <c:pt idx="251">
                  <c:v>44186</c:v>
                </c:pt>
                <c:pt idx="252">
                  <c:v>44187</c:v>
                </c:pt>
                <c:pt idx="253">
                  <c:v>44188</c:v>
                </c:pt>
                <c:pt idx="254">
                  <c:v>44189</c:v>
                </c:pt>
                <c:pt idx="255">
                  <c:v>44193</c:v>
                </c:pt>
                <c:pt idx="256">
                  <c:v>44194</c:v>
                </c:pt>
                <c:pt idx="257">
                  <c:v>44195</c:v>
                </c:pt>
                <c:pt idx="258">
                  <c:v>44196</c:v>
                </c:pt>
                <c:pt idx="259">
                  <c:v>44200</c:v>
                </c:pt>
                <c:pt idx="260">
                  <c:v>44201</c:v>
                </c:pt>
                <c:pt idx="261">
                  <c:v>44202</c:v>
                </c:pt>
                <c:pt idx="262">
                  <c:v>44203</c:v>
                </c:pt>
                <c:pt idx="263">
                  <c:v>44204</c:v>
                </c:pt>
                <c:pt idx="264">
                  <c:v>44207</c:v>
                </c:pt>
                <c:pt idx="265">
                  <c:v>44208</c:v>
                </c:pt>
                <c:pt idx="266">
                  <c:v>44209</c:v>
                </c:pt>
                <c:pt idx="267">
                  <c:v>44210</c:v>
                </c:pt>
                <c:pt idx="268">
                  <c:v>44211</c:v>
                </c:pt>
                <c:pt idx="269">
                  <c:v>44214</c:v>
                </c:pt>
                <c:pt idx="270">
                  <c:v>44215</c:v>
                </c:pt>
                <c:pt idx="271">
                  <c:v>44216</c:v>
                </c:pt>
                <c:pt idx="272">
                  <c:v>44217</c:v>
                </c:pt>
                <c:pt idx="273">
                  <c:v>44218</c:v>
                </c:pt>
                <c:pt idx="274">
                  <c:v>44221</c:v>
                </c:pt>
                <c:pt idx="275">
                  <c:v>44222</c:v>
                </c:pt>
                <c:pt idx="276">
                  <c:v>44223</c:v>
                </c:pt>
                <c:pt idx="277">
                  <c:v>44224</c:v>
                </c:pt>
                <c:pt idx="278">
                  <c:v>44225</c:v>
                </c:pt>
                <c:pt idx="279">
                  <c:v>44228</c:v>
                </c:pt>
                <c:pt idx="280">
                  <c:v>44229</c:v>
                </c:pt>
                <c:pt idx="281">
                  <c:v>44230</c:v>
                </c:pt>
                <c:pt idx="282">
                  <c:v>44231</c:v>
                </c:pt>
                <c:pt idx="283">
                  <c:v>44232</c:v>
                </c:pt>
                <c:pt idx="284">
                  <c:v>44235</c:v>
                </c:pt>
                <c:pt idx="285">
                  <c:v>44236</c:v>
                </c:pt>
                <c:pt idx="286">
                  <c:v>44237</c:v>
                </c:pt>
                <c:pt idx="287">
                  <c:v>44238</c:v>
                </c:pt>
                <c:pt idx="288">
                  <c:v>44239</c:v>
                </c:pt>
                <c:pt idx="289">
                  <c:v>44242</c:v>
                </c:pt>
                <c:pt idx="290">
                  <c:v>44243</c:v>
                </c:pt>
                <c:pt idx="291">
                  <c:v>44244</c:v>
                </c:pt>
                <c:pt idx="292">
                  <c:v>44245</c:v>
                </c:pt>
                <c:pt idx="293">
                  <c:v>44246</c:v>
                </c:pt>
                <c:pt idx="294">
                  <c:v>44249</c:v>
                </c:pt>
                <c:pt idx="295">
                  <c:v>44250</c:v>
                </c:pt>
                <c:pt idx="296">
                  <c:v>44251</c:v>
                </c:pt>
                <c:pt idx="297">
                  <c:v>44252</c:v>
                </c:pt>
                <c:pt idx="298">
                  <c:v>44253</c:v>
                </c:pt>
                <c:pt idx="299">
                  <c:v>44256</c:v>
                </c:pt>
                <c:pt idx="300">
                  <c:v>44257</c:v>
                </c:pt>
                <c:pt idx="301">
                  <c:v>44258</c:v>
                </c:pt>
                <c:pt idx="302">
                  <c:v>44259</c:v>
                </c:pt>
                <c:pt idx="303">
                  <c:v>44260</c:v>
                </c:pt>
                <c:pt idx="304">
                  <c:v>44263</c:v>
                </c:pt>
                <c:pt idx="305">
                  <c:v>44264</c:v>
                </c:pt>
                <c:pt idx="306">
                  <c:v>44265</c:v>
                </c:pt>
                <c:pt idx="307">
                  <c:v>44266</c:v>
                </c:pt>
                <c:pt idx="308">
                  <c:v>44267</c:v>
                </c:pt>
                <c:pt idx="309">
                  <c:v>44270</c:v>
                </c:pt>
                <c:pt idx="310">
                  <c:v>44271</c:v>
                </c:pt>
                <c:pt idx="311">
                  <c:v>44272</c:v>
                </c:pt>
                <c:pt idx="312">
                  <c:v>44273</c:v>
                </c:pt>
                <c:pt idx="313">
                  <c:v>44274</c:v>
                </c:pt>
                <c:pt idx="314">
                  <c:v>44277</c:v>
                </c:pt>
                <c:pt idx="315">
                  <c:v>44278</c:v>
                </c:pt>
                <c:pt idx="316">
                  <c:v>44279</c:v>
                </c:pt>
                <c:pt idx="317">
                  <c:v>44280</c:v>
                </c:pt>
                <c:pt idx="318">
                  <c:v>44281</c:v>
                </c:pt>
                <c:pt idx="319">
                  <c:v>44284</c:v>
                </c:pt>
                <c:pt idx="320">
                  <c:v>44285</c:v>
                </c:pt>
                <c:pt idx="321">
                  <c:v>44286</c:v>
                </c:pt>
                <c:pt idx="322">
                  <c:v>44287</c:v>
                </c:pt>
                <c:pt idx="323">
                  <c:v>44288</c:v>
                </c:pt>
                <c:pt idx="324">
                  <c:v>44291</c:v>
                </c:pt>
                <c:pt idx="325">
                  <c:v>44292</c:v>
                </c:pt>
                <c:pt idx="326">
                  <c:v>44293</c:v>
                </c:pt>
                <c:pt idx="327">
                  <c:v>44294</c:v>
                </c:pt>
                <c:pt idx="328">
                  <c:v>44295</c:v>
                </c:pt>
                <c:pt idx="329">
                  <c:v>44298</c:v>
                </c:pt>
                <c:pt idx="330">
                  <c:v>44299</c:v>
                </c:pt>
                <c:pt idx="331">
                  <c:v>44300</c:v>
                </c:pt>
                <c:pt idx="332">
                  <c:v>44301</c:v>
                </c:pt>
                <c:pt idx="333">
                  <c:v>44302</c:v>
                </c:pt>
                <c:pt idx="334">
                  <c:v>44305</c:v>
                </c:pt>
                <c:pt idx="335">
                  <c:v>44306</c:v>
                </c:pt>
                <c:pt idx="336">
                  <c:v>44307</c:v>
                </c:pt>
                <c:pt idx="337">
                  <c:v>44308</c:v>
                </c:pt>
                <c:pt idx="338">
                  <c:v>44309</c:v>
                </c:pt>
                <c:pt idx="339">
                  <c:v>44312</c:v>
                </c:pt>
                <c:pt idx="340">
                  <c:v>44313</c:v>
                </c:pt>
                <c:pt idx="341">
                  <c:v>44314</c:v>
                </c:pt>
                <c:pt idx="342">
                  <c:v>44315</c:v>
                </c:pt>
                <c:pt idx="343">
                  <c:v>44316</c:v>
                </c:pt>
                <c:pt idx="344">
                  <c:v>44319</c:v>
                </c:pt>
                <c:pt idx="345">
                  <c:v>44320</c:v>
                </c:pt>
                <c:pt idx="346">
                  <c:v>44321</c:v>
                </c:pt>
                <c:pt idx="347">
                  <c:v>44322</c:v>
                </c:pt>
                <c:pt idx="348">
                  <c:v>44323</c:v>
                </c:pt>
                <c:pt idx="349">
                  <c:v>44326</c:v>
                </c:pt>
                <c:pt idx="350">
                  <c:v>44327</c:v>
                </c:pt>
                <c:pt idx="351">
                  <c:v>44328</c:v>
                </c:pt>
                <c:pt idx="352">
                  <c:v>44329</c:v>
                </c:pt>
                <c:pt idx="353">
                  <c:v>44330</c:v>
                </c:pt>
                <c:pt idx="354">
                  <c:v>44333</c:v>
                </c:pt>
                <c:pt idx="355">
                  <c:v>44334</c:v>
                </c:pt>
                <c:pt idx="356">
                  <c:v>44335</c:v>
                </c:pt>
                <c:pt idx="357">
                  <c:v>44336</c:v>
                </c:pt>
                <c:pt idx="358">
                  <c:v>44337</c:v>
                </c:pt>
                <c:pt idx="359">
                  <c:v>44340</c:v>
                </c:pt>
                <c:pt idx="360">
                  <c:v>44341</c:v>
                </c:pt>
                <c:pt idx="361">
                  <c:v>44342</c:v>
                </c:pt>
                <c:pt idx="362">
                  <c:v>44343</c:v>
                </c:pt>
                <c:pt idx="363">
                  <c:v>44344</c:v>
                </c:pt>
                <c:pt idx="364">
                  <c:v>44347</c:v>
                </c:pt>
                <c:pt idx="365">
                  <c:v>44348</c:v>
                </c:pt>
                <c:pt idx="366">
                  <c:v>44349</c:v>
                </c:pt>
                <c:pt idx="367">
                  <c:v>44350</c:v>
                </c:pt>
                <c:pt idx="368">
                  <c:v>44351</c:v>
                </c:pt>
                <c:pt idx="369">
                  <c:v>44354</c:v>
                </c:pt>
                <c:pt idx="370">
                  <c:v>44355</c:v>
                </c:pt>
                <c:pt idx="371">
                  <c:v>44356</c:v>
                </c:pt>
                <c:pt idx="372">
                  <c:v>44357</c:v>
                </c:pt>
                <c:pt idx="373">
                  <c:v>44358</c:v>
                </c:pt>
                <c:pt idx="374">
                  <c:v>44361</c:v>
                </c:pt>
                <c:pt idx="375">
                  <c:v>44362</c:v>
                </c:pt>
                <c:pt idx="376">
                  <c:v>44363</c:v>
                </c:pt>
                <c:pt idx="377">
                  <c:v>44364</c:v>
                </c:pt>
                <c:pt idx="378">
                  <c:v>44365</c:v>
                </c:pt>
                <c:pt idx="379">
                  <c:v>44368</c:v>
                </c:pt>
                <c:pt idx="380">
                  <c:v>44369</c:v>
                </c:pt>
                <c:pt idx="381">
                  <c:v>44370</c:v>
                </c:pt>
                <c:pt idx="382">
                  <c:v>44371</c:v>
                </c:pt>
                <c:pt idx="383">
                  <c:v>44372</c:v>
                </c:pt>
                <c:pt idx="384">
                  <c:v>44375</c:v>
                </c:pt>
                <c:pt idx="385">
                  <c:v>44376</c:v>
                </c:pt>
                <c:pt idx="386">
                  <c:v>44377</c:v>
                </c:pt>
                <c:pt idx="387">
                  <c:v>44378</c:v>
                </c:pt>
                <c:pt idx="388">
                  <c:v>44379</c:v>
                </c:pt>
                <c:pt idx="389">
                  <c:v>44382</c:v>
                </c:pt>
                <c:pt idx="390">
                  <c:v>44383</c:v>
                </c:pt>
                <c:pt idx="391">
                  <c:v>44384</c:v>
                </c:pt>
                <c:pt idx="392">
                  <c:v>44385</c:v>
                </c:pt>
                <c:pt idx="393">
                  <c:v>44386</c:v>
                </c:pt>
                <c:pt idx="394">
                  <c:v>44389</c:v>
                </c:pt>
                <c:pt idx="395">
                  <c:v>44390</c:v>
                </c:pt>
                <c:pt idx="396">
                  <c:v>44391</c:v>
                </c:pt>
                <c:pt idx="397">
                  <c:v>44392</c:v>
                </c:pt>
                <c:pt idx="398">
                  <c:v>44393</c:v>
                </c:pt>
                <c:pt idx="399">
                  <c:v>44396</c:v>
                </c:pt>
                <c:pt idx="400">
                  <c:v>44397</c:v>
                </c:pt>
                <c:pt idx="401">
                  <c:v>44398</c:v>
                </c:pt>
                <c:pt idx="402">
                  <c:v>44399</c:v>
                </c:pt>
                <c:pt idx="403">
                  <c:v>44400</c:v>
                </c:pt>
                <c:pt idx="404">
                  <c:v>44403</c:v>
                </c:pt>
                <c:pt idx="405">
                  <c:v>44404</c:v>
                </c:pt>
                <c:pt idx="406">
                  <c:v>44405</c:v>
                </c:pt>
                <c:pt idx="407">
                  <c:v>44406</c:v>
                </c:pt>
                <c:pt idx="408">
                  <c:v>44407</c:v>
                </c:pt>
                <c:pt idx="409">
                  <c:v>44410</c:v>
                </c:pt>
                <c:pt idx="410">
                  <c:v>44411</c:v>
                </c:pt>
                <c:pt idx="411">
                  <c:v>44412</c:v>
                </c:pt>
                <c:pt idx="412">
                  <c:v>44413</c:v>
                </c:pt>
                <c:pt idx="413">
                  <c:v>44414</c:v>
                </c:pt>
                <c:pt idx="414">
                  <c:v>44417</c:v>
                </c:pt>
                <c:pt idx="415">
                  <c:v>44418</c:v>
                </c:pt>
                <c:pt idx="416">
                  <c:v>44419</c:v>
                </c:pt>
                <c:pt idx="417">
                  <c:v>44420</c:v>
                </c:pt>
                <c:pt idx="418">
                  <c:v>44421</c:v>
                </c:pt>
                <c:pt idx="419">
                  <c:v>44424</c:v>
                </c:pt>
                <c:pt idx="420">
                  <c:v>44425</c:v>
                </c:pt>
                <c:pt idx="421">
                  <c:v>44426</c:v>
                </c:pt>
                <c:pt idx="422">
                  <c:v>44427</c:v>
                </c:pt>
                <c:pt idx="423">
                  <c:v>44428</c:v>
                </c:pt>
                <c:pt idx="424">
                  <c:v>44431</c:v>
                </c:pt>
                <c:pt idx="425">
                  <c:v>44432</c:v>
                </c:pt>
                <c:pt idx="426">
                  <c:v>44433</c:v>
                </c:pt>
                <c:pt idx="427">
                  <c:v>44434</c:v>
                </c:pt>
                <c:pt idx="428">
                  <c:v>44435</c:v>
                </c:pt>
                <c:pt idx="429">
                  <c:v>44438</c:v>
                </c:pt>
                <c:pt idx="430">
                  <c:v>44439</c:v>
                </c:pt>
                <c:pt idx="431">
                  <c:v>44440</c:v>
                </c:pt>
                <c:pt idx="432">
                  <c:v>44441</c:v>
                </c:pt>
                <c:pt idx="433">
                  <c:v>44442</c:v>
                </c:pt>
                <c:pt idx="434">
                  <c:v>44445</c:v>
                </c:pt>
                <c:pt idx="435">
                  <c:v>44446</c:v>
                </c:pt>
                <c:pt idx="436">
                  <c:v>44447</c:v>
                </c:pt>
                <c:pt idx="437">
                  <c:v>44448</c:v>
                </c:pt>
                <c:pt idx="438">
                  <c:v>44449</c:v>
                </c:pt>
                <c:pt idx="439">
                  <c:v>44452</c:v>
                </c:pt>
                <c:pt idx="440">
                  <c:v>44453</c:v>
                </c:pt>
                <c:pt idx="441">
                  <c:v>44454</c:v>
                </c:pt>
                <c:pt idx="442">
                  <c:v>44455</c:v>
                </c:pt>
                <c:pt idx="443">
                  <c:v>44456</c:v>
                </c:pt>
                <c:pt idx="444">
                  <c:v>44459</c:v>
                </c:pt>
                <c:pt idx="445">
                  <c:v>44460</c:v>
                </c:pt>
                <c:pt idx="446">
                  <c:v>44461</c:v>
                </c:pt>
                <c:pt idx="447">
                  <c:v>44462</c:v>
                </c:pt>
                <c:pt idx="448">
                  <c:v>44463</c:v>
                </c:pt>
                <c:pt idx="449">
                  <c:v>44466</c:v>
                </c:pt>
                <c:pt idx="450">
                  <c:v>44467</c:v>
                </c:pt>
                <c:pt idx="451">
                  <c:v>44468</c:v>
                </c:pt>
                <c:pt idx="452">
                  <c:v>44469</c:v>
                </c:pt>
                <c:pt idx="453">
                  <c:v>44470</c:v>
                </c:pt>
                <c:pt idx="454">
                  <c:v>44473</c:v>
                </c:pt>
                <c:pt idx="455">
                  <c:v>44474</c:v>
                </c:pt>
                <c:pt idx="456">
                  <c:v>44475</c:v>
                </c:pt>
                <c:pt idx="457">
                  <c:v>44476</c:v>
                </c:pt>
                <c:pt idx="458">
                  <c:v>44477</c:v>
                </c:pt>
                <c:pt idx="459">
                  <c:v>44480</c:v>
                </c:pt>
                <c:pt idx="460">
                  <c:v>44481</c:v>
                </c:pt>
                <c:pt idx="461">
                  <c:v>44482</c:v>
                </c:pt>
                <c:pt idx="462">
                  <c:v>44483</c:v>
                </c:pt>
                <c:pt idx="463">
                  <c:v>44484</c:v>
                </c:pt>
                <c:pt idx="464">
                  <c:v>44487</c:v>
                </c:pt>
                <c:pt idx="465">
                  <c:v>44488</c:v>
                </c:pt>
                <c:pt idx="466">
                  <c:v>44489</c:v>
                </c:pt>
                <c:pt idx="467">
                  <c:v>44490</c:v>
                </c:pt>
                <c:pt idx="468">
                  <c:v>44491</c:v>
                </c:pt>
                <c:pt idx="469">
                  <c:v>44494</c:v>
                </c:pt>
                <c:pt idx="470">
                  <c:v>44495</c:v>
                </c:pt>
                <c:pt idx="471">
                  <c:v>44496</c:v>
                </c:pt>
                <c:pt idx="472">
                  <c:v>44497</c:v>
                </c:pt>
                <c:pt idx="473">
                  <c:v>44498</c:v>
                </c:pt>
                <c:pt idx="474">
                  <c:v>44501</c:v>
                </c:pt>
                <c:pt idx="475">
                  <c:v>44502</c:v>
                </c:pt>
                <c:pt idx="476">
                  <c:v>44503</c:v>
                </c:pt>
                <c:pt idx="477">
                  <c:v>44504</c:v>
                </c:pt>
                <c:pt idx="478">
                  <c:v>44505</c:v>
                </c:pt>
                <c:pt idx="479">
                  <c:v>44508</c:v>
                </c:pt>
                <c:pt idx="480">
                  <c:v>44509</c:v>
                </c:pt>
                <c:pt idx="481">
                  <c:v>44510</c:v>
                </c:pt>
                <c:pt idx="482">
                  <c:v>44511</c:v>
                </c:pt>
                <c:pt idx="483">
                  <c:v>44512</c:v>
                </c:pt>
                <c:pt idx="484">
                  <c:v>44515</c:v>
                </c:pt>
                <c:pt idx="485">
                  <c:v>44516</c:v>
                </c:pt>
                <c:pt idx="486">
                  <c:v>44517</c:v>
                </c:pt>
                <c:pt idx="487">
                  <c:v>44518</c:v>
                </c:pt>
                <c:pt idx="488">
                  <c:v>44519</c:v>
                </c:pt>
                <c:pt idx="489">
                  <c:v>44522</c:v>
                </c:pt>
                <c:pt idx="490">
                  <c:v>44523</c:v>
                </c:pt>
                <c:pt idx="491">
                  <c:v>44524</c:v>
                </c:pt>
                <c:pt idx="492">
                  <c:v>44525</c:v>
                </c:pt>
                <c:pt idx="493">
                  <c:v>44526</c:v>
                </c:pt>
                <c:pt idx="494">
                  <c:v>44529</c:v>
                </c:pt>
                <c:pt idx="495">
                  <c:v>44530</c:v>
                </c:pt>
                <c:pt idx="496">
                  <c:v>44531</c:v>
                </c:pt>
                <c:pt idx="497">
                  <c:v>44532</c:v>
                </c:pt>
                <c:pt idx="498">
                  <c:v>44533</c:v>
                </c:pt>
                <c:pt idx="499">
                  <c:v>44536</c:v>
                </c:pt>
                <c:pt idx="500">
                  <c:v>44537</c:v>
                </c:pt>
                <c:pt idx="501">
                  <c:v>44538</c:v>
                </c:pt>
                <c:pt idx="502">
                  <c:v>44539</c:v>
                </c:pt>
                <c:pt idx="503">
                  <c:v>44540</c:v>
                </c:pt>
                <c:pt idx="504">
                  <c:v>44543</c:v>
                </c:pt>
                <c:pt idx="505">
                  <c:v>44544</c:v>
                </c:pt>
                <c:pt idx="506">
                  <c:v>44545</c:v>
                </c:pt>
                <c:pt idx="507">
                  <c:v>44546</c:v>
                </c:pt>
                <c:pt idx="508">
                  <c:v>44547</c:v>
                </c:pt>
                <c:pt idx="509">
                  <c:v>44550</c:v>
                </c:pt>
                <c:pt idx="510">
                  <c:v>44551</c:v>
                </c:pt>
                <c:pt idx="511">
                  <c:v>44552</c:v>
                </c:pt>
                <c:pt idx="512">
                  <c:v>44553</c:v>
                </c:pt>
                <c:pt idx="513">
                  <c:v>44557</c:v>
                </c:pt>
                <c:pt idx="514">
                  <c:v>44558</c:v>
                </c:pt>
                <c:pt idx="515">
                  <c:v>44559</c:v>
                </c:pt>
                <c:pt idx="516">
                  <c:v>44560</c:v>
                </c:pt>
                <c:pt idx="517">
                  <c:v>44561</c:v>
                </c:pt>
                <c:pt idx="518">
                  <c:v>44564</c:v>
                </c:pt>
                <c:pt idx="519">
                  <c:v>44565</c:v>
                </c:pt>
                <c:pt idx="520">
                  <c:v>44566</c:v>
                </c:pt>
                <c:pt idx="521">
                  <c:v>44567</c:v>
                </c:pt>
                <c:pt idx="522">
                  <c:v>44568</c:v>
                </c:pt>
                <c:pt idx="523">
                  <c:v>44571</c:v>
                </c:pt>
                <c:pt idx="524">
                  <c:v>44572</c:v>
                </c:pt>
                <c:pt idx="525">
                  <c:v>44573</c:v>
                </c:pt>
                <c:pt idx="526">
                  <c:v>44574</c:v>
                </c:pt>
                <c:pt idx="527">
                  <c:v>44575</c:v>
                </c:pt>
                <c:pt idx="528">
                  <c:v>44578</c:v>
                </c:pt>
                <c:pt idx="529">
                  <c:v>44579</c:v>
                </c:pt>
                <c:pt idx="530">
                  <c:v>44580</c:v>
                </c:pt>
                <c:pt idx="531">
                  <c:v>44581</c:v>
                </c:pt>
                <c:pt idx="532">
                  <c:v>44582</c:v>
                </c:pt>
                <c:pt idx="533">
                  <c:v>44585</c:v>
                </c:pt>
                <c:pt idx="534">
                  <c:v>44586</c:v>
                </c:pt>
                <c:pt idx="535">
                  <c:v>44587</c:v>
                </c:pt>
                <c:pt idx="536">
                  <c:v>44588</c:v>
                </c:pt>
                <c:pt idx="537">
                  <c:v>44589</c:v>
                </c:pt>
                <c:pt idx="538">
                  <c:v>44592</c:v>
                </c:pt>
                <c:pt idx="539">
                  <c:v>44593</c:v>
                </c:pt>
                <c:pt idx="540">
                  <c:v>44594</c:v>
                </c:pt>
                <c:pt idx="541">
                  <c:v>44595</c:v>
                </c:pt>
                <c:pt idx="542">
                  <c:v>44596</c:v>
                </c:pt>
                <c:pt idx="543">
                  <c:v>44599</c:v>
                </c:pt>
                <c:pt idx="544">
                  <c:v>44600</c:v>
                </c:pt>
                <c:pt idx="545">
                  <c:v>44601</c:v>
                </c:pt>
                <c:pt idx="546">
                  <c:v>44602</c:v>
                </c:pt>
                <c:pt idx="547">
                  <c:v>44603</c:v>
                </c:pt>
                <c:pt idx="548">
                  <c:v>44606</c:v>
                </c:pt>
                <c:pt idx="549">
                  <c:v>44607</c:v>
                </c:pt>
                <c:pt idx="550">
                  <c:v>44608</c:v>
                </c:pt>
                <c:pt idx="551">
                  <c:v>44609</c:v>
                </c:pt>
                <c:pt idx="552">
                  <c:v>44610</c:v>
                </c:pt>
                <c:pt idx="553">
                  <c:v>44613</c:v>
                </c:pt>
                <c:pt idx="554">
                  <c:v>44614</c:v>
                </c:pt>
                <c:pt idx="555">
                  <c:v>44615</c:v>
                </c:pt>
                <c:pt idx="556">
                  <c:v>44616</c:v>
                </c:pt>
                <c:pt idx="557">
                  <c:v>44617</c:v>
                </c:pt>
                <c:pt idx="558">
                  <c:v>44620</c:v>
                </c:pt>
                <c:pt idx="559">
                  <c:v>44621</c:v>
                </c:pt>
                <c:pt idx="560">
                  <c:v>44622</c:v>
                </c:pt>
                <c:pt idx="561">
                  <c:v>44623</c:v>
                </c:pt>
                <c:pt idx="562">
                  <c:v>44624</c:v>
                </c:pt>
                <c:pt idx="563">
                  <c:v>44627</c:v>
                </c:pt>
                <c:pt idx="564">
                  <c:v>44628</c:v>
                </c:pt>
                <c:pt idx="565">
                  <c:v>44629</c:v>
                </c:pt>
                <c:pt idx="566">
                  <c:v>44630</c:v>
                </c:pt>
                <c:pt idx="567">
                  <c:v>44631</c:v>
                </c:pt>
                <c:pt idx="568">
                  <c:v>44634</c:v>
                </c:pt>
                <c:pt idx="569">
                  <c:v>44635</c:v>
                </c:pt>
                <c:pt idx="570">
                  <c:v>44636</c:v>
                </c:pt>
                <c:pt idx="571">
                  <c:v>44637</c:v>
                </c:pt>
                <c:pt idx="572">
                  <c:v>44638</c:v>
                </c:pt>
                <c:pt idx="573">
                  <c:v>44641</c:v>
                </c:pt>
                <c:pt idx="574">
                  <c:v>44642</c:v>
                </c:pt>
                <c:pt idx="575">
                  <c:v>44643</c:v>
                </c:pt>
                <c:pt idx="576">
                  <c:v>44644</c:v>
                </c:pt>
                <c:pt idx="577">
                  <c:v>44645</c:v>
                </c:pt>
                <c:pt idx="578">
                  <c:v>44648</c:v>
                </c:pt>
                <c:pt idx="579">
                  <c:v>44649</c:v>
                </c:pt>
                <c:pt idx="580">
                  <c:v>44650</c:v>
                </c:pt>
                <c:pt idx="581">
                  <c:v>44651</c:v>
                </c:pt>
                <c:pt idx="582">
                  <c:v>44652</c:v>
                </c:pt>
                <c:pt idx="583">
                  <c:v>44655</c:v>
                </c:pt>
                <c:pt idx="584">
                  <c:v>44656</c:v>
                </c:pt>
                <c:pt idx="585">
                  <c:v>44657</c:v>
                </c:pt>
                <c:pt idx="586">
                  <c:v>44658</c:v>
                </c:pt>
                <c:pt idx="587">
                  <c:v>44659</c:v>
                </c:pt>
                <c:pt idx="588">
                  <c:v>44662</c:v>
                </c:pt>
                <c:pt idx="589">
                  <c:v>44663</c:v>
                </c:pt>
                <c:pt idx="590">
                  <c:v>44664</c:v>
                </c:pt>
                <c:pt idx="591">
                  <c:v>44665</c:v>
                </c:pt>
                <c:pt idx="592">
                  <c:v>44669</c:v>
                </c:pt>
                <c:pt idx="593">
                  <c:v>44670</c:v>
                </c:pt>
                <c:pt idx="594">
                  <c:v>44671</c:v>
                </c:pt>
                <c:pt idx="595">
                  <c:v>44672</c:v>
                </c:pt>
                <c:pt idx="596">
                  <c:v>44673</c:v>
                </c:pt>
                <c:pt idx="597">
                  <c:v>44676</c:v>
                </c:pt>
                <c:pt idx="598">
                  <c:v>44677</c:v>
                </c:pt>
                <c:pt idx="599">
                  <c:v>44678</c:v>
                </c:pt>
                <c:pt idx="600">
                  <c:v>44679</c:v>
                </c:pt>
                <c:pt idx="601">
                  <c:v>44680</c:v>
                </c:pt>
                <c:pt idx="602">
                  <c:v>44683</c:v>
                </c:pt>
                <c:pt idx="603">
                  <c:v>44684</c:v>
                </c:pt>
                <c:pt idx="604">
                  <c:v>44685</c:v>
                </c:pt>
                <c:pt idx="605">
                  <c:v>44686</c:v>
                </c:pt>
                <c:pt idx="606">
                  <c:v>44687</c:v>
                </c:pt>
                <c:pt idx="607">
                  <c:v>44690</c:v>
                </c:pt>
                <c:pt idx="608">
                  <c:v>44691</c:v>
                </c:pt>
                <c:pt idx="609">
                  <c:v>44692</c:v>
                </c:pt>
                <c:pt idx="610">
                  <c:v>44693</c:v>
                </c:pt>
                <c:pt idx="611">
                  <c:v>44694</c:v>
                </c:pt>
                <c:pt idx="612">
                  <c:v>44697</c:v>
                </c:pt>
                <c:pt idx="613">
                  <c:v>44698</c:v>
                </c:pt>
                <c:pt idx="614">
                  <c:v>44699</c:v>
                </c:pt>
                <c:pt idx="615">
                  <c:v>44700</c:v>
                </c:pt>
                <c:pt idx="616">
                  <c:v>44701</c:v>
                </c:pt>
                <c:pt idx="617">
                  <c:v>44704</c:v>
                </c:pt>
                <c:pt idx="618">
                  <c:v>44705</c:v>
                </c:pt>
                <c:pt idx="619">
                  <c:v>44706</c:v>
                </c:pt>
                <c:pt idx="620">
                  <c:v>44707</c:v>
                </c:pt>
                <c:pt idx="621">
                  <c:v>44708</c:v>
                </c:pt>
                <c:pt idx="622">
                  <c:v>44711</c:v>
                </c:pt>
                <c:pt idx="623">
                  <c:v>44712</c:v>
                </c:pt>
                <c:pt idx="624">
                  <c:v>44713</c:v>
                </c:pt>
                <c:pt idx="625">
                  <c:v>44714</c:v>
                </c:pt>
                <c:pt idx="626">
                  <c:v>44715</c:v>
                </c:pt>
                <c:pt idx="627">
                  <c:v>44718</c:v>
                </c:pt>
                <c:pt idx="628">
                  <c:v>44719</c:v>
                </c:pt>
                <c:pt idx="629">
                  <c:v>44720</c:v>
                </c:pt>
                <c:pt idx="630">
                  <c:v>44721</c:v>
                </c:pt>
                <c:pt idx="631">
                  <c:v>44722</c:v>
                </c:pt>
                <c:pt idx="632">
                  <c:v>44725</c:v>
                </c:pt>
                <c:pt idx="633">
                  <c:v>44726</c:v>
                </c:pt>
                <c:pt idx="634">
                  <c:v>44727</c:v>
                </c:pt>
                <c:pt idx="635">
                  <c:v>44728</c:v>
                </c:pt>
                <c:pt idx="636">
                  <c:v>44729</c:v>
                </c:pt>
                <c:pt idx="637">
                  <c:v>44732</c:v>
                </c:pt>
                <c:pt idx="638">
                  <c:v>44733</c:v>
                </c:pt>
                <c:pt idx="639">
                  <c:v>44734</c:v>
                </c:pt>
                <c:pt idx="640">
                  <c:v>44735</c:v>
                </c:pt>
                <c:pt idx="641">
                  <c:v>44736</c:v>
                </c:pt>
                <c:pt idx="642">
                  <c:v>44739</c:v>
                </c:pt>
                <c:pt idx="643">
                  <c:v>44740</c:v>
                </c:pt>
                <c:pt idx="644">
                  <c:v>44741</c:v>
                </c:pt>
                <c:pt idx="645">
                  <c:v>44742</c:v>
                </c:pt>
                <c:pt idx="646">
                  <c:v>44743</c:v>
                </c:pt>
                <c:pt idx="647">
                  <c:v>44746</c:v>
                </c:pt>
                <c:pt idx="648">
                  <c:v>44747</c:v>
                </c:pt>
                <c:pt idx="649">
                  <c:v>44748</c:v>
                </c:pt>
                <c:pt idx="650">
                  <c:v>44749</c:v>
                </c:pt>
                <c:pt idx="651">
                  <c:v>44750</c:v>
                </c:pt>
                <c:pt idx="652">
                  <c:v>44753</c:v>
                </c:pt>
                <c:pt idx="653">
                  <c:v>44754</c:v>
                </c:pt>
                <c:pt idx="654">
                  <c:v>44755</c:v>
                </c:pt>
                <c:pt idx="655">
                  <c:v>44756</c:v>
                </c:pt>
                <c:pt idx="656">
                  <c:v>44757</c:v>
                </c:pt>
                <c:pt idx="657">
                  <c:v>44760</c:v>
                </c:pt>
                <c:pt idx="658">
                  <c:v>44761</c:v>
                </c:pt>
                <c:pt idx="659">
                  <c:v>44762</c:v>
                </c:pt>
                <c:pt idx="660">
                  <c:v>44763</c:v>
                </c:pt>
                <c:pt idx="661">
                  <c:v>44764</c:v>
                </c:pt>
                <c:pt idx="662">
                  <c:v>44767</c:v>
                </c:pt>
                <c:pt idx="663">
                  <c:v>44768</c:v>
                </c:pt>
                <c:pt idx="664">
                  <c:v>44769</c:v>
                </c:pt>
                <c:pt idx="665">
                  <c:v>44770</c:v>
                </c:pt>
                <c:pt idx="666">
                  <c:v>44771</c:v>
                </c:pt>
                <c:pt idx="667">
                  <c:v>44774</c:v>
                </c:pt>
                <c:pt idx="668">
                  <c:v>44775</c:v>
                </c:pt>
                <c:pt idx="669">
                  <c:v>44776</c:v>
                </c:pt>
                <c:pt idx="670">
                  <c:v>44777</c:v>
                </c:pt>
                <c:pt idx="671">
                  <c:v>44778</c:v>
                </c:pt>
                <c:pt idx="672">
                  <c:v>44781</c:v>
                </c:pt>
                <c:pt idx="673">
                  <c:v>44782</c:v>
                </c:pt>
                <c:pt idx="674">
                  <c:v>44783</c:v>
                </c:pt>
                <c:pt idx="675">
                  <c:v>44784</c:v>
                </c:pt>
                <c:pt idx="676">
                  <c:v>44785</c:v>
                </c:pt>
                <c:pt idx="677">
                  <c:v>44788</c:v>
                </c:pt>
                <c:pt idx="678">
                  <c:v>44789</c:v>
                </c:pt>
                <c:pt idx="679">
                  <c:v>44790</c:v>
                </c:pt>
                <c:pt idx="680">
                  <c:v>44791</c:v>
                </c:pt>
                <c:pt idx="681">
                  <c:v>44792</c:v>
                </c:pt>
                <c:pt idx="682">
                  <c:v>44795</c:v>
                </c:pt>
                <c:pt idx="683">
                  <c:v>44796</c:v>
                </c:pt>
                <c:pt idx="684">
                  <c:v>44797</c:v>
                </c:pt>
                <c:pt idx="685">
                  <c:v>44798</c:v>
                </c:pt>
                <c:pt idx="686">
                  <c:v>44799</c:v>
                </c:pt>
                <c:pt idx="687">
                  <c:v>44802</c:v>
                </c:pt>
                <c:pt idx="688">
                  <c:v>44803</c:v>
                </c:pt>
                <c:pt idx="689">
                  <c:v>44804</c:v>
                </c:pt>
                <c:pt idx="690">
                  <c:v>44805</c:v>
                </c:pt>
                <c:pt idx="691">
                  <c:v>44806</c:v>
                </c:pt>
                <c:pt idx="692">
                  <c:v>44809</c:v>
                </c:pt>
                <c:pt idx="693">
                  <c:v>44810</c:v>
                </c:pt>
                <c:pt idx="694">
                  <c:v>44811</c:v>
                </c:pt>
                <c:pt idx="695">
                  <c:v>44812</c:v>
                </c:pt>
                <c:pt idx="696">
                  <c:v>44813</c:v>
                </c:pt>
                <c:pt idx="697">
                  <c:v>44816</c:v>
                </c:pt>
                <c:pt idx="698">
                  <c:v>44817</c:v>
                </c:pt>
                <c:pt idx="699">
                  <c:v>44818</c:v>
                </c:pt>
                <c:pt idx="700">
                  <c:v>44819</c:v>
                </c:pt>
                <c:pt idx="701">
                  <c:v>44820</c:v>
                </c:pt>
                <c:pt idx="702">
                  <c:v>44823</c:v>
                </c:pt>
                <c:pt idx="703">
                  <c:v>44824</c:v>
                </c:pt>
                <c:pt idx="704">
                  <c:v>44825</c:v>
                </c:pt>
                <c:pt idx="705">
                  <c:v>44826</c:v>
                </c:pt>
                <c:pt idx="706">
                  <c:v>44827</c:v>
                </c:pt>
                <c:pt idx="707">
                  <c:v>44830</c:v>
                </c:pt>
                <c:pt idx="708">
                  <c:v>44831</c:v>
                </c:pt>
                <c:pt idx="709">
                  <c:v>44832</c:v>
                </c:pt>
                <c:pt idx="710">
                  <c:v>44833</c:v>
                </c:pt>
                <c:pt idx="711">
                  <c:v>44834</c:v>
                </c:pt>
                <c:pt idx="712">
                  <c:v>44837</c:v>
                </c:pt>
                <c:pt idx="713">
                  <c:v>44838</c:v>
                </c:pt>
                <c:pt idx="714">
                  <c:v>44839</c:v>
                </c:pt>
                <c:pt idx="715">
                  <c:v>44840</c:v>
                </c:pt>
                <c:pt idx="716">
                  <c:v>44841</c:v>
                </c:pt>
                <c:pt idx="717">
                  <c:v>44844</c:v>
                </c:pt>
                <c:pt idx="718">
                  <c:v>44845</c:v>
                </c:pt>
                <c:pt idx="719">
                  <c:v>44846</c:v>
                </c:pt>
                <c:pt idx="720">
                  <c:v>44847</c:v>
                </c:pt>
                <c:pt idx="721">
                  <c:v>44848</c:v>
                </c:pt>
                <c:pt idx="722">
                  <c:v>44851</c:v>
                </c:pt>
                <c:pt idx="723">
                  <c:v>44852</c:v>
                </c:pt>
                <c:pt idx="724">
                  <c:v>44853</c:v>
                </c:pt>
                <c:pt idx="725">
                  <c:v>44854</c:v>
                </c:pt>
                <c:pt idx="726">
                  <c:v>44855</c:v>
                </c:pt>
                <c:pt idx="727">
                  <c:v>44858</c:v>
                </c:pt>
                <c:pt idx="728">
                  <c:v>44859</c:v>
                </c:pt>
                <c:pt idx="729">
                  <c:v>44860</c:v>
                </c:pt>
                <c:pt idx="730">
                  <c:v>44861</c:v>
                </c:pt>
                <c:pt idx="731">
                  <c:v>44862</c:v>
                </c:pt>
                <c:pt idx="732">
                  <c:v>44865</c:v>
                </c:pt>
                <c:pt idx="733">
                  <c:v>44866</c:v>
                </c:pt>
                <c:pt idx="734">
                  <c:v>44867</c:v>
                </c:pt>
                <c:pt idx="735">
                  <c:v>44868</c:v>
                </c:pt>
                <c:pt idx="736">
                  <c:v>44869</c:v>
                </c:pt>
                <c:pt idx="737">
                  <c:v>44872</c:v>
                </c:pt>
                <c:pt idx="738">
                  <c:v>44873</c:v>
                </c:pt>
                <c:pt idx="739">
                  <c:v>44874</c:v>
                </c:pt>
                <c:pt idx="740">
                  <c:v>44875</c:v>
                </c:pt>
                <c:pt idx="741">
                  <c:v>44876</c:v>
                </c:pt>
                <c:pt idx="742">
                  <c:v>44879</c:v>
                </c:pt>
                <c:pt idx="743">
                  <c:v>44880</c:v>
                </c:pt>
                <c:pt idx="744">
                  <c:v>44881</c:v>
                </c:pt>
                <c:pt idx="745">
                  <c:v>44882</c:v>
                </c:pt>
                <c:pt idx="746">
                  <c:v>44883</c:v>
                </c:pt>
                <c:pt idx="747">
                  <c:v>44886</c:v>
                </c:pt>
                <c:pt idx="748">
                  <c:v>44887</c:v>
                </c:pt>
                <c:pt idx="749">
                  <c:v>44888</c:v>
                </c:pt>
                <c:pt idx="750">
                  <c:v>44889</c:v>
                </c:pt>
                <c:pt idx="751">
                  <c:v>44890</c:v>
                </c:pt>
                <c:pt idx="752">
                  <c:v>44893</c:v>
                </c:pt>
                <c:pt idx="753">
                  <c:v>44894</c:v>
                </c:pt>
                <c:pt idx="754">
                  <c:v>44895</c:v>
                </c:pt>
                <c:pt idx="755">
                  <c:v>44896</c:v>
                </c:pt>
                <c:pt idx="756">
                  <c:v>44897</c:v>
                </c:pt>
                <c:pt idx="757">
                  <c:v>44900</c:v>
                </c:pt>
                <c:pt idx="758">
                  <c:v>44901</c:v>
                </c:pt>
                <c:pt idx="759">
                  <c:v>44902</c:v>
                </c:pt>
                <c:pt idx="760">
                  <c:v>44903</c:v>
                </c:pt>
                <c:pt idx="761">
                  <c:v>44904</c:v>
                </c:pt>
                <c:pt idx="762">
                  <c:v>44907</c:v>
                </c:pt>
                <c:pt idx="763">
                  <c:v>44908</c:v>
                </c:pt>
                <c:pt idx="764">
                  <c:v>44909</c:v>
                </c:pt>
                <c:pt idx="765">
                  <c:v>44910</c:v>
                </c:pt>
                <c:pt idx="766">
                  <c:v>44911</c:v>
                </c:pt>
                <c:pt idx="767">
                  <c:v>44914</c:v>
                </c:pt>
                <c:pt idx="768">
                  <c:v>44915</c:v>
                </c:pt>
                <c:pt idx="769">
                  <c:v>44916</c:v>
                </c:pt>
                <c:pt idx="770">
                  <c:v>44917</c:v>
                </c:pt>
                <c:pt idx="771">
                  <c:v>44918</c:v>
                </c:pt>
                <c:pt idx="772">
                  <c:v>44922</c:v>
                </c:pt>
                <c:pt idx="773">
                  <c:v>44923</c:v>
                </c:pt>
                <c:pt idx="774">
                  <c:v>44924</c:v>
                </c:pt>
                <c:pt idx="775">
                  <c:v>44925</c:v>
                </c:pt>
                <c:pt idx="776">
                  <c:v>44929</c:v>
                </c:pt>
                <c:pt idx="777">
                  <c:v>44930</c:v>
                </c:pt>
                <c:pt idx="778">
                  <c:v>44931</c:v>
                </c:pt>
                <c:pt idx="779">
                  <c:v>44932</c:v>
                </c:pt>
                <c:pt idx="780">
                  <c:v>44935</c:v>
                </c:pt>
                <c:pt idx="781">
                  <c:v>44936</c:v>
                </c:pt>
                <c:pt idx="782">
                  <c:v>44937</c:v>
                </c:pt>
                <c:pt idx="783">
                  <c:v>44938</c:v>
                </c:pt>
                <c:pt idx="784">
                  <c:v>44939</c:v>
                </c:pt>
                <c:pt idx="785">
                  <c:v>44942</c:v>
                </c:pt>
                <c:pt idx="786">
                  <c:v>44943</c:v>
                </c:pt>
                <c:pt idx="787">
                  <c:v>44944</c:v>
                </c:pt>
                <c:pt idx="788">
                  <c:v>44945</c:v>
                </c:pt>
                <c:pt idx="789">
                  <c:v>44946</c:v>
                </c:pt>
                <c:pt idx="790">
                  <c:v>44949</c:v>
                </c:pt>
                <c:pt idx="791">
                  <c:v>44950</c:v>
                </c:pt>
                <c:pt idx="792">
                  <c:v>44951</c:v>
                </c:pt>
                <c:pt idx="793">
                  <c:v>44952</c:v>
                </c:pt>
                <c:pt idx="794">
                  <c:v>44953</c:v>
                </c:pt>
                <c:pt idx="795">
                  <c:v>44956</c:v>
                </c:pt>
                <c:pt idx="796">
                  <c:v>44957</c:v>
                </c:pt>
                <c:pt idx="797">
                  <c:v>44958</c:v>
                </c:pt>
                <c:pt idx="798">
                  <c:v>44959</c:v>
                </c:pt>
                <c:pt idx="799">
                  <c:v>44960</c:v>
                </c:pt>
                <c:pt idx="800">
                  <c:v>44963</c:v>
                </c:pt>
                <c:pt idx="801">
                  <c:v>44964</c:v>
                </c:pt>
                <c:pt idx="802">
                  <c:v>44965</c:v>
                </c:pt>
                <c:pt idx="803">
                  <c:v>44966</c:v>
                </c:pt>
                <c:pt idx="804">
                  <c:v>44967</c:v>
                </c:pt>
                <c:pt idx="805">
                  <c:v>44970</c:v>
                </c:pt>
                <c:pt idx="806">
                  <c:v>44971</c:v>
                </c:pt>
                <c:pt idx="807">
                  <c:v>44972</c:v>
                </c:pt>
                <c:pt idx="808">
                  <c:v>44973</c:v>
                </c:pt>
                <c:pt idx="809">
                  <c:v>44974</c:v>
                </c:pt>
                <c:pt idx="810">
                  <c:v>44977</c:v>
                </c:pt>
                <c:pt idx="811">
                  <c:v>44978</c:v>
                </c:pt>
                <c:pt idx="812">
                  <c:v>44979</c:v>
                </c:pt>
                <c:pt idx="813">
                  <c:v>44980</c:v>
                </c:pt>
                <c:pt idx="814">
                  <c:v>44981</c:v>
                </c:pt>
                <c:pt idx="815">
                  <c:v>44984</c:v>
                </c:pt>
                <c:pt idx="816">
                  <c:v>44985</c:v>
                </c:pt>
                <c:pt idx="817">
                  <c:v>44986</c:v>
                </c:pt>
                <c:pt idx="818">
                  <c:v>44987</c:v>
                </c:pt>
                <c:pt idx="819">
                  <c:v>44988</c:v>
                </c:pt>
                <c:pt idx="820">
                  <c:v>44991</c:v>
                </c:pt>
                <c:pt idx="821">
                  <c:v>44992</c:v>
                </c:pt>
                <c:pt idx="822">
                  <c:v>44993</c:v>
                </c:pt>
                <c:pt idx="823">
                  <c:v>44994</c:v>
                </c:pt>
                <c:pt idx="824">
                  <c:v>44995</c:v>
                </c:pt>
                <c:pt idx="825">
                  <c:v>44998</c:v>
                </c:pt>
                <c:pt idx="826">
                  <c:v>44999</c:v>
                </c:pt>
                <c:pt idx="827">
                  <c:v>45000</c:v>
                </c:pt>
                <c:pt idx="828">
                  <c:v>45001</c:v>
                </c:pt>
                <c:pt idx="829">
                  <c:v>45002</c:v>
                </c:pt>
                <c:pt idx="830">
                  <c:v>45005</c:v>
                </c:pt>
                <c:pt idx="831">
                  <c:v>45006</c:v>
                </c:pt>
                <c:pt idx="832">
                  <c:v>45007</c:v>
                </c:pt>
                <c:pt idx="833">
                  <c:v>45008</c:v>
                </c:pt>
                <c:pt idx="834">
                  <c:v>45009</c:v>
                </c:pt>
                <c:pt idx="835">
                  <c:v>45012</c:v>
                </c:pt>
                <c:pt idx="836">
                  <c:v>45013</c:v>
                </c:pt>
                <c:pt idx="837">
                  <c:v>45014</c:v>
                </c:pt>
                <c:pt idx="838">
                  <c:v>45015</c:v>
                </c:pt>
                <c:pt idx="839">
                  <c:v>45016</c:v>
                </c:pt>
                <c:pt idx="840">
                  <c:v>45019</c:v>
                </c:pt>
                <c:pt idx="841">
                  <c:v>45020</c:v>
                </c:pt>
                <c:pt idx="842">
                  <c:v>45021</c:v>
                </c:pt>
                <c:pt idx="843">
                  <c:v>45022</c:v>
                </c:pt>
                <c:pt idx="844">
                  <c:v>45023</c:v>
                </c:pt>
                <c:pt idx="845">
                  <c:v>45026</c:v>
                </c:pt>
                <c:pt idx="846">
                  <c:v>45027</c:v>
                </c:pt>
                <c:pt idx="847">
                  <c:v>45028</c:v>
                </c:pt>
                <c:pt idx="848">
                  <c:v>45029</c:v>
                </c:pt>
                <c:pt idx="849">
                  <c:v>45030</c:v>
                </c:pt>
                <c:pt idx="850">
                  <c:v>45033</c:v>
                </c:pt>
                <c:pt idx="851">
                  <c:v>45034</c:v>
                </c:pt>
                <c:pt idx="852">
                  <c:v>45035</c:v>
                </c:pt>
                <c:pt idx="853">
                  <c:v>45036</c:v>
                </c:pt>
                <c:pt idx="854">
                  <c:v>45037</c:v>
                </c:pt>
                <c:pt idx="855">
                  <c:v>45040</c:v>
                </c:pt>
                <c:pt idx="856">
                  <c:v>45041</c:v>
                </c:pt>
                <c:pt idx="857">
                  <c:v>45042</c:v>
                </c:pt>
                <c:pt idx="858">
                  <c:v>45043</c:v>
                </c:pt>
                <c:pt idx="859">
                  <c:v>45044</c:v>
                </c:pt>
                <c:pt idx="860">
                  <c:v>45047</c:v>
                </c:pt>
                <c:pt idx="861">
                  <c:v>45048</c:v>
                </c:pt>
                <c:pt idx="862">
                  <c:v>45049</c:v>
                </c:pt>
                <c:pt idx="863">
                  <c:v>45050</c:v>
                </c:pt>
                <c:pt idx="864">
                  <c:v>45051</c:v>
                </c:pt>
                <c:pt idx="865">
                  <c:v>45054</c:v>
                </c:pt>
                <c:pt idx="866">
                  <c:v>45055</c:v>
                </c:pt>
                <c:pt idx="867">
                  <c:v>45056</c:v>
                </c:pt>
                <c:pt idx="868">
                  <c:v>45057</c:v>
                </c:pt>
                <c:pt idx="869">
                  <c:v>45058</c:v>
                </c:pt>
                <c:pt idx="870">
                  <c:v>45061</c:v>
                </c:pt>
                <c:pt idx="871">
                  <c:v>45062</c:v>
                </c:pt>
                <c:pt idx="872">
                  <c:v>45063</c:v>
                </c:pt>
                <c:pt idx="873">
                  <c:v>45064</c:v>
                </c:pt>
                <c:pt idx="874">
                  <c:v>45065</c:v>
                </c:pt>
                <c:pt idx="875">
                  <c:v>45068</c:v>
                </c:pt>
                <c:pt idx="876">
                  <c:v>45069</c:v>
                </c:pt>
                <c:pt idx="877">
                  <c:v>45070</c:v>
                </c:pt>
                <c:pt idx="878">
                  <c:v>45071</c:v>
                </c:pt>
                <c:pt idx="879">
                  <c:v>45072</c:v>
                </c:pt>
                <c:pt idx="880">
                  <c:v>45075</c:v>
                </c:pt>
                <c:pt idx="881">
                  <c:v>45076</c:v>
                </c:pt>
                <c:pt idx="882">
                  <c:v>45077</c:v>
                </c:pt>
                <c:pt idx="883">
                  <c:v>45078</c:v>
                </c:pt>
                <c:pt idx="884">
                  <c:v>45079</c:v>
                </c:pt>
                <c:pt idx="885">
                  <c:v>45082</c:v>
                </c:pt>
                <c:pt idx="886">
                  <c:v>45083</c:v>
                </c:pt>
                <c:pt idx="887">
                  <c:v>45084</c:v>
                </c:pt>
                <c:pt idx="888">
                  <c:v>45085</c:v>
                </c:pt>
              </c:numCache>
            </c:numRef>
          </c:cat>
          <c:val>
            <c:numRef>
              <c:f>Sheet1!$C$2:$C$957</c:f>
              <c:numCache>
                <c:formatCode>0.0</c:formatCode>
                <c:ptCount val="956"/>
                <c:pt idx="0">
                  <c:v>100</c:v>
                </c:pt>
                <c:pt idx="1">
                  <c:v>99.895397489539747</c:v>
                </c:pt>
                <c:pt idx="2">
                  <c:v>99.895397489539747</c:v>
                </c:pt>
                <c:pt idx="3">
                  <c:v>99.895397489539747</c:v>
                </c:pt>
                <c:pt idx="4">
                  <c:v>99.895397489539747</c:v>
                </c:pt>
                <c:pt idx="5">
                  <c:v>99.895397489539747</c:v>
                </c:pt>
                <c:pt idx="6">
                  <c:v>99.895397489539747</c:v>
                </c:pt>
                <c:pt idx="7">
                  <c:v>99.895397489539747</c:v>
                </c:pt>
                <c:pt idx="8">
                  <c:v>100</c:v>
                </c:pt>
                <c:pt idx="9">
                  <c:v>100</c:v>
                </c:pt>
                <c:pt idx="10">
                  <c:v>100</c:v>
                </c:pt>
                <c:pt idx="11">
                  <c:v>100</c:v>
                </c:pt>
                <c:pt idx="12">
                  <c:v>99.895397489539747</c:v>
                </c:pt>
                <c:pt idx="13">
                  <c:v>99.68619246861924</c:v>
                </c:pt>
                <c:pt idx="14">
                  <c:v>99.68619246861924</c:v>
                </c:pt>
                <c:pt idx="15">
                  <c:v>99.790794979079493</c:v>
                </c:pt>
                <c:pt idx="16">
                  <c:v>99.96861924686192</c:v>
                </c:pt>
                <c:pt idx="17">
                  <c:v>99.790794979079493</c:v>
                </c:pt>
                <c:pt idx="18">
                  <c:v>99.790794979079493</c:v>
                </c:pt>
                <c:pt idx="19">
                  <c:v>99.790794979079493</c:v>
                </c:pt>
                <c:pt idx="20">
                  <c:v>99.790794979079493</c:v>
                </c:pt>
                <c:pt idx="21">
                  <c:v>99.581589958158986</c:v>
                </c:pt>
                <c:pt idx="22">
                  <c:v>99.958158995815893</c:v>
                </c:pt>
                <c:pt idx="23">
                  <c:v>99.790794979079493</c:v>
                </c:pt>
                <c:pt idx="24">
                  <c:v>99.790794979079493</c:v>
                </c:pt>
                <c:pt idx="25">
                  <c:v>99.790794979079493</c:v>
                </c:pt>
                <c:pt idx="26">
                  <c:v>99.790794979079493</c:v>
                </c:pt>
                <c:pt idx="27">
                  <c:v>99.790794979079493</c:v>
                </c:pt>
                <c:pt idx="28">
                  <c:v>99.790794979079493</c:v>
                </c:pt>
                <c:pt idx="29">
                  <c:v>99.790794979079493</c:v>
                </c:pt>
                <c:pt idx="30">
                  <c:v>100.02092050209204</c:v>
                </c:pt>
                <c:pt idx="31">
                  <c:v>99.790794979079493</c:v>
                </c:pt>
                <c:pt idx="32">
                  <c:v>99.790794979079493</c:v>
                </c:pt>
                <c:pt idx="33">
                  <c:v>99.790794979079493</c:v>
                </c:pt>
                <c:pt idx="34">
                  <c:v>99.790794979079493</c:v>
                </c:pt>
                <c:pt idx="35">
                  <c:v>99.68619246861924</c:v>
                </c:pt>
                <c:pt idx="36">
                  <c:v>99.68619246861924</c:v>
                </c:pt>
                <c:pt idx="37">
                  <c:v>99.68619246861924</c:v>
                </c:pt>
                <c:pt idx="38">
                  <c:v>99.68619246861924</c:v>
                </c:pt>
                <c:pt idx="39">
                  <c:v>99.68619246861924</c:v>
                </c:pt>
                <c:pt idx="40">
                  <c:v>99.68619246861924</c:v>
                </c:pt>
                <c:pt idx="41">
                  <c:v>99.790794979079493</c:v>
                </c:pt>
                <c:pt idx="42">
                  <c:v>99.895397489539747</c:v>
                </c:pt>
                <c:pt idx="43">
                  <c:v>99.895397489539747</c:v>
                </c:pt>
                <c:pt idx="44">
                  <c:v>100</c:v>
                </c:pt>
                <c:pt idx="45">
                  <c:v>100</c:v>
                </c:pt>
                <c:pt idx="46">
                  <c:v>100</c:v>
                </c:pt>
                <c:pt idx="47">
                  <c:v>99.895397489539747</c:v>
                </c:pt>
                <c:pt idx="48">
                  <c:v>100.62761506276151</c:v>
                </c:pt>
                <c:pt idx="49">
                  <c:v>100.83682008368201</c:v>
                </c:pt>
                <c:pt idx="50">
                  <c:v>101.15062761506276</c:v>
                </c:pt>
                <c:pt idx="51">
                  <c:v>101.77824267782427</c:v>
                </c:pt>
                <c:pt idx="52">
                  <c:v>101.67364016736401</c:v>
                </c:pt>
                <c:pt idx="53">
                  <c:v>101.98744769874476</c:v>
                </c:pt>
                <c:pt idx="54">
                  <c:v>102.19665271966525</c:v>
                </c:pt>
                <c:pt idx="55">
                  <c:v>102.61506276150625</c:v>
                </c:pt>
                <c:pt idx="56">
                  <c:v>103.03347280334725</c:v>
                </c:pt>
                <c:pt idx="57">
                  <c:v>103.03347280334727</c:v>
                </c:pt>
                <c:pt idx="58">
                  <c:v>103.03347280334727</c:v>
                </c:pt>
                <c:pt idx="59">
                  <c:v>103.13807531380751</c:v>
                </c:pt>
                <c:pt idx="60">
                  <c:v>103.34728033472801</c:v>
                </c:pt>
                <c:pt idx="61">
                  <c:v>103.45188284518827</c:v>
                </c:pt>
                <c:pt idx="62">
                  <c:v>103.87029288702927</c:v>
                </c:pt>
                <c:pt idx="63">
                  <c:v>104.70711297071128</c:v>
                </c:pt>
                <c:pt idx="64">
                  <c:v>104.70711297071128</c:v>
                </c:pt>
                <c:pt idx="65">
                  <c:v>104.70711297071128</c:v>
                </c:pt>
                <c:pt idx="66">
                  <c:v>104.49790794979077</c:v>
                </c:pt>
                <c:pt idx="67">
                  <c:v>104.49790794979077</c:v>
                </c:pt>
                <c:pt idx="68">
                  <c:v>104.2573221757322</c:v>
                </c:pt>
                <c:pt idx="69">
                  <c:v>104.18410041841001</c:v>
                </c:pt>
                <c:pt idx="70">
                  <c:v>102.93933054393302</c:v>
                </c:pt>
                <c:pt idx="71">
                  <c:v>101.56903765690373</c:v>
                </c:pt>
                <c:pt idx="72">
                  <c:v>101.35983263598322</c:v>
                </c:pt>
                <c:pt idx="73">
                  <c:v>101.48535564853553</c:v>
                </c:pt>
                <c:pt idx="74">
                  <c:v>101.16108786610876</c:v>
                </c:pt>
                <c:pt idx="75">
                  <c:v>101.03556485355645</c:v>
                </c:pt>
                <c:pt idx="76">
                  <c:v>100.62761506276146</c:v>
                </c:pt>
                <c:pt idx="77">
                  <c:v>100.38702928870291</c:v>
                </c:pt>
                <c:pt idx="78">
                  <c:v>100.16736401673637</c:v>
                </c:pt>
                <c:pt idx="79">
                  <c:v>100.13598326359829</c:v>
                </c:pt>
                <c:pt idx="80">
                  <c:v>100.14016736401672</c:v>
                </c:pt>
                <c:pt idx="81">
                  <c:v>100.11506276150627</c:v>
                </c:pt>
                <c:pt idx="82">
                  <c:v>99.999999999999986</c:v>
                </c:pt>
                <c:pt idx="83">
                  <c:v>99.790794979079479</c:v>
                </c:pt>
                <c:pt idx="84">
                  <c:v>100.05230125523011</c:v>
                </c:pt>
                <c:pt idx="85">
                  <c:v>100.05230125523011</c:v>
                </c:pt>
                <c:pt idx="86">
                  <c:v>100.20920502092048</c:v>
                </c:pt>
                <c:pt idx="87">
                  <c:v>100.3451882845188</c:v>
                </c:pt>
                <c:pt idx="88">
                  <c:v>100.41841004184097</c:v>
                </c:pt>
                <c:pt idx="89">
                  <c:v>100.86192468619244</c:v>
                </c:pt>
                <c:pt idx="90">
                  <c:v>101.06694560669453</c:v>
                </c:pt>
                <c:pt idx="91">
                  <c:v>101.46443514644349</c:v>
                </c:pt>
                <c:pt idx="92">
                  <c:v>101.46443514644349</c:v>
                </c:pt>
                <c:pt idx="93">
                  <c:v>101.81171548117152</c:v>
                </c:pt>
                <c:pt idx="94">
                  <c:v>102.06694560669453</c:v>
                </c:pt>
                <c:pt idx="95">
                  <c:v>101.85774058577404</c:v>
                </c:pt>
                <c:pt idx="96">
                  <c:v>101.43933054393304</c:v>
                </c:pt>
                <c:pt idx="97">
                  <c:v>101.18200836820083</c:v>
                </c:pt>
                <c:pt idx="98">
                  <c:v>100.96234309623431</c:v>
                </c:pt>
                <c:pt idx="99">
                  <c:v>100.55439330543932</c:v>
                </c:pt>
                <c:pt idx="100">
                  <c:v>100.62343096234309</c:v>
                </c:pt>
                <c:pt idx="101">
                  <c:v>100.62552301255229</c:v>
                </c:pt>
                <c:pt idx="102">
                  <c:v>101.0041841004184</c:v>
                </c:pt>
                <c:pt idx="103">
                  <c:v>101.02719665271965</c:v>
                </c:pt>
                <c:pt idx="104">
                  <c:v>101.02510460251044</c:v>
                </c:pt>
                <c:pt idx="105">
                  <c:v>101.02510460251044</c:v>
                </c:pt>
                <c:pt idx="106">
                  <c:v>100.83682008368199</c:v>
                </c:pt>
                <c:pt idx="107">
                  <c:v>100.7217573221757</c:v>
                </c:pt>
                <c:pt idx="108">
                  <c:v>100.70711297071128</c:v>
                </c:pt>
                <c:pt idx="109">
                  <c:v>100.62761506276149</c:v>
                </c:pt>
                <c:pt idx="110">
                  <c:v>100.56903765690376</c:v>
                </c:pt>
                <c:pt idx="111">
                  <c:v>100.5020920502092</c:v>
                </c:pt>
                <c:pt idx="112">
                  <c:v>100.46652719665272</c:v>
                </c:pt>
                <c:pt idx="113">
                  <c:v>100.42259414225941</c:v>
                </c:pt>
                <c:pt idx="114">
                  <c:v>100.54393305439332</c:v>
                </c:pt>
                <c:pt idx="115">
                  <c:v>100.5794979079498</c:v>
                </c:pt>
                <c:pt idx="116">
                  <c:v>100.50209205020921</c:v>
                </c:pt>
                <c:pt idx="117">
                  <c:v>100.47071129707115</c:v>
                </c:pt>
                <c:pt idx="118">
                  <c:v>100.27196652719667</c:v>
                </c:pt>
                <c:pt idx="119">
                  <c:v>100.18828451882845</c:v>
                </c:pt>
                <c:pt idx="120">
                  <c:v>100</c:v>
                </c:pt>
                <c:pt idx="121">
                  <c:v>99.995815899581586</c:v>
                </c:pt>
                <c:pt idx="122">
                  <c:v>100.0899581589958</c:v>
                </c:pt>
                <c:pt idx="123">
                  <c:v>100.21966527196651</c:v>
                </c:pt>
                <c:pt idx="124">
                  <c:v>100.48117154811713</c:v>
                </c:pt>
                <c:pt idx="125">
                  <c:v>100.61087866108785</c:v>
                </c:pt>
                <c:pt idx="126">
                  <c:v>100.71966527196651</c:v>
                </c:pt>
                <c:pt idx="127">
                  <c:v>100.70083682008367</c:v>
                </c:pt>
                <c:pt idx="128">
                  <c:v>100.41841004184099</c:v>
                </c:pt>
                <c:pt idx="129">
                  <c:v>100.91213389121337</c:v>
                </c:pt>
                <c:pt idx="130">
                  <c:v>101.01255230125521</c:v>
                </c:pt>
                <c:pt idx="131">
                  <c:v>101.11506276150625</c:v>
                </c:pt>
                <c:pt idx="132">
                  <c:v>101.27615062761505</c:v>
                </c:pt>
                <c:pt idx="133">
                  <c:v>101.27615062761505</c:v>
                </c:pt>
                <c:pt idx="134">
                  <c:v>101.58577405857739</c:v>
                </c:pt>
                <c:pt idx="135">
                  <c:v>101.61715481171547</c:v>
                </c:pt>
                <c:pt idx="136">
                  <c:v>101.61087866108785</c:v>
                </c:pt>
                <c:pt idx="137">
                  <c:v>101.38075313807531</c:v>
                </c:pt>
                <c:pt idx="138">
                  <c:v>101.15062761506275</c:v>
                </c:pt>
                <c:pt idx="139">
                  <c:v>100.97071129707112</c:v>
                </c:pt>
                <c:pt idx="140">
                  <c:v>100.75732217573221</c:v>
                </c:pt>
                <c:pt idx="141">
                  <c:v>100.75313807531381</c:v>
                </c:pt>
                <c:pt idx="142">
                  <c:v>100.418410041841</c:v>
                </c:pt>
                <c:pt idx="143">
                  <c:v>101.07740585774057</c:v>
                </c:pt>
                <c:pt idx="144">
                  <c:v>101.29497907949791</c:v>
                </c:pt>
                <c:pt idx="145">
                  <c:v>101.31380753138075</c:v>
                </c:pt>
                <c:pt idx="146">
                  <c:v>101.24476987447699</c:v>
                </c:pt>
                <c:pt idx="147">
                  <c:v>101.17991631799163</c:v>
                </c:pt>
                <c:pt idx="148">
                  <c:v>101.12970711297071</c:v>
                </c:pt>
                <c:pt idx="149">
                  <c:v>101.28870292887029</c:v>
                </c:pt>
                <c:pt idx="150">
                  <c:v>101.32426778242677</c:v>
                </c:pt>
                <c:pt idx="151">
                  <c:v>101.42259414225941</c:v>
                </c:pt>
                <c:pt idx="152">
                  <c:v>101.31799163179917</c:v>
                </c:pt>
                <c:pt idx="153">
                  <c:v>101.36401673640168</c:v>
                </c:pt>
                <c:pt idx="154">
                  <c:v>101.28661087866109</c:v>
                </c:pt>
                <c:pt idx="155">
                  <c:v>101.25523012552303</c:v>
                </c:pt>
                <c:pt idx="156">
                  <c:v>101.30334728033475</c:v>
                </c:pt>
                <c:pt idx="157">
                  <c:v>101.31799163179917</c:v>
                </c:pt>
                <c:pt idx="158">
                  <c:v>101.25523012552303</c:v>
                </c:pt>
                <c:pt idx="159">
                  <c:v>101.28661087866109</c:v>
                </c:pt>
                <c:pt idx="160">
                  <c:v>101.21966527196653</c:v>
                </c:pt>
                <c:pt idx="161">
                  <c:v>101.17782426778244</c:v>
                </c:pt>
                <c:pt idx="162">
                  <c:v>101.08995815899583</c:v>
                </c:pt>
                <c:pt idx="163">
                  <c:v>101.10460251046027</c:v>
                </c:pt>
                <c:pt idx="164">
                  <c:v>101.19246861924688</c:v>
                </c:pt>
                <c:pt idx="165">
                  <c:v>101.26569037656905</c:v>
                </c:pt>
                <c:pt idx="166">
                  <c:v>101.30753138075315</c:v>
                </c:pt>
                <c:pt idx="167">
                  <c:v>101.40376569037657</c:v>
                </c:pt>
                <c:pt idx="168">
                  <c:v>101.70502092050209</c:v>
                </c:pt>
                <c:pt idx="169">
                  <c:v>101.67991631799163</c:v>
                </c:pt>
                <c:pt idx="170">
                  <c:v>101.72384937238495</c:v>
                </c:pt>
                <c:pt idx="171">
                  <c:v>101.71548117154812</c:v>
                </c:pt>
                <c:pt idx="172">
                  <c:v>101.64435146443516</c:v>
                </c:pt>
                <c:pt idx="173">
                  <c:v>101.73430962343099</c:v>
                </c:pt>
                <c:pt idx="174">
                  <c:v>101.77405857740588</c:v>
                </c:pt>
                <c:pt idx="175">
                  <c:v>101.88284518828455</c:v>
                </c:pt>
                <c:pt idx="176">
                  <c:v>101.88702928870296</c:v>
                </c:pt>
                <c:pt idx="177">
                  <c:v>101.99790794979083</c:v>
                </c:pt>
                <c:pt idx="178">
                  <c:v>102.05230125523016</c:v>
                </c:pt>
                <c:pt idx="179">
                  <c:v>101.94560669456071</c:v>
                </c:pt>
                <c:pt idx="180">
                  <c:v>101.81380753138079</c:v>
                </c:pt>
                <c:pt idx="181">
                  <c:v>101.54184100418414</c:v>
                </c:pt>
                <c:pt idx="182">
                  <c:v>101.04602510460255</c:v>
                </c:pt>
                <c:pt idx="183">
                  <c:v>101.23640167364022</c:v>
                </c:pt>
                <c:pt idx="184">
                  <c:v>101.12970711297075</c:v>
                </c:pt>
                <c:pt idx="185">
                  <c:v>101.30753138075318</c:v>
                </c:pt>
                <c:pt idx="186">
                  <c:v>101.30962343096238</c:v>
                </c:pt>
                <c:pt idx="187">
                  <c:v>101.31589958159</c:v>
                </c:pt>
                <c:pt idx="188">
                  <c:v>101.34309623430967</c:v>
                </c:pt>
                <c:pt idx="189">
                  <c:v>101.32217573221762</c:v>
                </c:pt>
                <c:pt idx="190">
                  <c:v>101.31171548117159</c:v>
                </c:pt>
                <c:pt idx="191">
                  <c:v>101.3933054393306</c:v>
                </c:pt>
                <c:pt idx="192">
                  <c:v>101.25523012552307</c:v>
                </c:pt>
                <c:pt idx="193">
                  <c:v>101.29707112970718</c:v>
                </c:pt>
                <c:pt idx="194">
                  <c:v>101.56903765690383</c:v>
                </c:pt>
                <c:pt idx="195">
                  <c:v>102.0083682008369</c:v>
                </c:pt>
                <c:pt idx="196">
                  <c:v>102.0083682008369</c:v>
                </c:pt>
                <c:pt idx="197">
                  <c:v>102.33054393305446</c:v>
                </c:pt>
                <c:pt idx="198">
                  <c:v>102.33682008368208</c:v>
                </c:pt>
                <c:pt idx="199">
                  <c:v>101.88284518828459</c:v>
                </c:pt>
                <c:pt idx="200">
                  <c:v>102.30125523012561</c:v>
                </c:pt>
                <c:pt idx="201">
                  <c:v>102.22803347280343</c:v>
                </c:pt>
                <c:pt idx="202">
                  <c:v>102.50836820083691</c:v>
                </c:pt>
                <c:pt idx="203">
                  <c:v>102.58158995815909</c:v>
                </c:pt>
                <c:pt idx="204">
                  <c:v>102.65271966527206</c:v>
                </c:pt>
                <c:pt idx="205">
                  <c:v>102.05020920502101</c:v>
                </c:pt>
                <c:pt idx="206">
                  <c:v>102.51046025104611</c:v>
                </c:pt>
                <c:pt idx="207">
                  <c:v>102.99790794979087</c:v>
                </c:pt>
                <c:pt idx="208">
                  <c:v>103.21548117154821</c:v>
                </c:pt>
                <c:pt idx="209">
                  <c:v>103.20292887029298</c:v>
                </c:pt>
                <c:pt idx="210">
                  <c:v>103.13807531380762</c:v>
                </c:pt>
                <c:pt idx="211">
                  <c:v>102.97907949790803</c:v>
                </c:pt>
                <c:pt idx="212">
                  <c:v>102.95397489539756</c:v>
                </c:pt>
                <c:pt idx="213">
                  <c:v>102.86610878661095</c:v>
                </c:pt>
                <c:pt idx="214">
                  <c:v>102.96025104602518</c:v>
                </c:pt>
                <c:pt idx="215">
                  <c:v>103.05439330543942</c:v>
                </c:pt>
                <c:pt idx="216">
                  <c:v>103.0878661087867</c:v>
                </c:pt>
                <c:pt idx="217">
                  <c:v>103.06694560669466</c:v>
                </c:pt>
                <c:pt idx="218">
                  <c:v>103.02301255230134</c:v>
                </c:pt>
                <c:pt idx="219">
                  <c:v>103.11087866108795</c:v>
                </c:pt>
                <c:pt idx="220">
                  <c:v>103.07949790794987</c:v>
                </c:pt>
                <c:pt idx="221">
                  <c:v>102.7196652719666</c:v>
                </c:pt>
                <c:pt idx="222">
                  <c:v>102.9288702928871</c:v>
                </c:pt>
                <c:pt idx="223">
                  <c:v>103.29707112970718</c:v>
                </c:pt>
                <c:pt idx="224">
                  <c:v>103.46861924686199</c:v>
                </c:pt>
                <c:pt idx="225">
                  <c:v>103.54393305439338</c:v>
                </c:pt>
                <c:pt idx="226">
                  <c:v>103.1380753138076</c:v>
                </c:pt>
                <c:pt idx="227">
                  <c:v>103.1380753138076</c:v>
                </c:pt>
                <c:pt idx="228">
                  <c:v>103.45188284518835</c:v>
                </c:pt>
                <c:pt idx="229">
                  <c:v>103.87029288702935</c:v>
                </c:pt>
                <c:pt idx="230">
                  <c:v>103.87029288702935</c:v>
                </c:pt>
                <c:pt idx="231">
                  <c:v>103.87029288702935</c:v>
                </c:pt>
                <c:pt idx="232">
                  <c:v>103.5564853556486</c:v>
                </c:pt>
                <c:pt idx="233">
                  <c:v>105.64853556485363</c:v>
                </c:pt>
                <c:pt idx="234">
                  <c:v>105.33472803347289</c:v>
                </c:pt>
                <c:pt idx="235">
                  <c:v>105.33472803347289</c:v>
                </c:pt>
                <c:pt idx="236">
                  <c:v>105.33472803347289</c:v>
                </c:pt>
                <c:pt idx="237">
                  <c:v>105.85355648535574</c:v>
                </c:pt>
                <c:pt idx="238">
                  <c:v>105.96234309623439</c:v>
                </c:pt>
                <c:pt idx="239">
                  <c:v>105.96234309623439</c:v>
                </c:pt>
                <c:pt idx="240">
                  <c:v>106.38075313807539</c:v>
                </c:pt>
                <c:pt idx="241">
                  <c:v>106.38075313807539</c:v>
                </c:pt>
                <c:pt idx="242">
                  <c:v>106.69456066945614</c:v>
                </c:pt>
                <c:pt idx="243">
                  <c:v>106.90376569037664</c:v>
                </c:pt>
                <c:pt idx="244">
                  <c:v>107.32217573221764</c:v>
                </c:pt>
                <c:pt idx="245">
                  <c:v>107.11297071129714</c:v>
                </c:pt>
                <c:pt idx="246">
                  <c:v>108.6820083682009</c:v>
                </c:pt>
                <c:pt idx="247">
                  <c:v>108.6820083682009</c:v>
                </c:pt>
                <c:pt idx="248">
                  <c:v>108.78661087866114</c:v>
                </c:pt>
                <c:pt idx="249">
                  <c:v>108.6820083682009</c:v>
                </c:pt>
                <c:pt idx="250">
                  <c:v>108.6820083682009</c:v>
                </c:pt>
                <c:pt idx="251">
                  <c:v>108.6820083682009</c:v>
                </c:pt>
                <c:pt idx="252">
                  <c:v>108.6820083682009</c:v>
                </c:pt>
                <c:pt idx="253">
                  <c:v>108.6820083682009</c:v>
                </c:pt>
                <c:pt idx="254">
                  <c:v>108.6820083682009</c:v>
                </c:pt>
                <c:pt idx="255">
                  <c:v>108.6820083682009</c:v>
                </c:pt>
                <c:pt idx="256">
                  <c:v>108.6820083682009</c:v>
                </c:pt>
                <c:pt idx="257">
                  <c:v>108.6820083682009</c:v>
                </c:pt>
                <c:pt idx="258">
                  <c:v>108.6820083682009</c:v>
                </c:pt>
                <c:pt idx="259">
                  <c:v>108.6820083682009</c:v>
                </c:pt>
                <c:pt idx="260">
                  <c:v>108.57740585774064</c:v>
                </c:pt>
                <c:pt idx="261">
                  <c:v>108.78661087866115</c:v>
                </c:pt>
                <c:pt idx="262">
                  <c:v>109.11924686192475</c:v>
                </c:pt>
                <c:pt idx="263">
                  <c:v>108.6820083682009</c:v>
                </c:pt>
                <c:pt idx="264">
                  <c:v>109.1004184100419</c:v>
                </c:pt>
                <c:pt idx="265">
                  <c:v>109.3096234309624</c:v>
                </c:pt>
                <c:pt idx="266">
                  <c:v>109.72803347280342</c:v>
                </c:pt>
                <c:pt idx="267">
                  <c:v>109.70711297071136</c:v>
                </c:pt>
                <c:pt idx="268">
                  <c:v>109.10460251046031</c:v>
                </c:pt>
                <c:pt idx="269">
                  <c:v>109.03556485355656</c:v>
                </c:pt>
                <c:pt idx="270">
                  <c:v>109.02719665271974</c:v>
                </c:pt>
                <c:pt idx="271">
                  <c:v>108.40794979079507</c:v>
                </c:pt>
                <c:pt idx="272">
                  <c:v>108.34518828451891</c:v>
                </c:pt>
                <c:pt idx="273">
                  <c:v>108.2510460251047</c:v>
                </c:pt>
                <c:pt idx="274">
                  <c:v>108.2510460251047</c:v>
                </c:pt>
                <c:pt idx="275">
                  <c:v>108.15899581589966</c:v>
                </c:pt>
                <c:pt idx="276">
                  <c:v>108.19246861924694</c:v>
                </c:pt>
                <c:pt idx="277">
                  <c:v>108.19246861924694</c:v>
                </c:pt>
                <c:pt idx="278">
                  <c:v>108.15899581589967</c:v>
                </c:pt>
                <c:pt idx="279">
                  <c:v>108.34309623430971</c:v>
                </c:pt>
                <c:pt idx="280">
                  <c:v>108.41004184100429</c:v>
                </c:pt>
                <c:pt idx="281">
                  <c:v>108.60878661087875</c:v>
                </c:pt>
                <c:pt idx="282">
                  <c:v>108.70292887029299</c:v>
                </c:pt>
                <c:pt idx="283">
                  <c:v>108.78661087866119</c:v>
                </c:pt>
                <c:pt idx="284">
                  <c:v>108.78661087866119</c:v>
                </c:pt>
                <c:pt idx="285">
                  <c:v>109.12133891213401</c:v>
                </c:pt>
                <c:pt idx="286">
                  <c:v>109.23221757322186</c:v>
                </c:pt>
                <c:pt idx="287">
                  <c:v>109.42887029288715</c:v>
                </c:pt>
                <c:pt idx="288">
                  <c:v>109.47280334728043</c:v>
                </c:pt>
                <c:pt idx="289">
                  <c:v>109.53974895397501</c:v>
                </c:pt>
                <c:pt idx="290">
                  <c:v>109.60669456066955</c:v>
                </c:pt>
                <c:pt idx="291">
                  <c:v>109.48326359832647</c:v>
                </c:pt>
                <c:pt idx="292">
                  <c:v>109.48326359832647</c:v>
                </c:pt>
                <c:pt idx="293">
                  <c:v>109.51464435146454</c:v>
                </c:pt>
                <c:pt idx="294">
                  <c:v>109.41422594142269</c:v>
                </c:pt>
                <c:pt idx="295">
                  <c:v>109.51882845188294</c:v>
                </c:pt>
                <c:pt idx="296">
                  <c:v>109.62343096234318</c:v>
                </c:pt>
                <c:pt idx="297">
                  <c:v>110.03556485355658</c:v>
                </c:pt>
                <c:pt idx="298">
                  <c:v>109.93723849372394</c:v>
                </c:pt>
                <c:pt idx="299">
                  <c:v>110.04184100418419</c:v>
                </c:pt>
                <c:pt idx="300">
                  <c:v>109.72803347280343</c:v>
                </c:pt>
                <c:pt idx="301">
                  <c:v>109.41422594142269</c:v>
                </c:pt>
                <c:pt idx="302">
                  <c:v>109.61924686192479</c:v>
                </c:pt>
                <c:pt idx="303">
                  <c:v>109.71966527196663</c:v>
                </c:pt>
                <c:pt idx="304">
                  <c:v>109.71966527196663</c:v>
                </c:pt>
                <c:pt idx="305">
                  <c:v>109.68410041841014</c:v>
                </c:pt>
                <c:pt idx="306">
                  <c:v>109.51882845188295</c:v>
                </c:pt>
                <c:pt idx="307">
                  <c:v>109.72803347280346</c:v>
                </c:pt>
                <c:pt idx="308">
                  <c:v>109.72803347280346</c:v>
                </c:pt>
                <c:pt idx="309">
                  <c:v>109.83263598326371</c:v>
                </c:pt>
                <c:pt idx="310">
                  <c:v>109.83263598326371</c:v>
                </c:pt>
                <c:pt idx="311">
                  <c:v>110.18619246861938</c:v>
                </c:pt>
                <c:pt idx="312">
                  <c:v>109.93723849372397</c:v>
                </c:pt>
                <c:pt idx="313">
                  <c:v>109.93723849372397</c:v>
                </c:pt>
                <c:pt idx="314">
                  <c:v>109.93723849372397</c:v>
                </c:pt>
                <c:pt idx="315">
                  <c:v>109.93723849372397</c:v>
                </c:pt>
                <c:pt idx="316">
                  <c:v>110.04184100418422</c:v>
                </c:pt>
                <c:pt idx="317">
                  <c:v>109.83263598326371</c:v>
                </c:pt>
                <c:pt idx="318">
                  <c:v>110.14644351464447</c:v>
                </c:pt>
                <c:pt idx="319">
                  <c:v>110.35564853556497</c:v>
                </c:pt>
                <c:pt idx="320">
                  <c:v>110.46025104602521</c:v>
                </c:pt>
                <c:pt idx="321">
                  <c:v>110.56485355648546</c:v>
                </c:pt>
                <c:pt idx="322">
                  <c:v>110.77405857740595</c:v>
                </c:pt>
                <c:pt idx="323">
                  <c:v>110.98326359832646</c:v>
                </c:pt>
                <c:pt idx="324">
                  <c:v>111.19246861924695</c:v>
                </c:pt>
                <c:pt idx="325">
                  <c:v>111.19246861924695</c:v>
                </c:pt>
                <c:pt idx="326">
                  <c:v>111.71548117154821</c:v>
                </c:pt>
                <c:pt idx="327">
                  <c:v>111.71548117154821</c:v>
                </c:pt>
                <c:pt idx="328">
                  <c:v>111.25104602510469</c:v>
                </c:pt>
                <c:pt idx="329">
                  <c:v>111.25104602510469</c:v>
                </c:pt>
                <c:pt idx="330">
                  <c:v>108.57740585774067</c:v>
                </c:pt>
                <c:pt idx="331">
                  <c:v>108.43933054393315</c:v>
                </c:pt>
                <c:pt idx="332">
                  <c:v>108.82845188284529</c:v>
                </c:pt>
                <c:pt idx="333">
                  <c:v>109.03765690376578</c:v>
                </c:pt>
                <c:pt idx="334">
                  <c:v>109.03974895397498</c:v>
                </c:pt>
                <c:pt idx="335">
                  <c:v>108.9707112970712</c:v>
                </c:pt>
                <c:pt idx="336">
                  <c:v>109.04184100418418</c:v>
                </c:pt>
                <c:pt idx="337">
                  <c:v>108.99581589958167</c:v>
                </c:pt>
                <c:pt idx="338">
                  <c:v>108.97071129707122</c:v>
                </c:pt>
                <c:pt idx="339">
                  <c:v>108.36820083682017</c:v>
                </c:pt>
                <c:pt idx="340">
                  <c:v>108.6380753138076</c:v>
                </c:pt>
                <c:pt idx="341">
                  <c:v>108.53765690376575</c:v>
                </c:pt>
                <c:pt idx="342">
                  <c:v>108.70711297071136</c:v>
                </c:pt>
                <c:pt idx="343">
                  <c:v>108.72175732217582</c:v>
                </c:pt>
                <c:pt idx="344">
                  <c:v>108.70920502092058</c:v>
                </c:pt>
                <c:pt idx="345">
                  <c:v>108.7615062761507</c:v>
                </c:pt>
                <c:pt idx="346">
                  <c:v>108.7615062761507</c:v>
                </c:pt>
                <c:pt idx="347">
                  <c:v>108.88075313807539</c:v>
                </c:pt>
                <c:pt idx="348">
                  <c:v>108.88075313807539</c:v>
                </c:pt>
                <c:pt idx="349">
                  <c:v>109.07322175732224</c:v>
                </c:pt>
                <c:pt idx="350">
                  <c:v>109.01673640167371</c:v>
                </c:pt>
                <c:pt idx="351">
                  <c:v>109.05230125523018</c:v>
                </c:pt>
                <c:pt idx="352">
                  <c:v>109.2259414225942</c:v>
                </c:pt>
                <c:pt idx="353">
                  <c:v>109.0962343096235</c:v>
                </c:pt>
                <c:pt idx="354">
                  <c:v>108.9769874476988</c:v>
                </c:pt>
                <c:pt idx="355">
                  <c:v>108.90167364016742</c:v>
                </c:pt>
                <c:pt idx="356">
                  <c:v>108.72803347280342</c:v>
                </c:pt>
                <c:pt idx="357">
                  <c:v>108.73221757322182</c:v>
                </c:pt>
                <c:pt idx="358">
                  <c:v>108.69037656903771</c:v>
                </c:pt>
                <c:pt idx="359">
                  <c:v>108.69874476987455</c:v>
                </c:pt>
                <c:pt idx="360">
                  <c:v>108.69246861924692</c:v>
                </c:pt>
                <c:pt idx="361">
                  <c:v>108.71966527196659</c:v>
                </c:pt>
                <c:pt idx="362">
                  <c:v>108.74058577405864</c:v>
                </c:pt>
                <c:pt idx="363">
                  <c:v>108.74058577405864</c:v>
                </c:pt>
                <c:pt idx="364">
                  <c:v>108.70502092050216</c:v>
                </c:pt>
                <c:pt idx="365">
                  <c:v>108.71757322175738</c:v>
                </c:pt>
                <c:pt idx="366">
                  <c:v>108.71338912133898</c:v>
                </c:pt>
                <c:pt idx="367">
                  <c:v>108.61924686192476</c:v>
                </c:pt>
                <c:pt idx="368">
                  <c:v>108.58158995815906</c:v>
                </c:pt>
                <c:pt idx="369">
                  <c:v>108.58368200836826</c:v>
                </c:pt>
                <c:pt idx="370">
                  <c:v>108.54184100418416</c:v>
                </c:pt>
                <c:pt idx="371">
                  <c:v>108.48744769874483</c:v>
                </c:pt>
                <c:pt idx="372">
                  <c:v>108.42677824267787</c:v>
                </c:pt>
                <c:pt idx="373">
                  <c:v>108.28661087866114</c:v>
                </c:pt>
                <c:pt idx="374">
                  <c:v>107.94769874476992</c:v>
                </c:pt>
                <c:pt idx="375">
                  <c:v>107.67364016736406</c:v>
                </c:pt>
                <c:pt idx="376">
                  <c:v>107.50418410041846</c:v>
                </c:pt>
                <c:pt idx="377">
                  <c:v>107.34518828451887</c:v>
                </c:pt>
                <c:pt idx="378">
                  <c:v>107.26569037656908</c:v>
                </c:pt>
                <c:pt idx="379">
                  <c:v>107.17364016736406</c:v>
                </c:pt>
                <c:pt idx="380">
                  <c:v>107.12343096234314</c:v>
                </c:pt>
                <c:pt idx="381">
                  <c:v>106.69456066945611</c:v>
                </c:pt>
                <c:pt idx="382">
                  <c:v>106.04602510460255</c:v>
                </c:pt>
                <c:pt idx="383">
                  <c:v>104.26359832635988</c:v>
                </c:pt>
                <c:pt idx="384">
                  <c:v>103.7301255230126</c:v>
                </c:pt>
                <c:pt idx="385">
                  <c:v>103.42468619246867</c:v>
                </c:pt>
                <c:pt idx="386">
                  <c:v>103.52719665271972</c:v>
                </c:pt>
                <c:pt idx="387">
                  <c:v>103.52301255230131</c:v>
                </c:pt>
                <c:pt idx="388">
                  <c:v>103.44979079497914</c:v>
                </c:pt>
                <c:pt idx="389">
                  <c:v>103.44979079497914</c:v>
                </c:pt>
                <c:pt idx="390">
                  <c:v>103.47071129707119</c:v>
                </c:pt>
                <c:pt idx="391">
                  <c:v>103.3912133891214</c:v>
                </c:pt>
                <c:pt idx="392">
                  <c:v>103.4267782426779</c:v>
                </c:pt>
                <c:pt idx="393">
                  <c:v>103.5083682008369</c:v>
                </c:pt>
                <c:pt idx="394">
                  <c:v>103.55648535564862</c:v>
                </c:pt>
                <c:pt idx="395">
                  <c:v>103.5899581589959</c:v>
                </c:pt>
                <c:pt idx="396">
                  <c:v>103.47489539748962</c:v>
                </c:pt>
                <c:pt idx="397">
                  <c:v>103.43933054393312</c:v>
                </c:pt>
                <c:pt idx="398">
                  <c:v>103.30125523012559</c:v>
                </c:pt>
                <c:pt idx="399">
                  <c:v>103.29497907949798</c:v>
                </c:pt>
                <c:pt idx="400">
                  <c:v>102.54184100418416</c:v>
                </c:pt>
                <c:pt idx="401">
                  <c:v>101.79288702928878</c:v>
                </c:pt>
                <c:pt idx="402">
                  <c:v>101.13389121338921</c:v>
                </c:pt>
                <c:pt idx="403">
                  <c:v>100.9246861924687</c:v>
                </c:pt>
                <c:pt idx="404">
                  <c:v>100.73640167364024</c:v>
                </c:pt>
                <c:pt idx="405">
                  <c:v>101.46443514644359</c:v>
                </c:pt>
                <c:pt idx="406">
                  <c:v>100.69456066945614</c:v>
                </c:pt>
                <c:pt idx="407">
                  <c:v>100.69456066945614</c:v>
                </c:pt>
                <c:pt idx="408">
                  <c:v>101.51464435146451</c:v>
                </c:pt>
                <c:pt idx="409">
                  <c:v>101.92259414225948</c:v>
                </c:pt>
                <c:pt idx="410">
                  <c:v>102.49581589958167</c:v>
                </c:pt>
                <c:pt idx="411">
                  <c:v>101.88284518828461</c:v>
                </c:pt>
                <c:pt idx="412">
                  <c:v>103.00209205020928</c:v>
                </c:pt>
                <c:pt idx="413">
                  <c:v>102.84937238493731</c:v>
                </c:pt>
                <c:pt idx="414">
                  <c:v>102.57112970711306</c:v>
                </c:pt>
                <c:pt idx="415">
                  <c:v>102.43514644351472</c:v>
                </c:pt>
                <c:pt idx="416">
                  <c:v>102.52510460251054</c:v>
                </c:pt>
                <c:pt idx="417">
                  <c:v>102.66736401673649</c:v>
                </c:pt>
                <c:pt idx="418">
                  <c:v>102.77405857740594</c:v>
                </c:pt>
                <c:pt idx="419">
                  <c:v>102.82845188284526</c:v>
                </c:pt>
                <c:pt idx="420">
                  <c:v>102.74895397489547</c:v>
                </c:pt>
                <c:pt idx="421">
                  <c:v>102.52719665271974</c:v>
                </c:pt>
                <c:pt idx="422">
                  <c:v>102.44560669456075</c:v>
                </c:pt>
                <c:pt idx="423">
                  <c:v>102.30125523012561</c:v>
                </c:pt>
                <c:pt idx="424">
                  <c:v>102.41841004184108</c:v>
                </c:pt>
                <c:pt idx="425">
                  <c:v>102.5062761506277</c:v>
                </c:pt>
                <c:pt idx="426">
                  <c:v>102.77824267782435</c:v>
                </c:pt>
                <c:pt idx="427">
                  <c:v>102.94142259414234</c:v>
                </c:pt>
                <c:pt idx="428">
                  <c:v>103.07740585774066</c:v>
                </c:pt>
                <c:pt idx="429">
                  <c:v>103.03138075313815</c:v>
                </c:pt>
                <c:pt idx="430">
                  <c:v>102.95397489539756</c:v>
                </c:pt>
                <c:pt idx="431">
                  <c:v>103.0543933054394</c:v>
                </c:pt>
                <c:pt idx="432">
                  <c:v>103.04184100418418</c:v>
                </c:pt>
                <c:pt idx="433">
                  <c:v>103.06485355648543</c:v>
                </c:pt>
                <c:pt idx="434">
                  <c:v>103.06485355648543</c:v>
                </c:pt>
                <c:pt idx="435">
                  <c:v>103.06485355648543</c:v>
                </c:pt>
                <c:pt idx="436">
                  <c:v>103.06694560669465</c:v>
                </c:pt>
                <c:pt idx="437">
                  <c:v>102.96443514644361</c:v>
                </c:pt>
                <c:pt idx="438">
                  <c:v>102.89748953974905</c:v>
                </c:pt>
                <c:pt idx="439">
                  <c:v>102.69456066945617</c:v>
                </c:pt>
                <c:pt idx="440">
                  <c:v>102.34100418410053</c:v>
                </c:pt>
                <c:pt idx="441">
                  <c:v>101.67364016736413</c:v>
                </c:pt>
                <c:pt idx="442">
                  <c:v>101.61087866108798</c:v>
                </c:pt>
                <c:pt idx="443">
                  <c:v>102.30125523012565</c:v>
                </c:pt>
                <c:pt idx="444">
                  <c:v>101.44979079497919</c:v>
                </c:pt>
                <c:pt idx="445">
                  <c:v>101.44979079497918</c:v>
                </c:pt>
                <c:pt idx="446">
                  <c:v>101.30753138075323</c:v>
                </c:pt>
                <c:pt idx="447">
                  <c:v>101.62133891213399</c:v>
                </c:pt>
                <c:pt idx="448">
                  <c:v>102.11297071129718</c:v>
                </c:pt>
                <c:pt idx="449">
                  <c:v>102.30125523012563</c:v>
                </c:pt>
                <c:pt idx="450">
                  <c:v>102.21757322175743</c:v>
                </c:pt>
                <c:pt idx="451">
                  <c:v>102.09205020920513</c:v>
                </c:pt>
                <c:pt idx="452">
                  <c:v>101.98744769874487</c:v>
                </c:pt>
                <c:pt idx="453">
                  <c:v>102.09205020920513</c:v>
                </c:pt>
                <c:pt idx="454">
                  <c:v>102.05020920502103</c:v>
                </c:pt>
                <c:pt idx="455">
                  <c:v>102.05020920502103</c:v>
                </c:pt>
                <c:pt idx="456">
                  <c:v>102.05020920502103</c:v>
                </c:pt>
                <c:pt idx="457">
                  <c:v>101.58995815899593</c:v>
                </c:pt>
                <c:pt idx="458">
                  <c:v>101.58995815899593</c:v>
                </c:pt>
                <c:pt idx="459">
                  <c:v>101.58995815899593</c:v>
                </c:pt>
                <c:pt idx="460">
                  <c:v>99.341004184100527</c:v>
                </c:pt>
                <c:pt idx="461">
                  <c:v>99.38284518828462</c:v>
                </c:pt>
                <c:pt idx="462">
                  <c:v>99.4979079497909</c:v>
                </c:pt>
                <c:pt idx="463">
                  <c:v>99.665271966527285</c:v>
                </c:pt>
                <c:pt idx="464">
                  <c:v>99.581589958159086</c:v>
                </c:pt>
                <c:pt idx="465">
                  <c:v>99.288702928870393</c:v>
                </c:pt>
                <c:pt idx="466">
                  <c:v>99.372384937238593</c:v>
                </c:pt>
                <c:pt idx="467">
                  <c:v>99.288702928870393</c:v>
                </c:pt>
                <c:pt idx="468">
                  <c:v>99.278242677824366</c:v>
                </c:pt>
                <c:pt idx="469">
                  <c:v>99.571129707113059</c:v>
                </c:pt>
                <c:pt idx="470">
                  <c:v>99.205020920502179</c:v>
                </c:pt>
                <c:pt idx="471">
                  <c:v>99.194560669456152</c:v>
                </c:pt>
                <c:pt idx="472">
                  <c:v>99.246861924686286</c:v>
                </c:pt>
                <c:pt idx="473">
                  <c:v>99.205020920502193</c:v>
                </c:pt>
                <c:pt idx="474">
                  <c:v>99.3305439330545</c:v>
                </c:pt>
                <c:pt idx="475">
                  <c:v>99.372384937238593</c:v>
                </c:pt>
                <c:pt idx="476">
                  <c:v>99.3305439330545</c:v>
                </c:pt>
                <c:pt idx="477">
                  <c:v>99.309623430962446</c:v>
                </c:pt>
                <c:pt idx="478">
                  <c:v>99.225941422594246</c:v>
                </c:pt>
                <c:pt idx="479">
                  <c:v>99.121338912134007</c:v>
                </c:pt>
                <c:pt idx="480">
                  <c:v>99.115062761506394</c:v>
                </c:pt>
                <c:pt idx="481">
                  <c:v>99.079497907949929</c:v>
                </c:pt>
                <c:pt idx="482">
                  <c:v>98.870292887029422</c:v>
                </c:pt>
                <c:pt idx="483">
                  <c:v>98.849372384937368</c:v>
                </c:pt>
                <c:pt idx="484">
                  <c:v>98.845188284518969</c:v>
                </c:pt>
                <c:pt idx="485">
                  <c:v>98.891213389121475</c:v>
                </c:pt>
                <c:pt idx="486">
                  <c:v>99.016736401673782</c:v>
                </c:pt>
                <c:pt idx="487">
                  <c:v>99.058577405857875</c:v>
                </c:pt>
                <c:pt idx="488">
                  <c:v>99.184100418410182</c:v>
                </c:pt>
                <c:pt idx="489">
                  <c:v>99.142259414226075</c:v>
                </c:pt>
                <c:pt idx="490">
                  <c:v>99.100418410041968</c:v>
                </c:pt>
                <c:pt idx="491">
                  <c:v>99.163179916318114</c:v>
                </c:pt>
                <c:pt idx="492">
                  <c:v>100.20920502092062</c:v>
                </c:pt>
                <c:pt idx="493">
                  <c:v>100.73221757322187</c:v>
                </c:pt>
                <c:pt idx="494">
                  <c:v>100.73221757322187</c:v>
                </c:pt>
                <c:pt idx="495">
                  <c:v>101.51673640167375</c:v>
                </c:pt>
                <c:pt idx="496">
                  <c:v>101.56903765690387</c:v>
                </c:pt>
                <c:pt idx="497">
                  <c:v>101.88284518828462</c:v>
                </c:pt>
                <c:pt idx="498">
                  <c:v>102.09205020920513</c:v>
                </c:pt>
                <c:pt idx="499">
                  <c:v>102.40585774058587</c:v>
                </c:pt>
                <c:pt idx="500">
                  <c:v>102.51046025104613</c:v>
                </c:pt>
                <c:pt idx="501">
                  <c:v>102.92887029288713</c:v>
                </c:pt>
                <c:pt idx="502">
                  <c:v>103.03347280334738</c:v>
                </c:pt>
                <c:pt idx="503">
                  <c:v>103.34728033472814</c:v>
                </c:pt>
                <c:pt idx="504">
                  <c:v>103.13807531380765</c:v>
                </c:pt>
                <c:pt idx="505">
                  <c:v>103.17991631799174</c:v>
                </c:pt>
                <c:pt idx="506">
                  <c:v>102.67782426778254</c:v>
                </c:pt>
                <c:pt idx="507">
                  <c:v>102.84518828451895</c:v>
                </c:pt>
                <c:pt idx="508">
                  <c:v>102.84518828451895</c:v>
                </c:pt>
                <c:pt idx="509">
                  <c:v>102.8242677824269</c:v>
                </c:pt>
                <c:pt idx="510">
                  <c:v>102.81380753138087</c:v>
                </c:pt>
                <c:pt idx="511">
                  <c:v>102.71966527196665</c:v>
                </c:pt>
                <c:pt idx="512">
                  <c:v>102.8242677824269</c:v>
                </c:pt>
                <c:pt idx="513">
                  <c:v>102.82426778242689</c:v>
                </c:pt>
                <c:pt idx="514">
                  <c:v>102.80334728033483</c:v>
                </c:pt>
                <c:pt idx="515">
                  <c:v>100.17782426778254</c:v>
                </c:pt>
                <c:pt idx="516">
                  <c:v>100.0000000000001</c:v>
                </c:pt>
                <c:pt idx="517">
                  <c:v>100.20920502092061</c:v>
                </c:pt>
                <c:pt idx="518">
                  <c:v>100.18828451882855</c:v>
                </c:pt>
                <c:pt idx="519">
                  <c:v>100.20920502092061</c:v>
                </c:pt>
                <c:pt idx="520">
                  <c:v>100.41841004184111</c:v>
                </c:pt>
                <c:pt idx="521">
                  <c:v>100.41841004184111</c:v>
                </c:pt>
                <c:pt idx="522">
                  <c:v>100.73221757322186</c:v>
                </c:pt>
                <c:pt idx="523">
                  <c:v>100.31380753138086</c:v>
                </c:pt>
                <c:pt idx="524">
                  <c:v>100.31380753138086</c:v>
                </c:pt>
                <c:pt idx="525">
                  <c:v>100.52092050209217</c:v>
                </c:pt>
                <c:pt idx="526">
                  <c:v>100.31380753138086</c:v>
                </c:pt>
                <c:pt idx="527">
                  <c:v>100.39121338912145</c:v>
                </c:pt>
                <c:pt idx="528">
                  <c:v>100.39121338912145</c:v>
                </c:pt>
                <c:pt idx="529">
                  <c:v>100.52719665271977</c:v>
                </c:pt>
                <c:pt idx="530">
                  <c:v>100.55439330543943</c:v>
                </c:pt>
                <c:pt idx="531">
                  <c:v>100.55648535564865</c:v>
                </c:pt>
                <c:pt idx="532">
                  <c:v>100.31380753138086</c:v>
                </c:pt>
                <c:pt idx="533">
                  <c:v>100.55020920502102</c:v>
                </c:pt>
                <c:pt idx="534">
                  <c:v>100.68200836820094</c:v>
                </c:pt>
                <c:pt idx="535">
                  <c:v>100.72594142259425</c:v>
                </c:pt>
                <c:pt idx="536">
                  <c:v>100.41841004184111</c:v>
                </c:pt>
                <c:pt idx="537">
                  <c:v>100.41841004184111</c:v>
                </c:pt>
                <c:pt idx="538">
                  <c:v>100.41841004184111</c:v>
                </c:pt>
                <c:pt idx="539">
                  <c:v>100.41841004184111</c:v>
                </c:pt>
                <c:pt idx="540">
                  <c:v>100.47071129707123</c:v>
                </c:pt>
                <c:pt idx="541">
                  <c:v>100.41841004184111</c:v>
                </c:pt>
                <c:pt idx="542">
                  <c:v>100.54811715481182</c:v>
                </c:pt>
                <c:pt idx="543">
                  <c:v>100.31380753138086</c:v>
                </c:pt>
                <c:pt idx="544">
                  <c:v>99.686192468619353</c:v>
                </c:pt>
                <c:pt idx="545">
                  <c:v>100.02301255230137</c:v>
                </c:pt>
                <c:pt idx="546">
                  <c:v>100.00836820083694</c:v>
                </c:pt>
                <c:pt idx="547">
                  <c:v>99.790794979079607</c:v>
                </c:pt>
                <c:pt idx="548">
                  <c:v>99.790794979079607</c:v>
                </c:pt>
                <c:pt idx="549">
                  <c:v>99.895397489539846</c:v>
                </c:pt>
                <c:pt idx="550">
                  <c:v>99.895397489539832</c:v>
                </c:pt>
                <c:pt idx="551">
                  <c:v>99.790794979079593</c:v>
                </c:pt>
                <c:pt idx="552">
                  <c:v>99.790794979079593</c:v>
                </c:pt>
                <c:pt idx="553">
                  <c:v>99.790794979079593</c:v>
                </c:pt>
                <c:pt idx="554">
                  <c:v>99.581589958159086</c:v>
                </c:pt>
                <c:pt idx="555">
                  <c:v>99.686192468619339</c:v>
                </c:pt>
                <c:pt idx="556">
                  <c:v>99.790794979079593</c:v>
                </c:pt>
                <c:pt idx="557">
                  <c:v>100.4184100418411</c:v>
                </c:pt>
                <c:pt idx="558">
                  <c:v>100.31380753138085</c:v>
                </c:pt>
                <c:pt idx="559">
                  <c:v>101.35983263598335</c:v>
                </c:pt>
                <c:pt idx="560">
                  <c:v>102.77196652719675</c:v>
                </c:pt>
                <c:pt idx="561">
                  <c:v>103.66108786610889</c:v>
                </c:pt>
                <c:pt idx="562">
                  <c:v>105.03765690376578</c:v>
                </c:pt>
                <c:pt idx="563">
                  <c:v>106.52301255230135</c:v>
                </c:pt>
                <c:pt idx="564">
                  <c:v>106.52301255230135</c:v>
                </c:pt>
                <c:pt idx="565">
                  <c:v>106.98953974895407</c:v>
                </c:pt>
                <c:pt idx="566">
                  <c:v>107.74267782426787</c:v>
                </c:pt>
                <c:pt idx="567">
                  <c:v>108.21757322175741</c:v>
                </c:pt>
                <c:pt idx="568">
                  <c:v>107.52510460251055</c:v>
                </c:pt>
                <c:pt idx="569">
                  <c:v>106.05439330543942</c:v>
                </c:pt>
                <c:pt idx="570">
                  <c:v>104.19246861924695</c:v>
                </c:pt>
                <c:pt idx="571">
                  <c:v>102.30125523012561</c:v>
                </c:pt>
                <c:pt idx="572">
                  <c:v>102.00836820083691</c:v>
                </c:pt>
                <c:pt idx="573">
                  <c:v>102.04393305439338</c:v>
                </c:pt>
                <c:pt idx="574">
                  <c:v>102.06276150627623</c:v>
                </c:pt>
                <c:pt idx="575">
                  <c:v>102.12343096234316</c:v>
                </c:pt>
                <c:pt idx="576">
                  <c:v>102.12343096234316</c:v>
                </c:pt>
                <c:pt idx="577">
                  <c:v>102.36401673640174</c:v>
                </c:pt>
                <c:pt idx="578">
                  <c:v>102.37866108786616</c:v>
                </c:pt>
                <c:pt idx="579">
                  <c:v>102.38493723849376</c:v>
                </c:pt>
                <c:pt idx="580">
                  <c:v>101.83472803347284</c:v>
                </c:pt>
                <c:pt idx="581">
                  <c:v>101.44560669456071</c:v>
                </c:pt>
                <c:pt idx="582">
                  <c:v>101.20920502092052</c:v>
                </c:pt>
                <c:pt idx="583">
                  <c:v>100.86820083682011</c:v>
                </c:pt>
                <c:pt idx="584">
                  <c:v>100.54184100418412</c:v>
                </c:pt>
                <c:pt idx="585">
                  <c:v>100.07949790794981</c:v>
                </c:pt>
                <c:pt idx="586">
                  <c:v>99.564853556485374</c:v>
                </c:pt>
                <c:pt idx="587">
                  <c:v>99.307531380753147</c:v>
                </c:pt>
                <c:pt idx="588">
                  <c:v>99.129707112970721</c:v>
                </c:pt>
                <c:pt idx="589">
                  <c:v>98.771966527196668</c:v>
                </c:pt>
                <c:pt idx="590">
                  <c:v>98.625523012552321</c:v>
                </c:pt>
                <c:pt idx="591">
                  <c:v>98.433054393305454</c:v>
                </c:pt>
                <c:pt idx="592">
                  <c:v>98.399581589958174</c:v>
                </c:pt>
                <c:pt idx="593">
                  <c:v>98.290794979079493</c:v>
                </c:pt>
                <c:pt idx="594">
                  <c:v>97.95188284518828</c:v>
                </c:pt>
                <c:pt idx="595">
                  <c:v>97.65062761506276</c:v>
                </c:pt>
                <c:pt idx="596">
                  <c:v>97.54811715481172</c:v>
                </c:pt>
                <c:pt idx="597">
                  <c:v>97.389121338912133</c:v>
                </c:pt>
                <c:pt idx="598">
                  <c:v>96.677824267782427</c:v>
                </c:pt>
                <c:pt idx="599">
                  <c:v>96.020920502092054</c:v>
                </c:pt>
                <c:pt idx="600">
                  <c:v>95.328451882845187</c:v>
                </c:pt>
                <c:pt idx="601">
                  <c:v>94.61506276150628</c:v>
                </c:pt>
                <c:pt idx="602">
                  <c:v>93.859832635983267</c:v>
                </c:pt>
                <c:pt idx="603">
                  <c:v>94.098326359832654</c:v>
                </c:pt>
                <c:pt idx="604">
                  <c:v>94.901673640167388</c:v>
                </c:pt>
                <c:pt idx="605">
                  <c:v>96.964435146443549</c:v>
                </c:pt>
                <c:pt idx="606">
                  <c:v>96.966527196652748</c:v>
                </c:pt>
                <c:pt idx="607">
                  <c:v>99.027196652719695</c:v>
                </c:pt>
                <c:pt idx="608">
                  <c:v>98.669456066945628</c:v>
                </c:pt>
                <c:pt idx="609">
                  <c:v>97.462343096234335</c:v>
                </c:pt>
                <c:pt idx="610">
                  <c:v>96.052301255230148</c:v>
                </c:pt>
                <c:pt idx="611">
                  <c:v>95.175732217573241</c:v>
                </c:pt>
                <c:pt idx="612">
                  <c:v>94.976987447698761</c:v>
                </c:pt>
                <c:pt idx="613">
                  <c:v>94.949790794979094</c:v>
                </c:pt>
                <c:pt idx="614">
                  <c:v>95.500000000000014</c:v>
                </c:pt>
                <c:pt idx="615">
                  <c:v>95.89958158995816</c:v>
                </c:pt>
                <c:pt idx="616">
                  <c:v>95.397489539748946</c:v>
                </c:pt>
                <c:pt idx="617">
                  <c:v>95.131799163179906</c:v>
                </c:pt>
                <c:pt idx="618">
                  <c:v>94.497907949790772</c:v>
                </c:pt>
                <c:pt idx="619">
                  <c:v>94.081589958158972</c:v>
                </c:pt>
                <c:pt idx="620">
                  <c:v>93.341004184100413</c:v>
                </c:pt>
                <c:pt idx="621">
                  <c:v>93.55230125523012</c:v>
                </c:pt>
                <c:pt idx="622">
                  <c:v>93.552301255230134</c:v>
                </c:pt>
                <c:pt idx="623">
                  <c:v>93.552301255230134</c:v>
                </c:pt>
                <c:pt idx="624">
                  <c:v>93.020920502092054</c:v>
                </c:pt>
                <c:pt idx="625">
                  <c:v>93.020920502092054</c:v>
                </c:pt>
                <c:pt idx="626">
                  <c:v>91.872384937238493</c:v>
                </c:pt>
                <c:pt idx="627">
                  <c:v>91.343096234309627</c:v>
                </c:pt>
                <c:pt idx="628">
                  <c:v>90.558577405857747</c:v>
                </c:pt>
                <c:pt idx="629">
                  <c:v>89.9142259414226</c:v>
                </c:pt>
                <c:pt idx="630">
                  <c:v>89.089958158995827</c:v>
                </c:pt>
                <c:pt idx="631">
                  <c:v>88.064853556485346</c:v>
                </c:pt>
                <c:pt idx="632">
                  <c:v>87.372384937238493</c:v>
                </c:pt>
                <c:pt idx="633">
                  <c:v>87.579497907949786</c:v>
                </c:pt>
                <c:pt idx="634">
                  <c:v>88.581589958158986</c:v>
                </c:pt>
                <c:pt idx="635">
                  <c:v>88.581589958158986</c:v>
                </c:pt>
                <c:pt idx="636">
                  <c:v>88.76569037656904</c:v>
                </c:pt>
                <c:pt idx="637">
                  <c:v>88.765690376569026</c:v>
                </c:pt>
                <c:pt idx="638">
                  <c:v>87.031380753138066</c:v>
                </c:pt>
                <c:pt idx="639">
                  <c:v>86.112970711297066</c:v>
                </c:pt>
                <c:pt idx="640">
                  <c:v>85.73640167364016</c:v>
                </c:pt>
                <c:pt idx="641">
                  <c:v>85.263598326359826</c:v>
                </c:pt>
                <c:pt idx="642">
                  <c:v>87.866108786610866</c:v>
                </c:pt>
                <c:pt idx="643">
                  <c:v>85.228033472803332</c:v>
                </c:pt>
                <c:pt idx="644">
                  <c:v>85.228033472803347</c:v>
                </c:pt>
                <c:pt idx="645">
                  <c:v>84.981171548117146</c:v>
                </c:pt>
                <c:pt idx="646">
                  <c:v>85.13598326359832</c:v>
                </c:pt>
                <c:pt idx="647">
                  <c:v>85.13598326359832</c:v>
                </c:pt>
                <c:pt idx="648">
                  <c:v>85.046025104602492</c:v>
                </c:pt>
                <c:pt idx="649">
                  <c:v>85.188284518828425</c:v>
                </c:pt>
                <c:pt idx="650">
                  <c:v>85.435146443514611</c:v>
                </c:pt>
                <c:pt idx="651">
                  <c:v>85.705020920502065</c:v>
                </c:pt>
                <c:pt idx="652">
                  <c:v>85.765690376568998</c:v>
                </c:pt>
                <c:pt idx="653">
                  <c:v>85.765690376568983</c:v>
                </c:pt>
                <c:pt idx="654">
                  <c:v>85.949790794979023</c:v>
                </c:pt>
                <c:pt idx="655">
                  <c:v>86.115062761506223</c:v>
                </c:pt>
                <c:pt idx="656">
                  <c:v>86.280334728033424</c:v>
                </c:pt>
                <c:pt idx="657">
                  <c:v>86.621338912133837</c:v>
                </c:pt>
                <c:pt idx="658">
                  <c:v>86.684100418409983</c:v>
                </c:pt>
                <c:pt idx="659">
                  <c:v>86.736401673640117</c:v>
                </c:pt>
                <c:pt idx="660">
                  <c:v>86.57740585774053</c:v>
                </c:pt>
                <c:pt idx="661">
                  <c:v>86.213389121338864</c:v>
                </c:pt>
                <c:pt idx="662">
                  <c:v>85.84100418410037</c:v>
                </c:pt>
                <c:pt idx="663">
                  <c:v>85.414225941422544</c:v>
                </c:pt>
                <c:pt idx="664">
                  <c:v>85.115062761506238</c:v>
                </c:pt>
                <c:pt idx="665">
                  <c:v>84.872384937238451</c:v>
                </c:pt>
                <c:pt idx="666">
                  <c:v>85.085774058577357</c:v>
                </c:pt>
                <c:pt idx="667">
                  <c:v>84.937238493723811</c:v>
                </c:pt>
                <c:pt idx="668">
                  <c:v>84.930962343096198</c:v>
                </c:pt>
                <c:pt idx="669">
                  <c:v>84.822175732217531</c:v>
                </c:pt>
                <c:pt idx="670">
                  <c:v>84.690376569037625</c:v>
                </c:pt>
                <c:pt idx="671">
                  <c:v>84.757322175732185</c:v>
                </c:pt>
                <c:pt idx="672">
                  <c:v>84.855648535564825</c:v>
                </c:pt>
                <c:pt idx="673">
                  <c:v>84.786610878661051</c:v>
                </c:pt>
                <c:pt idx="674">
                  <c:v>84.682008368200798</c:v>
                </c:pt>
                <c:pt idx="675">
                  <c:v>84.746861924686158</c:v>
                </c:pt>
                <c:pt idx="676">
                  <c:v>84.709205020920479</c:v>
                </c:pt>
                <c:pt idx="677">
                  <c:v>84.767782426778211</c:v>
                </c:pt>
                <c:pt idx="678">
                  <c:v>84.746861924686158</c:v>
                </c:pt>
                <c:pt idx="679">
                  <c:v>84.719665271966505</c:v>
                </c:pt>
                <c:pt idx="680">
                  <c:v>84.68410041841004</c:v>
                </c:pt>
                <c:pt idx="681">
                  <c:v>84.55020920502092</c:v>
                </c:pt>
                <c:pt idx="682">
                  <c:v>84.61506276150628</c:v>
                </c:pt>
                <c:pt idx="683">
                  <c:v>84.504184100418414</c:v>
                </c:pt>
                <c:pt idx="684">
                  <c:v>84.491631799163187</c:v>
                </c:pt>
                <c:pt idx="685">
                  <c:v>84.506276150627627</c:v>
                </c:pt>
                <c:pt idx="686">
                  <c:v>84.48117154811716</c:v>
                </c:pt>
                <c:pt idx="687">
                  <c:v>84.543933054393307</c:v>
                </c:pt>
                <c:pt idx="688">
                  <c:v>84.470711297071134</c:v>
                </c:pt>
                <c:pt idx="689">
                  <c:v>84.426778242677827</c:v>
                </c:pt>
                <c:pt idx="690">
                  <c:v>84.46443514644352</c:v>
                </c:pt>
                <c:pt idx="691">
                  <c:v>84.433054393305426</c:v>
                </c:pt>
                <c:pt idx="692">
                  <c:v>83.744769874476987</c:v>
                </c:pt>
                <c:pt idx="693">
                  <c:v>84.476987447698747</c:v>
                </c:pt>
                <c:pt idx="694">
                  <c:v>84.497907949790786</c:v>
                </c:pt>
                <c:pt idx="695">
                  <c:v>84.10041841004184</c:v>
                </c:pt>
                <c:pt idx="696">
                  <c:v>84.585774058577414</c:v>
                </c:pt>
                <c:pt idx="697">
                  <c:v>84.585774058577428</c:v>
                </c:pt>
                <c:pt idx="698">
                  <c:v>84.667364016736428</c:v>
                </c:pt>
                <c:pt idx="699">
                  <c:v>84.665271966527229</c:v>
                </c:pt>
                <c:pt idx="700">
                  <c:v>85.803347280334748</c:v>
                </c:pt>
                <c:pt idx="701">
                  <c:v>86.928870292887055</c:v>
                </c:pt>
                <c:pt idx="702">
                  <c:v>86.968619246861948</c:v>
                </c:pt>
                <c:pt idx="703">
                  <c:v>87.186192468619268</c:v>
                </c:pt>
                <c:pt idx="704">
                  <c:v>86.968619246861948</c:v>
                </c:pt>
                <c:pt idx="705">
                  <c:v>87.020920502092082</c:v>
                </c:pt>
                <c:pt idx="706">
                  <c:v>86.876569037656935</c:v>
                </c:pt>
                <c:pt idx="707">
                  <c:v>86.202928870292922</c:v>
                </c:pt>
                <c:pt idx="708">
                  <c:v>85.527196652719695</c:v>
                </c:pt>
                <c:pt idx="709">
                  <c:v>85.154811715481216</c:v>
                </c:pt>
                <c:pt idx="710">
                  <c:v>84.713389121338949</c:v>
                </c:pt>
                <c:pt idx="711">
                  <c:v>84.654811715481202</c:v>
                </c:pt>
                <c:pt idx="712">
                  <c:v>84.771966527196682</c:v>
                </c:pt>
                <c:pt idx="713">
                  <c:v>84.830543933054429</c:v>
                </c:pt>
                <c:pt idx="714">
                  <c:v>84.661087866108815</c:v>
                </c:pt>
                <c:pt idx="715">
                  <c:v>84.615062761506294</c:v>
                </c:pt>
                <c:pt idx="716">
                  <c:v>83.891213389121347</c:v>
                </c:pt>
                <c:pt idx="717">
                  <c:v>84.372384937238493</c:v>
                </c:pt>
                <c:pt idx="718">
                  <c:v>84.313807531380746</c:v>
                </c:pt>
                <c:pt idx="719">
                  <c:v>84.2531380753138</c:v>
                </c:pt>
                <c:pt idx="720">
                  <c:v>84.290794979079493</c:v>
                </c:pt>
                <c:pt idx="721">
                  <c:v>84.297071129707106</c:v>
                </c:pt>
                <c:pt idx="722">
                  <c:v>84.336820083682014</c:v>
                </c:pt>
                <c:pt idx="723">
                  <c:v>84.30125523012552</c:v>
                </c:pt>
                <c:pt idx="724">
                  <c:v>84.307531380753147</c:v>
                </c:pt>
                <c:pt idx="725">
                  <c:v>84.223849372384947</c:v>
                </c:pt>
                <c:pt idx="726">
                  <c:v>84.223849372384947</c:v>
                </c:pt>
                <c:pt idx="727">
                  <c:v>83.960251046025121</c:v>
                </c:pt>
                <c:pt idx="728">
                  <c:v>83.663179916318029</c:v>
                </c:pt>
                <c:pt idx="729">
                  <c:v>83.343096234309655</c:v>
                </c:pt>
                <c:pt idx="730">
                  <c:v>82.782426778242694</c:v>
                </c:pt>
                <c:pt idx="731">
                  <c:v>82.537656903765708</c:v>
                </c:pt>
                <c:pt idx="732">
                  <c:v>84.058577405857761</c:v>
                </c:pt>
                <c:pt idx="733">
                  <c:v>84.037656903765722</c:v>
                </c:pt>
                <c:pt idx="734">
                  <c:v>82.504184100418456</c:v>
                </c:pt>
                <c:pt idx="735">
                  <c:v>82.497907949790843</c:v>
                </c:pt>
                <c:pt idx="736">
                  <c:v>82.744769874477043</c:v>
                </c:pt>
                <c:pt idx="737">
                  <c:v>82.744769874477043</c:v>
                </c:pt>
                <c:pt idx="738">
                  <c:v>82.897489539749017</c:v>
                </c:pt>
                <c:pt idx="739">
                  <c:v>82.355648535564924</c:v>
                </c:pt>
                <c:pt idx="740">
                  <c:v>82.483263598326417</c:v>
                </c:pt>
                <c:pt idx="741">
                  <c:v>82.661087866108844</c:v>
                </c:pt>
                <c:pt idx="742">
                  <c:v>82.62133891213395</c:v>
                </c:pt>
                <c:pt idx="743">
                  <c:v>82.62133891213395</c:v>
                </c:pt>
                <c:pt idx="744">
                  <c:v>82.45606694560675</c:v>
                </c:pt>
                <c:pt idx="745">
                  <c:v>82.537656903765736</c:v>
                </c:pt>
                <c:pt idx="746">
                  <c:v>82.74058577405863</c:v>
                </c:pt>
                <c:pt idx="747">
                  <c:v>82.74058577405863</c:v>
                </c:pt>
                <c:pt idx="748">
                  <c:v>82.382845188284577</c:v>
                </c:pt>
                <c:pt idx="749">
                  <c:v>82.412133891213443</c:v>
                </c:pt>
                <c:pt idx="750">
                  <c:v>82.412133891213443</c:v>
                </c:pt>
                <c:pt idx="751">
                  <c:v>82.43723849372391</c:v>
                </c:pt>
                <c:pt idx="752">
                  <c:v>82.619246861924751</c:v>
                </c:pt>
                <c:pt idx="753">
                  <c:v>82.451882845188351</c:v>
                </c:pt>
                <c:pt idx="754">
                  <c:v>82.451882845188351</c:v>
                </c:pt>
                <c:pt idx="755">
                  <c:v>82.500000000000071</c:v>
                </c:pt>
                <c:pt idx="756">
                  <c:v>82.217573221757391</c:v>
                </c:pt>
                <c:pt idx="757">
                  <c:v>82.617154811715565</c:v>
                </c:pt>
                <c:pt idx="758">
                  <c:v>82.550209205020991</c:v>
                </c:pt>
                <c:pt idx="759">
                  <c:v>82.577405857740672</c:v>
                </c:pt>
                <c:pt idx="760">
                  <c:v>82.458158995815978</c:v>
                </c:pt>
                <c:pt idx="761">
                  <c:v>82.820083682008445</c:v>
                </c:pt>
                <c:pt idx="762">
                  <c:v>82.537656903765765</c:v>
                </c:pt>
                <c:pt idx="763">
                  <c:v>82.792887029288778</c:v>
                </c:pt>
                <c:pt idx="764">
                  <c:v>82.244769874477058</c:v>
                </c:pt>
                <c:pt idx="765">
                  <c:v>82.271966527196724</c:v>
                </c:pt>
                <c:pt idx="766">
                  <c:v>82.311715481171618</c:v>
                </c:pt>
                <c:pt idx="767">
                  <c:v>82.278242677824338</c:v>
                </c:pt>
                <c:pt idx="768">
                  <c:v>82.161087866108858</c:v>
                </c:pt>
                <c:pt idx="769">
                  <c:v>82.211297071129778</c:v>
                </c:pt>
                <c:pt idx="770">
                  <c:v>82.232217573221817</c:v>
                </c:pt>
                <c:pt idx="771">
                  <c:v>82.177824267782484</c:v>
                </c:pt>
                <c:pt idx="772">
                  <c:v>82.133891213389191</c:v>
                </c:pt>
                <c:pt idx="773">
                  <c:v>82.064853556485417</c:v>
                </c:pt>
                <c:pt idx="774">
                  <c:v>82.094142259414298</c:v>
                </c:pt>
                <c:pt idx="775">
                  <c:v>82.008368200836884</c:v>
                </c:pt>
                <c:pt idx="776">
                  <c:v>82.361924686192538</c:v>
                </c:pt>
                <c:pt idx="777">
                  <c:v>82.320083682008445</c:v>
                </c:pt>
                <c:pt idx="778">
                  <c:v>82.845188284518898</c:v>
                </c:pt>
                <c:pt idx="779">
                  <c:v>82.845188284518898</c:v>
                </c:pt>
                <c:pt idx="780">
                  <c:v>82.412133891213458</c:v>
                </c:pt>
                <c:pt idx="781">
                  <c:v>82.744769874477058</c:v>
                </c:pt>
                <c:pt idx="782">
                  <c:v>82.949790794979151</c:v>
                </c:pt>
                <c:pt idx="783">
                  <c:v>82.845188284518898</c:v>
                </c:pt>
                <c:pt idx="784">
                  <c:v>82.845188284518898</c:v>
                </c:pt>
                <c:pt idx="785">
                  <c:v>82.845188284518898</c:v>
                </c:pt>
                <c:pt idx="786">
                  <c:v>82.949790794979151</c:v>
                </c:pt>
                <c:pt idx="787">
                  <c:v>82.849372384937311</c:v>
                </c:pt>
                <c:pt idx="788">
                  <c:v>82.792887029288792</c:v>
                </c:pt>
                <c:pt idx="789">
                  <c:v>82.797071129707192</c:v>
                </c:pt>
                <c:pt idx="790">
                  <c:v>82.769874476987525</c:v>
                </c:pt>
                <c:pt idx="791">
                  <c:v>82.740585774058658</c:v>
                </c:pt>
                <c:pt idx="792">
                  <c:v>82.640167364016818</c:v>
                </c:pt>
                <c:pt idx="793">
                  <c:v>82.562761506276232</c:v>
                </c:pt>
                <c:pt idx="794">
                  <c:v>82.872384937238579</c:v>
                </c:pt>
                <c:pt idx="795">
                  <c:v>82.872384937238579</c:v>
                </c:pt>
                <c:pt idx="796">
                  <c:v>82.897489539749031</c:v>
                </c:pt>
                <c:pt idx="797">
                  <c:v>82.897489539749031</c:v>
                </c:pt>
                <c:pt idx="798">
                  <c:v>82.976987447698818</c:v>
                </c:pt>
                <c:pt idx="799">
                  <c:v>82.976987447698818</c:v>
                </c:pt>
                <c:pt idx="800">
                  <c:v>82.976987447698818</c:v>
                </c:pt>
                <c:pt idx="801">
                  <c:v>82.976987447698818</c:v>
                </c:pt>
                <c:pt idx="802">
                  <c:v>83.002092050209285</c:v>
                </c:pt>
                <c:pt idx="803">
                  <c:v>82.792887029288792</c:v>
                </c:pt>
                <c:pt idx="804">
                  <c:v>82.897489539749046</c:v>
                </c:pt>
                <c:pt idx="805">
                  <c:v>82.820083682008459</c:v>
                </c:pt>
                <c:pt idx="806">
                  <c:v>82.740585774058673</c:v>
                </c:pt>
                <c:pt idx="807">
                  <c:v>82.740585774058673</c:v>
                </c:pt>
                <c:pt idx="808">
                  <c:v>82.117154811715565</c:v>
                </c:pt>
                <c:pt idx="809">
                  <c:v>81.985355648535645</c:v>
                </c:pt>
                <c:pt idx="810">
                  <c:v>81.985355648535645</c:v>
                </c:pt>
                <c:pt idx="811">
                  <c:v>81.732217573221845</c:v>
                </c:pt>
                <c:pt idx="812">
                  <c:v>81.481171548117246</c:v>
                </c:pt>
                <c:pt idx="813">
                  <c:v>81.380753138075406</c:v>
                </c:pt>
                <c:pt idx="814">
                  <c:v>81.259414225941526</c:v>
                </c:pt>
                <c:pt idx="815">
                  <c:v>81.184100418410139</c:v>
                </c:pt>
                <c:pt idx="816">
                  <c:v>81.234309623431059</c:v>
                </c:pt>
                <c:pt idx="817">
                  <c:v>81.173640167364113</c:v>
                </c:pt>
                <c:pt idx="818">
                  <c:v>81.161087866108886</c:v>
                </c:pt>
                <c:pt idx="819">
                  <c:v>80.9979079497909</c:v>
                </c:pt>
                <c:pt idx="820">
                  <c:v>81.06485355648546</c:v>
                </c:pt>
                <c:pt idx="821">
                  <c:v>81.087866108786713</c:v>
                </c:pt>
                <c:pt idx="822">
                  <c:v>81.087866108786713</c:v>
                </c:pt>
                <c:pt idx="823">
                  <c:v>81.064853556485446</c:v>
                </c:pt>
                <c:pt idx="824">
                  <c:v>81.000000000000085</c:v>
                </c:pt>
                <c:pt idx="825">
                  <c:v>81.054393305439419</c:v>
                </c:pt>
                <c:pt idx="826">
                  <c:v>81.127615062761592</c:v>
                </c:pt>
                <c:pt idx="827">
                  <c:v>81.046025104602577</c:v>
                </c:pt>
                <c:pt idx="828">
                  <c:v>81.094142259414298</c:v>
                </c:pt>
                <c:pt idx="829">
                  <c:v>81.02092050209211</c:v>
                </c:pt>
                <c:pt idx="830">
                  <c:v>81.062761506276217</c:v>
                </c:pt>
                <c:pt idx="831">
                  <c:v>81.035564853556551</c:v>
                </c:pt>
                <c:pt idx="832">
                  <c:v>80.997907949790857</c:v>
                </c:pt>
                <c:pt idx="833">
                  <c:v>81.031380753138123</c:v>
                </c:pt>
                <c:pt idx="834">
                  <c:v>80.976987447698789</c:v>
                </c:pt>
                <c:pt idx="835">
                  <c:v>81.073221757322216</c:v>
                </c:pt>
                <c:pt idx="836">
                  <c:v>81.02301255230131</c:v>
                </c:pt>
                <c:pt idx="837">
                  <c:v>81.006276150627656</c:v>
                </c:pt>
                <c:pt idx="838">
                  <c:v>81.02510460251051</c:v>
                </c:pt>
                <c:pt idx="839">
                  <c:v>81.02510460251051</c:v>
                </c:pt>
                <c:pt idx="840">
                  <c:v>81.062761506276203</c:v>
                </c:pt>
                <c:pt idx="841">
                  <c:v>80.993723849372429</c:v>
                </c:pt>
                <c:pt idx="842">
                  <c:v>81.029288702928909</c:v>
                </c:pt>
                <c:pt idx="843">
                  <c:v>81.006276150627656</c:v>
                </c:pt>
                <c:pt idx="844">
                  <c:v>81.006276150627656</c:v>
                </c:pt>
                <c:pt idx="845">
                  <c:v>81.012552301255283</c:v>
                </c:pt>
                <c:pt idx="846">
                  <c:v>81.012552301255283</c:v>
                </c:pt>
                <c:pt idx="847">
                  <c:v>81.012552301255283</c:v>
                </c:pt>
                <c:pt idx="848">
                  <c:v>80.95606694560675</c:v>
                </c:pt>
                <c:pt idx="849">
                  <c:v>81.004184100418456</c:v>
                </c:pt>
                <c:pt idx="850">
                  <c:v>80.949790794979137</c:v>
                </c:pt>
                <c:pt idx="851">
                  <c:v>80.916317991631843</c:v>
                </c:pt>
                <c:pt idx="852">
                  <c:v>80.889121338912176</c:v>
                </c:pt>
                <c:pt idx="853">
                  <c:v>80.797071129707163</c:v>
                </c:pt>
                <c:pt idx="854">
                  <c:v>80.851464435146497</c:v>
                </c:pt>
                <c:pt idx="855">
                  <c:v>80.851464435146497</c:v>
                </c:pt>
                <c:pt idx="856">
                  <c:v>80.594142259414284</c:v>
                </c:pt>
                <c:pt idx="857">
                  <c:v>80.82217573221763</c:v>
                </c:pt>
                <c:pt idx="858">
                  <c:v>80.633891213389177</c:v>
                </c:pt>
                <c:pt idx="859">
                  <c:v>80.677824267782484</c:v>
                </c:pt>
                <c:pt idx="860">
                  <c:v>80.677824267782484</c:v>
                </c:pt>
                <c:pt idx="861">
                  <c:v>80.721757322175804</c:v>
                </c:pt>
                <c:pt idx="862">
                  <c:v>80.748953974895471</c:v>
                </c:pt>
                <c:pt idx="863">
                  <c:v>80.817991631799231</c:v>
                </c:pt>
                <c:pt idx="864">
                  <c:v>80.617154811715551</c:v>
                </c:pt>
                <c:pt idx="865">
                  <c:v>80.635983263598391</c:v>
                </c:pt>
                <c:pt idx="866">
                  <c:v>80.635983263598391</c:v>
                </c:pt>
                <c:pt idx="867">
                  <c:v>80.627615062761564</c:v>
                </c:pt>
                <c:pt idx="868">
                  <c:v>80.753138075313871</c:v>
                </c:pt>
                <c:pt idx="869">
                  <c:v>80.543933054393364</c:v>
                </c:pt>
                <c:pt idx="870">
                  <c:v>80.801255230125591</c:v>
                </c:pt>
                <c:pt idx="871">
                  <c:v>80.617154811715551</c:v>
                </c:pt>
                <c:pt idx="872">
                  <c:v>80.608786610878738</c:v>
                </c:pt>
                <c:pt idx="873">
                  <c:v>80.759414225941484</c:v>
                </c:pt>
                <c:pt idx="874">
                  <c:v>80.631799163179977</c:v>
                </c:pt>
                <c:pt idx="875">
                  <c:v>80.734309623431031</c:v>
                </c:pt>
                <c:pt idx="876">
                  <c:v>80.596234309623483</c:v>
                </c:pt>
                <c:pt idx="877">
                  <c:v>80.596234309623483</c:v>
                </c:pt>
                <c:pt idx="878">
                  <c:v>80.627615062761564</c:v>
                </c:pt>
                <c:pt idx="879">
                  <c:v>80.652719665272031</c:v>
                </c:pt>
                <c:pt idx="880">
                  <c:v>80.125523012552364</c:v>
                </c:pt>
                <c:pt idx="881">
                  <c:v>80.652719665272016</c:v>
                </c:pt>
                <c:pt idx="882">
                  <c:v>80.67364016736407</c:v>
                </c:pt>
                <c:pt idx="883">
                  <c:v>80.748953974895457</c:v>
                </c:pt>
                <c:pt idx="884">
                  <c:v>80.799163179916377</c:v>
                </c:pt>
                <c:pt idx="885">
                  <c:v>80.811715481171603</c:v>
                </c:pt>
                <c:pt idx="886">
                  <c:v>80.761506276150698</c:v>
                </c:pt>
                <c:pt idx="887">
                  <c:v>80.700836820083751</c:v>
                </c:pt>
                <c:pt idx="888">
                  <c:v>80.753138075313871</c:v>
                </c:pt>
                <c:pt idx="889">
                  <c:v>80.334728033472871</c:v>
                </c:pt>
                <c:pt idx="890">
                  <c:v>80.627615062761564</c:v>
                </c:pt>
                <c:pt idx="891">
                  <c:v>80.797071129707177</c:v>
                </c:pt>
                <c:pt idx="892">
                  <c:v>80.669456066945685</c:v>
                </c:pt>
                <c:pt idx="893">
                  <c:v>80.656903765690458</c:v>
                </c:pt>
                <c:pt idx="894">
                  <c:v>80.656903765690458</c:v>
                </c:pt>
                <c:pt idx="895">
                  <c:v>80.600418410041911</c:v>
                </c:pt>
                <c:pt idx="896">
                  <c:v>80.769874476987511</c:v>
                </c:pt>
                <c:pt idx="897">
                  <c:v>80.577405857740658</c:v>
                </c:pt>
                <c:pt idx="898">
                  <c:v>80.573221757322244</c:v>
                </c:pt>
                <c:pt idx="899">
                  <c:v>80.774058577405938</c:v>
                </c:pt>
                <c:pt idx="900">
                  <c:v>80.658995815899658</c:v>
                </c:pt>
                <c:pt idx="901">
                  <c:v>80.692468619246924</c:v>
                </c:pt>
                <c:pt idx="902">
                  <c:v>80.65481171548123</c:v>
                </c:pt>
                <c:pt idx="903">
                  <c:v>80.610878661087924</c:v>
                </c:pt>
                <c:pt idx="904">
                  <c:v>80.55648535564859</c:v>
                </c:pt>
                <c:pt idx="905">
                  <c:v>80.748953974895457</c:v>
                </c:pt>
                <c:pt idx="906">
                  <c:v>80.748953974895457</c:v>
                </c:pt>
                <c:pt idx="907">
                  <c:v>80.596234309623483</c:v>
                </c:pt>
                <c:pt idx="908">
                  <c:v>80.602510460251096</c:v>
                </c:pt>
                <c:pt idx="909">
                  <c:v>80.543933054393364</c:v>
                </c:pt>
                <c:pt idx="910">
                  <c:v>80.77196652719671</c:v>
                </c:pt>
                <c:pt idx="911">
                  <c:v>80.788702928870364</c:v>
                </c:pt>
                <c:pt idx="912">
                  <c:v>80.598326359832697</c:v>
                </c:pt>
                <c:pt idx="913">
                  <c:v>81.213389121338977</c:v>
                </c:pt>
                <c:pt idx="914">
                  <c:v>80.546025104602577</c:v>
                </c:pt>
                <c:pt idx="915">
                  <c:v>80.573221757322244</c:v>
                </c:pt>
                <c:pt idx="916">
                  <c:v>80.604602510460325</c:v>
                </c:pt>
                <c:pt idx="917">
                  <c:v>80.811715481171603</c:v>
                </c:pt>
                <c:pt idx="918">
                  <c:v>80.60460251046031</c:v>
                </c:pt>
                <c:pt idx="919">
                  <c:v>80.644351464435204</c:v>
                </c:pt>
                <c:pt idx="920">
                  <c:v>80.771966527196696</c:v>
                </c:pt>
                <c:pt idx="921">
                  <c:v>80.698744769874523</c:v>
                </c:pt>
                <c:pt idx="922">
                  <c:v>80.627615062761549</c:v>
                </c:pt>
                <c:pt idx="923">
                  <c:v>80.619246861924736</c:v>
                </c:pt>
                <c:pt idx="924">
                  <c:v>80.58995815899587</c:v>
                </c:pt>
                <c:pt idx="925">
                  <c:v>80.573221757322216</c:v>
                </c:pt>
                <c:pt idx="926">
                  <c:v>80.581589958159043</c:v>
                </c:pt>
                <c:pt idx="927">
                  <c:v>80.72384937238499</c:v>
                </c:pt>
                <c:pt idx="928">
                  <c:v>80.72384937238499</c:v>
                </c:pt>
                <c:pt idx="929">
                  <c:v>80.60460251046031</c:v>
                </c:pt>
                <c:pt idx="930">
                  <c:v>80.562761506276203</c:v>
                </c:pt>
                <c:pt idx="931">
                  <c:v>80.64016736401679</c:v>
                </c:pt>
                <c:pt idx="932">
                  <c:v>80.558577405857804</c:v>
                </c:pt>
                <c:pt idx="933">
                  <c:v>80.554393305439405</c:v>
                </c:pt>
                <c:pt idx="934">
                  <c:v>80.543933054393378</c:v>
                </c:pt>
                <c:pt idx="935">
                  <c:v>80.671548117154884</c:v>
                </c:pt>
                <c:pt idx="936">
                  <c:v>80.682008368200911</c:v>
                </c:pt>
                <c:pt idx="937">
                  <c:v>80.481171548117217</c:v>
                </c:pt>
                <c:pt idx="938">
                  <c:v>80.575313807531444</c:v>
                </c:pt>
                <c:pt idx="939">
                  <c:v>80.57112970711303</c:v>
                </c:pt>
                <c:pt idx="940">
                  <c:v>80.334728033472871</c:v>
                </c:pt>
                <c:pt idx="941">
                  <c:v>80.500000000000071</c:v>
                </c:pt>
                <c:pt idx="942">
                  <c:v>80.711297071129778</c:v>
                </c:pt>
                <c:pt idx="943">
                  <c:v>80.535564853556551</c:v>
                </c:pt>
                <c:pt idx="944">
                  <c:v>80.539748953974964</c:v>
                </c:pt>
                <c:pt idx="945">
                  <c:v>80.541841004184164</c:v>
                </c:pt>
                <c:pt idx="946">
                  <c:v>80.575313807531444</c:v>
                </c:pt>
                <c:pt idx="947">
                  <c:v>80.539748953974964</c:v>
                </c:pt>
                <c:pt idx="948">
                  <c:v>80.497907949790857</c:v>
                </c:pt>
                <c:pt idx="949">
                  <c:v>80.523012552301324</c:v>
                </c:pt>
                <c:pt idx="950">
                  <c:v>80.523012552301324</c:v>
                </c:pt>
                <c:pt idx="951">
                  <c:v>80.504184100418485</c:v>
                </c:pt>
                <c:pt idx="952">
                  <c:v>80.508368200836884</c:v>
                </c:pt>
                <c:pt idx="953">
                  <c:v>80.476987447698818</c:v>
                </c:pt>
                <c:pt idx="954">
                  <c:v>80.47071129707119</c:v>
                </c:pt>
                <c:pt idx="955">
                  <c:v>80.564853556485417</c:v>
                </c:pt>
              </c:numCache>
            </c:numRef>
          </c:val>
          <c:smooth val="0"/>
          <c:extLst>
            <c:ext xmlns:c16="http://schemas.microsoft.com/office/drawing/2014/chart" uri="{C3380CC4-5D6E-409C-BE32-E72D297353CC}">
              <c16:uniqueId val="{00000001-3681-4EBC-BDC7-036968F800BB}"/>
            </c:ext>
          </c:extLst>
        </c:ser>
        <c:ser>
          <c:idx val="3"/>
          <c:order val="2"/>
          <c:tx>
            <c:strRef>
              <c:f>Sheet1!$D$1</c:f>
              <c:strCache>
                <c:ptCount val="1"/>
                <c:pt idx="0">
                  <c:v>Ռուսական ռուբլի</c:v>
                </c:pt>
              </c:strCache>
            </c:strRef>
          </c:tx>
          <c:spPr>
            <a:ln w="19050" cap="rnd">
              <a:solidFill>
                <a:sysClr val="window" lastClr="FFFFFF">
                  <a:lumMod val="65000"/>
                </a:sysClr>
              </a:solidFill>
              <a:round/>
            </a:ln>
            <a:effectLst/>
          </c:spPr>
          <c:marker>
            <c:symbol val="picture"/>
            <c:spPr>
              <a:ln w="6350">
                <a:noFill/>
              </a:ln>
            </c:spPr>
          </c:marker>
          <c:cat>
            <c:numRef>
              <c:f>Sheet1!$A$2:$A$890</c:f>
              <c:numCache>
                <c:formatCode>m\/d\/yyyy</c:formatCode>
                <c:ptCount val="889"/>
                <c:pt idx="0">
                  <c:v>43832</c:v>
                </c:pt>
                <c:pt idx="1">
                  <c:v>43833</c:v>
                </c:pt>
                <c:pt idx="2">
                  <c:v>43836</c:v>
                </c:pt>
                <c:pt idx="3">
                  <c:v>43837</c:v>
                </c:pt>
                <c:pt idx="4">
                  <c:v>43838</c:v>
                </c:pt>
                <c:pt idx="5">
                  <c:v>43839</c:v>
                </c:pt>
                <c:pt idx="6">
                  <c:v>43840</c:v>
                </c:pt>
                <c:pt idx="7">
                  <c:v>43843</c:v>
                </c:pt>
                <c:pt idx="8">
                  <c:v>43844</c:v>
                </c:pt>
                <c:pt idx="9">
                  <c:v>43845</c:v>
                </c:pt>
                <c:pt idx="10">
                  <c:v>43846</c:v>
                </c:pt>
                <c:pt idx="11">
                  <c:v>43847</c:v>
                </c:pt>
                <c:pt idx="12">
                  <c:v>43850</c:v>
                </c:pt>
                <c:pt idx="13">
                  <c:v>43851</c:v>
                </c:pt>
                <c:pt idx="14">
                  <c:v>43852</c:v>
                </c:pt>
                <c:pt idx="15">
                  <c:v>43853</c:v>
                </c:pt>
                <c:pt idx="16">
                  <c:v>43854</c:v>
                </c:pt>
                <c:pt idx="17">
                  <c:v>43857</c:v>
                </c:pt>
                <c:pt idx="18">
                  <c:v>43858</c:v>
                </c:pt>
                <c:pt idx="19">
                  <c:v>43859</c:v>
                </c:pt>
                <c:pt idx="20">
                  <c:v>43860</c:v>
                </c:pt>
                <c:pt idx="21">
                  <c:v>43861</c:v>
                </c:pt>
                <c:pt idx="22">
                  <c:v>43864</c:v>
                </c:pt>
                <c:pt idx="23">
                  <c:v>43865</c:v>
                </c:pt>
                <c:pt idx="24">
                  <c:v>43866</c:v>
                </c:pt>
                <c:pt idx="25">
                  <c:v>43867</c:v>
                </c:pt>
                <c:pt idx="26">
                  <c:v>43868</c:v>
                </c:pt>
                <c:pt idx="27">
                  <c:v>43871</c:v>
                </c:pt>
                <c:pt idx="28">
                  <c:v>43872</c:v>
                </c:pt>
                <c:pt idx="29">
                  <c:v>43873</c:v>
                </c:pt>
                <c:pt idx="30">
                  <c:v>43874</c:v>
                </c:pt>
                <c:pt idx="31">
                  <c:v>43875</c:v>
                </c:pt>
                <c:pt idx="32">
                  <c:v>43878</c:v>
                </c:pt>
                <c:pt idx="33">
                  <c:v>43879</c:v>
                </c:pt>
                <c:pt idx="34">
                  <c:v>43880</c:v>
                </c:pt>
                <c:pt idx="35">
                  <c:v>43881</c:v>
                </c:pt>
                <c:pt idx="36">
                  <c:v>43882</c:v>
                </c:pt>
                <c:pt idx="37">
                  <c:v>43885</c:v>
                </c:pt>
                <c:pt idx="38">
                  <c:v>43886</c:v>
                </c:pt>
                <c:pt idx="39">
                  <c:v>43887</c:v>
                </c:pt>
                <c:pt idx="40">
                  <c:v>43888</c:v>
                </c:pt>
                <c:pt idx="41">
                  <c:v>43889</c:v>
                </c:pt>
                <c:pt idx="42">
                  <c:v>43892</c:v>
                </c:pt>
                <c:pt idx="43">
                  <c:v>43893</c:v>
                </c:pt>
                <c:pt idx="44">
                  <c:v>43894</c:v>
                </c:pt>
                <c:pt idx="45">
                  <c:v>43895</c:v>
                </c:pt>
                <c:pt idx="46">
                  <c:v>43896</c:v>
                </c:pt>
                <c:pt idx="47">
                  <c:v>43899</c:v>
                </c:pt>
                <c:pt idx="48">
                  <c:v>43900</c:v>
                </c:pt>
                <c:pt idx="49">
                  <c:v>43901</c:v>
                </c:pt>
                <c:pt idx="50">
                  <c:v>43902</c:v>
                </c:pt>
                <c:pt idx="51">
                  <c:v>43903</c:v>
                </c:pt>
                <c:pt idx="52">
                  <c:v>43906</c:v>
                </c:pt>
                <c:pt idx="53">
                  <c:v>43907</c:v>
                </c:pt>
                <c:pt idx="54">
                  <c:v>43908</c:v>
                </c:pt>
                <c:pt idx="55">
                  <c:v>43909</c:v>
                </c:pt>
                <c:pt idx="56">
                  <c:v>43910</c:v>
                </c:pt>
                <c:pt idx="57">
                  <c:v>43913</c:v>
                </c:pt>
                <c:pt idx="58">
                  <c:v>43914</c:v>
                </c:pt>
                <c:pt idx="59">
                  <c:v>43915</c:v>
                </c:pt>
                <c:pt idx="60">
                  <c:v>43916</c:v>
                </c:pt>
                <c:pt idx="61">
                  <c:v>43917</c:v>
                </c:pt>
                <c:pt idx="62">
                  <c:v>43920</c:v>
                </c:pt>
                <c:pt idx="63">
                  <c:v>43921</c:v>
                </c:pt>
                <c:pt idx="64">
                  <c:v>43922</c:v>
                </c:pt>
                <c:pt idx="65">
                  <c:v>43923</c:v>
                </c:pt>
                <c:pt idx="66">
                  <c:v>43924</c:v>
                </c:pt>
                <c:pt idx="67">
                  <c:v>43927</c:v>
                </c:pt>
                <c:pt idx="68">
                  <c:v>43928</c:v>
                </c:pt>
                <c:pt idx="69">
                  <c:v>43929</c:v>
                </c:pt>
                <c:pt idx="70">
                  <c:v>43930</c:v>
                </c:pt>
                <c:pt idx="71">
                  <c:v>43934</c:v>
                </c:pt>
                <c:pt idx="72">
                  <c:v>43935</c:v>
                </c:pt>
                <c:pt idx="73">
                  <c:v>43936</c:v>
                </c:pt>
                <c:pt idx="74">
                  <c:v>43937</c:v>
                </c:pt>
                <c:pt idx="75">
                  <c:v>43938</c:v>
                </c:pt>
                <c:pt idx="76">
                  <c:v>43941</c:v>
                </c:pt>
                <c:pt idx="77">
                  <c:v>43942</c:v>
                </c:pt>
                <c:pt idx="78">
                  <c:v>43943</c:v>
                </c:pt>
                <c:pt idx="79">
                  <c:v>43944</c:v>
                </c:pt>
                <c:pt idx="80">
                  <c:v>43945</c:v>
                </c:pt>
                <c:pt idx="81">
                  <c:v>43948</c:v>
                </c:pt>
                <c:pt idx="82">
                  <c:v>43949</c:v>
                </c:pt>
                <c:pt idx="83">
                  <c:v>43950</c:v>
                </c:pt>
                <c:pt idx="84">
                  <c:v>43951</c:v>
                </c:pt>
                <c:pt idx="85">
                  <c:v>43952</c:v>
                </c:pt>
                <c:pt idx="86">
                  <c:v>43955</c:v>
                </c:pt>
                <c:pt idx="87">
                  <c:v>43956</c:v>
                </c:pt>
                <c:pt idx="88">
                  <c:v>43957</c:v>
                </c:pt>
                <c:pt idx="89">
                  <c:v>43958</c:v>
                </c:pt>
                <c:pt idx="90">
                  <c:v>43959</c:v>
                </c:pt>
                <c:pt idx="91">
                  <c:v>43962</c:v>
                </c:pt>
                <c:pt idx="92">
                  <c:v>43963</c:v>
                </c:pt>
                <c:pt idx="93">
                  <c:v>43964</c:v>
                </c:pt>
                <c:pt idx="94">
                  <c:v>43965</c:v>
                </c:pt>
                <c:pt idx="95">
                  <c:v>43966</c:v>
                </c:pt>
                <c:pt idx="96">
                  <c:v>43969</c:v>
                </c:pt>
                <c:pt idx="97">
                  <c:v>43970</c:v>
                </c:pt>
                <c:pt idx="98">
                  <c:v>43971</c:v>
                </c:pt>
                <c:pt idx="99">
                  <c:v>43972</c:v>
                </c:pt>
                <c:pt idx="100">
                  <c:v>43973</c:v>
                </c:pt>
                <c:pt idx="101">
                  <c:v>43976</c:v>
                </c:pt>
                <c:pt idx="102">
                  <c:v>43977</c:v>
                </c:pt>
                <c:pt idx="103">
                  <c:v>43978</c:v>
                </c:pt>
                <c:pt idx="104">
                  <c:v>43979</c:v>
                </c:pt>
                <c:pt idx="105">
                  <c:v>43980</c:v>
                </c:pt>
                <c:pt idx="106">
                  <c:v>43983</c:v>
                </c:pt>
                <c:pt idx="107">
                  <c:v>43984</c:v>
                </c:pt>
                <c:pt idx="108">
                  <c:v>43985</c:v>
                </c:pt>
                <c:pt idx="109">
                  <c:v>43986</c:v>
                </c:pt>
                <c:pt idx="110">
                  <c:v>43987</c:v>
                </c:pt>
                <c:pt idx="111">
                  <c:v>43990</c:v>
                </c:pt>
                <c:pt idx="112">
                  <c:v>43991</c:v>
                </c:pt>
                <c:pt idx="113">
                  <c:v>43992</c:v>
                </c:pt>
                <c:pt idx="114">
                  <c:v>43993</c:v>
                </c:pt>
                <c:pt idx="115">
                  <c:v>43994</c:v>
                </c:pt>
                <c:pt idx="116">
                  <c:v>43997</c:v>
                </c:pt>
                <c:pt idx="117">
                  <c:v>43998</c:v>
                </c:pt>
                <c:pt idx="118">
                  <c:v>43999</c:v>
                </c:pt>
                <c:pt idx="119">
                  <c:v>44000</c:v>
                </c:pt>
                <c:pt idx="120">
                  <c:v>44001</c:v>
                </c:pt>
                <c:pt idx="121">
                  <c:v>44004</c:v>
                </c:pt>
                <c:pt idx="122">
                  <c:v>44005</c:v>
                </c:pt>
                <c:pt idx="123">
                  <c:v>44006</c:v>
                </c:pt>
                <c:pt idx="124">
                  <c:v>44007</c:v>
                </c:pt>
                <c:pt idx="125">
                  <c:v>44008</c:v>
                </c:pt>
                <c:pt idx="126">
                  <c:v>44011</c:v>
                </c:pt>
                <c:pt idx="127">
                  <c:v>44012</c:v>
                </c:pt>
                <c:pt idx="128">
                  <c:v>44013</c:v>
                </c:pt>
                <c:pt idx="129">
                  <c:v>44014</c:v>
                </c:pt>
                <c:pt idx="130">
                  <c:v>44015</c:v>
                </c:pt>
                <c:pt idx="131">
                  <c:v>44018</c:v>
                </c:pt>
                <c:pt idx="132">
                  <c:v>44019</c:v>
                </c:pt>
                <c:pt idx="133">
                  <c:v>44020</c:v>
                </c:pt>
                <c:pt idx="134">
                  <c:v>44021</c:v>
                </c:pt>
                <c:pt idx="135">
                  <c:v>44022</c:v>
                </c:pt>
                <c:pt idx="136">
                  <c:v>44025</c:v>
                </c:pt>
                <c:pt idx="137">
                  <c:v>44026</c:v>
                </c:pt>
                <c:pt idx="138">
                  <c:v>44027</c:v>
                </c:pt>
                <c:pt idx="139">
                  <c:v>44028</c:v>
                </c:pt>
                <c:pt idx="140">
                  <c:v>44029</c:v>
                </c:pt>
                <c:pt idx="141">
                  <c:v>44032</c:v>
                </c:pt>
                <c:pt idx="142">
                  <c:v>44033</c:v>
                </c:pt>
                <c:pt idx="143">
                  <c:v>44034</c:v>
                </c:pt>
                <c:pt idx="144">
                  <c:v>44035</c:v>
                </c:pt>
                <c:pt idx="145">
                  <c:v>44036</c:v>
                </c:pt>
                <c:pt idx="146">
                  <c:v>44039</c:v>
                </c:pt>
                <c:pt idx="147">
                  <c:v>44040</c:v>
                </c:pt>
                <c:pt idx="148">
                  <c:v>44041</c:v>
                </c:pt>
                <c:pt idx="149">
                  <c:v>44042</c:v>
                </c:pt>
                <c:pt idx="150">
                  <c:v>44043</c:v>
                </c:pt>
                <c:pt idx="151">
                  <c:v>44046</c:v>
                </c:pt>
                <c:pt idx="152">
                  <c:v>44047</c:v>
                </c:pt>
                <c:pt idx="153">
                  <c:v>44048</c:v>
                </c:pt>
                <c:pt idx="154">
                  <c:v>44049</c:v>
                </c:pt>
                <c:pt idx="155">
                  <c:v>44050</c:v>
                </c:pt>
                <c:pt idx="156">
                  <c:v>44053</c:v>
                </c:pt>
                <c:pt idx="157">
                  <c:v>44054</c:v>
                </c:pt>
                <c:pt idx="158">
                  <c:v>44055</c:v>
                </c:pt>
                <c:pt idx="159">
                  <c:v>44056</c:v>
                </c:pt>
                <c:pt idx="160">
                  <c:v>44057</c:v>
                </c:pt>
                <c:pt idx="161">
                  <c:v>44060</c:v>
                </c:pt>
                <c:pt idx="162">
                  <c:v>44061</c:v>
                </c:pt>
                <c:pt idx="163">
                  <c:v>44062</c:v>
                </c:pt>
                <c:pt idx="164">
                  <c:v>44063</c:v>
                </c:pt>
                <c:pt idx="165">
                  <c:v>44064</c:v>
                </c:pt>
                <c:pt idx="166">
                  <c:v>44067</c:v>
                </c:pt>
                <c:pt idx="167">
                  <c:v>44068</c:v>
                </c:pt>
                <c:pt idx="168">
                  <c:v>44069</c:v>
                </c:pt>
                <c:pt idx="169">
                  <c:v>44070</c:v>
                </c:pt>
                <c:pt idx="170">
                  <c:v>44071</c:v>
                </c:pt>
                <c:pt idx="171">
                  <c:v>44074</c:v>
                </c:pt>
                <c:pt idx="172">
                  <c:v>44075</c:v>
                </c:pt>
                <c:pt idx="173">
                  <c:v>44076</c:v>
                </c:pt>
                <c:pt idx="174">
                  <c:v>44077</c:v>
                </c:pt>
                <c:pt idx="175">
                  <c:v>44078</c:v>
                </c:pt>
                <c:pt idx="176">
                  <c:v>44081</c:v>
                </c:pt>
                <c:pt idx="177">
                  <c:v>44082</c:v>
                </c:pt>
                <c:pt idx="178">
                  <c:v>44083</c:v>
                </c:pt>
                <c:pt idx="179">
                  <c:v>44084</c:v>
                </c:pt>
                <c:pt idx="180">
                  <c:v>44085</c:v>
                </c:pt>
                <c:pt idx="181">
                  <c:v>44088</c:v>
                </c:pt>
                <c:pt idx="182">
                  <c:v>44089</c:v>
                </c:pt>
                <c:pt idx="183">
                  <c:v>44090</c:v>
                </c:pt>
                <c:pt idx="184">
                  <c:v>44091</c:v>
                </c:pt>
                <c:pt idx="185">
                  <c:v>44092</c:v>
                </c:pt>
                <c:pt idx="186">
                  <c:v>44095</c:v>
                </c:pt>
                <c:pt idx="187">
                  <c:v>44096</c:v>
                </c:pt>
                <c:pt idx="188">
                  <c:v>44097</c:v>
                </c:pt>
                <c:pt idx="189">
                  <c:v>44098</c:v>
                </c:pt>
                <c:pt idx="190">
                  <c:v>44099</c:v>
                </c:pt>
                <c:pt idx="191">
                  <c:v>44102</c:v>
                </c:pt>
                <c:pt idx="192">
                  <c:v>44103</c:v>
                </c:pt>
                <c:pt idx="193">
                  <c:v>44104</c:v>
                </c:pt>
                <c:pt idx="194">
                  <c:v>44105</c:v>
                </c:pt>
                <c:pt idx="195">
                  <c:v>44106</c:v>
                </c:pt>
                <c:pt idx="196">
                  <c:v>44109</c:v>
                </c:pt>
                <c:pt idx="197">
                  <c:v>44110</c:v>
                </c:pt>
                <c:pt idx="198">
                  <c:v>44111</c:v>
                </c:pt>
                <c:pt idx="199">
                  <c:v>44112</c:v>
                </c:pt>
                <c:pt idx="200">
                  <c:v>44113</c:v>
                </c:pt>
                <c:pt idx="201">
                  <c:v>44116</c:v>
                </c:pt>
                <c:pt idx="202">
                  <c:v>44117</c:v>
                </c:pt>
                <c:pt idx="203">
                  <c:v>44118</c:v>
                </c:pt>
                <c:pt idx="204">
                  <c:v>44119</c:v>
                </c:pt>
                <c:pt idx="205">
                  <c:v>44120</c:v>
                </c:pt>
                <c:pt idx="206">
                  <c:v>44123</c:v>
                </c:pt>
                <c:pt idx="207">
                  <c:v>44124</c:v>
                </c:pt>
                <c:pt idx="208">
                  <c:v>44125</c:v>
                </c:pt>
                <c:pt idx="209">
                  <c:v>44126</c:v>
                </c:pt>
                <c:pt idx="210">
                  <c:v>44127</c:v>
                </c:pt>
                <c:pt idx="211">
                  <c:v>44130</c:v>
                </c:pt>
                <c:pt idx="212">
                  <c:v>44131</c:v>
                </c:pt>
                <c:pt idx="213">
                  <c:v>44132</c:v>
                </c:pt>
                <c:pt idx="214">
                  <c:v>44133</c:v>
                </c:pt>
                <c:pt idx="215">
                  <c:v>44134</c:v>
                </c:pt>
                <c:pt idx="216">
                  <c:v>44137</c:v>
                </c:pt>
                <c:pt idx="217">
                  <c:v>44138</c:v>
                </c:pt>
                <c:pt idx="218">
                  <c:v>44139</c:v>
                </c:pt>
                <c:pt idx="219">
                  <c:v>44140</c:v>
                </c:pt>
                <c:pt idx="220">
                  <c:v>44141</c:v>
                </c:pt>
                <c:pt idx="221">
                  <c:v>44144</c:v>
                </c:pt>
                <c:pt idx="222">
                  <c:v>44145</c:v>
                </c:pt>
                <c:pt idx="223">
                  <c:v>44146</c:v>
                </c:pt>
                <c:pt idx="224">
                  <c:v>44147</c:v>
                </c:pt>
                <c:pt idx="225">
                  <c:v>44148</c:v>
                </c:pt>
                <c:pt idx="226">
                  <c:v>44151</c:v>
                </c:pt>
                <c:pt idx="227">
                  <c:v>44152</c:v>
                </c:pt>
                <c:pt idx="228">
                  <c:v>44153</c:v>
                </c:pt>
                <c:pt idx="229">
                  <c:v>44154</c:v>
                </c:pt>
                <c:pt idx="230">
                  <c:v>44155</c:v>
                </c:pt>
                <c:pt idx="231">
                  <c:v>44158</c:v>
                </c:pt>
                <c:pt idx="232">
                  <c:v>44159</c:v>
                </c:pt>
                <c:pt idx="233">
                  <c:v>44160</c:v>
                </c:pt>
                <c:pt idx="234">
                  <c:v>44161</c:v>
                </c:pt>
                <c:pt idx="235">
                  <c:v>44162</c:v>
                </c:pt>
                <c:pt idx="236">
                  <c:v>44165</c:v>
                </c:pt>
                <c:pt idx="237">
                  <c:v>44166</c:v>
                </c:pt>
                <c:pt idx="238">
                  <c:v>44167</c:v>
                </c:pt>
                <c:pt idx="239">
                  <c:v>44168</c:v>
                </c:pt>
                <c:pt idx="240">
                  <c:v>44169</c:v>
                </c:pt>
                <c:pt idx="241">
                  <c:v>44172</c:v>
                </c:pt>
                <c:pt idx="242">
                  <c:v>44173</c:v>
                </c:pt>
                <c:pt idx="243">
                  <c:v>44174</c:v>
                </c:pt>
                <c:pt idx="244">
                  <c:v>44175</c:v>
                </c:pt>
                <c:pt idx="245">
                  <c:v>44176</c:v>
                </c:pt>
                <c:pt idx="246">
                  <c:v>44179</c:v>
                </c:pt>
                <c:pt idx="247">
                  <c:v>44180</c:v>
                </c:pt>
                <c:pt idx="248">
                  <c:v>44181</c:v>
                </c:pt>
                <c:pt idx="249">
                  <c:v>44182</c:v>
                </c:pt>
                <c:pt idx="250">
                  <c:v>44183</c:v>
                </c:pt>
                <c:pt idx="251">
                  <c:v>44186</c:v>
                </c:pt>
                <c:pt idx="252">
                  <c:v>44187</c:v>
                </c:pt>
                <c:pt idx="253">
                  <c:v>44188</c:v>
                </c:pt>
                <c:pt idx="254">
                  <c:v>44189</c:v>
                </c:pt>
                <c:pt idx="255">
                  <c:v>44193</c:v>
                </c:pt>
                <c:pt idx="256">
                  <c:v>44194</c:v>
                </c:pt>
                <c:pt idx="257">
                  <c:v>44195</c:v>
                </c:pt>
                <c:pt idx="258">
                  <c:v>44196</c:v>
                </c:pt>
                <c:pt idx="259">
                  <c:v>44200</c:v>
                </c:pt>
                <c:pt idx="260">
                  <c:v>44201</c:v>
                </c:pt>
                <c:pt idx="261">
                  <c:v>44202</c:v>
                </c:pt>
                <c:pt idx="262">
                  <c:v>44203</c:v>
                </c:pt>
                <c:pt idx="263">
                  <c:v>44204</c:v>
                </c:pt>
                <c:pt idx="264">
                  <c:v>44207</c:v>
                </c:pt>
                <c:pt idx="265">
                  <c:v>44208</c:v>
                </c:pt>
                <c:pt idx="266">
                  <c:v>44209</c:v>
                </c:pt>
                <c:pt idx="267">
                  <c:v>44210</c:v>
                </c:pt>
                <c:pt idx="268">
                  <c:v>44211</c:v>
                </c:pt>
                <c:pt idx="269">
                  <c:v>44214</c:v>
                </c:pt>
                <c:pt idx="270">
                  <c:v>44215</c:v>
                </c:pt>
                <c:pt idx="271">
                  <c:v>44216</c:v>
                </c:pt>
                <c:pt idx="272">
                  <c:v>44217</c:v>
                </c:pt>
                <c:pt idx="273">
                  <c:v>44218</c:v>
                </c:pt>
                <c:pt idx="274">
                  <c:v>44221</c:v>
                </c:pt>
                <c:pt idx="275">
                  <c:v>44222</c:v>
                </c:pt>
                <c:pt idx="276">
                  <c:v>44223</c:v>
                </c:pt>
                <c:pt idx="277">
                  <c:v>44224</c:v>
                </c:pt>
                <c:pt idx="278">
                  <c:v>44225</c:v>
                </c:pt>
                <c:pt idx="279">
                  <c:v>44228</c:v>
                </c:pt>
                <c:pt idx="280">
                  <c:v>44229</c:v>
                </c:pt>
                <c:pt idx="281">
                  <c:v>44230</c:v>
                </c:pt>
                <c:pt idx="282">
                  <c:v>44231</c:v>
                </c:pt>
                <c:pt idx="283">
                  <c:v>44232</c:v>
                </c:pt>
                <c:pt idx="284">
                  <c:v>44235</c:v>
                </c:pt>
                <c:pt idx="285">
                  <c:v>44236</c:v>
                </c:pt>
                <c:pt idx="286">
                  <c:v>44237</c:v>
                </c:pt>
                <c:pt idx="287">
                  <c:v>44238</c:v>
                </c:pt>
                <c:pt idx="288">
                  <c:v>44239</c:v>
                </c:pt>
                <c:pt idx="289">
                  <c:v>44242</c:v>
                </c:pt>
                <c:pt idx="290">
                  <c:v>44243</c:v>
                </c:pt>
                <c:pt idx="291">
                  <c:v>44244</c:v>
                </c:pt>
                <c:pt idx="292">
                  <c:v>44245</c:v>
                </c:pt>
                <c:pt idx="293">
                  <c:v>44246</c:v>
                </c:pt>
                <c:pt idx="294">
                  <c:v>44249</c:v>
                </c:pt>
                <c:pt idx="295">
                  <c:v>44250</c:v>
                </c:pt>
                <c:pt idx="296">
                  <c:v>44251</c:v>
                </c:pt>
                <c:pt idx="297">
                  <c:v>44252</c:v>
                </c:pt>
                <c:pt idx="298">
                  <c:v>44253</c:v>
                </c:pt>
                <c:pt idx="299">
                  <c:v>44256</c:v>
                </c:pt>
                <c:pt idx="300">
                  <c:v>44257</c:v>
                </c:pt>
                <c:pt idx="301">
                  <c:v>44258</c:v>
                </c:pt>
                <c:pt idx="302">
                  <c:v>44259</c:v>
                </c:pt>
                <c:pt idx="303">
                  <c:v>44260</c:v>
                </c:pt>
                <c:pt idx="304">
                  <c:v>44263</c:v>
                </c:pt>
                <c:pt idx="305">
                  <c:v>44264</c:v>
                </c:pt>
                <c:pt idx="306">
                  <c:v>44265</c:v>
                </c:pt>
                <c:pt idx="307">
                  <c:v>44266</c:v>
                </c:pt>
                <c:pt idx="308">
                  <c:v>44267</c:v>
                </c:pt>
                <c:pt idx="309">
                  <c:v>44270</c:v>
                </c:pt>
                <c:pt idx="310">
                  <c:v>44271</c:v>
                </c:pt>
                <c:pt idx="311">
                  <c:v>44272</c:v>
                </c:pt>
                <c:pt idx="312">
                  <c:v>44273</c:v>
                </c:pt>
                <c:pt idx="313">
                  <c:v>44274</c:v>
                </c:pt>
                <c:pt idx="314">
                  <c:v>44277</c:v>
                </c:pt>
                <c:pt idx="315">
                  <c:v>44278</c:v>
                </c:pt>
                <c:pt idx="316">
                  <c:v>44279</c:v>
                </c:pt>
                <c:pt idx="317">
                  <c:v>44280</c:v>
                </c:pt>
                <c:pt idx="318">
                  <c:v>44281</c:v>
                </c:pt>
                <c:pt idx="319">
                  <c:v>44284</c:v>
                </c:pt>
                <c:pt idx="320">
                  <c:v>44285</c:v>
                </c:pt>
                <c:pt idx="321">
                  <c:v>44286</c:v>
                </c:pt>
                <c:pt idx="322">
                  <c:v>44287</c:v>
                </c:pt>
                <c:pt idx="323">
                  <c:v>44288</c:v>
                </c:pt>
                <c:pt idx="324">
                  <c:v>44291</c:v>
                </c:pt>
                <c:pt idx="325">
                  <c:v>44292</c:v>
                </c:pt>
                <c:pt idx="326">
                  <c:v>44293</c:v>
                </c:pt>
                <c:pt idx="327">
                  <c:v>44294</c:v>
                </c:pt>
                <c:pt idx="328">
                  <c:v>44295</c:v>
                </c:pt>
                <c:pt idx="329">
                  <c:v>44298</c:v>
                </c:pt>
                <c:pt idx="330">
                  <c:v>44299</c:v>
                </c:pt>
                <c:pt idx="331">
                  <c:v>44300</c:v>
                </c:pt>
                <c:pt idx="332">
                  <c:v>44301</c:v>
                </c:pt>
                <c:pt idx="333">
                  <c:v>44302</c:v>
                </c:pt>
                <c:pt idx="334">
                  <c:v>44305</c:v>
                </c:pt>
                <c:pt idx="335">
                  <c:v>44306</c:v>
                </c:pt>
                <c:pt idx="336">
                  <c:v>44307</c:v>
                </c:pt>
                <c:pt idx="337">
                  <c:v>44308</c:v>
                </c:pt>
                <c:pt idx="338">
                  <c:v>44309</c:v>
                </c:pt>
                <c:pt idx="339">
                  <c:v>44312</c:v>
                </c:pt>
                <c:pt idx="340">
                  <c:v>44313</c:v>
                </c:pt>
                <c:pt idx="341">
                  <c:v>44314</c:v>
                </c:pt>
                <c:pt idx="342">
                  <c:v>44315</c:v>
                </c:pt>
                <c:pt idx="343">
                  <c:v>44316</c:v>
                </c:pt>
                <c:pt idx="344">
                  <c:v>44319</c:v>
                </c:pt>
                <c:pt idx="345">
                  <c:v>44320</c:v>
                </c:pt>
                <c:pt idx="346">
                  <c:v>44321</c:v>
                </c:pt>
                <c:pt idx="347">
                  <c:v>44322</c:v>
                </c:pt>
                <c:pt idx="348">
                  <c:v>44323</c:v>
                </c:pt>
                <c:pt idx="349">
                  <c:v>44326</c:v>
                </c:pt>
                <c:pt idx="350">
                  <c:v>44327</c:v>
                </c:pt>
                <c:pt idx="351">
                  <c:v>44328</c:v>
                </c:pt>
                <c:pt idx="352">
                  <c:v>44329</c:v>
                </c:pt>
                <c:pt idx="353">
                  <c:v>44330</c:v>
                </c:pt>
                <c:pt idx="354">
                  <c:v>44333</c:v>
                </c:pt>
                <c:pt idx="355">
                  <c:v>44334</c:v>
                </c:pt>
                <c:pt idx="356">
                  <c:v>44335</c:v>
                </c:pt>
                <c:pt idx="357">
                  <c:v>44336</c:v>
                </c:pt>
                <c:pt idx="358">
                  <c:v>44337</c:v>
                </c:pt>
                <c:pt idx="359">
                  <c:v>44340</c:v>
                </c:pt>
                <c:pt idx="360">
                  <c:v>44341</c:v>
                </c:pt>
                <c:pt idx="361">
                  <c:v>44342</c:v>
                </c:pt>
                <c:pt idx="362">
                  <c:v>44343</c:v>
                </c:pt>
                <c:pt idx="363">
                  <c:v>44344</c:v>
                </c:pt>
                <c:pt idx="364">
                  <c:v>44347</c:v>
                </c:pt>
                <c:pt idx="365">
                  <c:v>44348</c:v>
                </c:pt>
                <c:pt idx="366">
                  <c:v>44349</c:v>
                </c:pt>
                <c:pt idx="367">
                  <c:v>44350</c:v>
                </c:pt>
                <c:pt idx="368">
                  <c:v>44351</c:v>
                </c:pt>
                <c:pt idx="369">
                  <c:v>44354</c:v>
                </c:pt>
                <c:pt idx="370">
                  <c:v>44355</c:v>
                </c:pt>
                <c:pt idx="371">
                  <c:v>44356</c:v>
                </c:pt>
                <c:pt idx="372">
                  <c:v>44357</c:v>
                </c:pt>
                <c:pt idx="373">
                  <c:v>44358</c:v>
                </c:pt>
                <c:pt idx="374">
                  <c:v>44361</c:v>
                </c:pt>
                <c:pt idx="375">
                  <c:v>44362</c:v>
                </c:pt>
                <c:pt idx="376">
                  <c:v>44363</c:v>
                </c:pt>
                <c:pt idx="377">
                  <c:v>44364</c:v>
                </c:pt>
                <c:pt idx="378">
                  <c:v>44365</c:v>
                </c:pt>
                <c:pt idx="379">
                  <c:v>44368</c:v>
                </c:pt>
                <c:pt idx="380">
                  <c:v>44369</c:v>
                </c:pt>
                <c:pt idx="381">
                  <c:v>44370</c:v>
                </c:pt>
                <c:pt idx="382">
                  <c:v>44371</c:v>
                </c:pt>
                <c:pt idx="383">
                  <c:v>44372</c:v>
                </c:pt>
                <c:pt idx="384">
                  <c:v>44375</c:v>
                </c:pt>
                <c:pt idx="385">
                  <c:v>44376</c:v>
                </c:pt>
                <c:pt idx="386">
                  <c:v>44377</c:v>
                </c:pt>
                <c:pt idx="387">
                  <c:v>44378</c:v>
                </c:pt>
                <c:pt idx="388">
                  <c:v>44379</c:v>
                </c:pt>
                <c:pt idx="389">
                  <c:v>44382</c:v>
                </c:pt>
                <c:pt idx="390">
                  <c:v>44383</c:v>
                </c:pt>
                <c:pt idx="391">
                  <c:v>44384</c:v>
                </c:pt>
                <c:pt idx="392">
                  <c:v>44385</c:v>
                </c:pt>
                <c:pt idx="393">
                  <c:v>44386</c:v>
                </c:pt>
                <c:pt idx="394">
                  <c:v>44389</c:v>
                </c:pt>
                <c:pt idx="395">
                  <c:v>44390</c:v>
                </c:pt>
                <c:pt idx="396">
                  <c:v>44391</c:v>
                </c:pt>
                <c:pt idx="397">
                  <c:v>44392</c:v>
                </c:pt>
                <c:pt idx="398">
                  <c:v>44393</c:v>
                </c:pt>
                <c:pt idx="399">
                  <c:v>44396</c:v>
                </c:pt>
                <c:pt idx="400">
                  <c:v>44397</c:v>
                </c:pt>
                <c:pt idx="401">
                  <c:v>44398</c:v>
                </c:pt>
                <c:pt idx="402">
                  <c:v>44399</c:v>
                </c:pt>
                <c:pt idx="403">
                  <c:v>44400</c:v>
                </c:pt>
                <c:pt idx="404">
                  <c:v>44403</c:v>
                </c:pt>
                <c:pt idx="405">
                  <c:v>44404</c:v>
                </c:pt>
                <c:pt idx="406">
                  <c:v>44405</c:v>
                </c:pt>
                <c:pt idx="407">
                  <c:v>44406</c:v>
                </c:pt>
                <c:pt idx="408">
                  <c:v>44407</c:v>
                </c:pt>
                <c:pt idx="409">
                  <c:v>44410</c:v>
                </c:pt>
                <c:pt idx="410">
                  <c:v>44411</c:v>
                </c:pt>
                <c:pt idx="411">
                  <c:v>44412</c:v>
                </c:pt>
                <c:pt idx="412">
                  <c:v>44413</c:v>
                </c:pt>
                <c:pt idx="413">
                  <c:v>44414</c:v>
                </c:pt>
                <c:pt idx="414">
                  <c:v>44417</c:v>
                </c:pt>
                <c:pt idx="415">
                  <c:v>44418</c:v>
                </c:pt>
                <c:pt idx="416">
                  <c:v>44419</c:v>
                </c:pt>
                <c:pt idx="417">
                  <c:v>44420</c:v>
                </c:pt>
                <c:pt idx="418">
                  <c:v>44421</c:v>
                </c:pt>
                <c:pt idx="419">
                  <c:v>44424</c:v>
                </c:pt>
                <c:pt idx="420">
                  <c:v>44425</c:v>
                </c:pt>
                <c:pt idx="421">
                  <c:v>44426</c:v>
                </c:pt>
                <c:pt idx="422">
                  <c:v>44427</c:v>
                </c:pt>
                <c:pt idx="423">
                  <c:v>44428</c:v>
                </c:pt>
                <c:pt idx="424">
                  <c:v>44431</c:v>
                </c:pt>
                <c:pt idx="425">
                  <c:v>44432</c:v>
                </c:pt>
                <c:pt idx="426">
                  <c:v>44433</c:v>
                </c:pt>
                <c:pt idx="427">
                  <c:v>44434</c:v>
                </c:pt>
                <c:pt idx="428">
                  <c:v>44435</c:v>
                </c:pt>
                <c:pt idx="429">
                  <c:v>44438</c:v>
                </c:pt>
                <c:pt idx="430">
                  <c:v>44439</c:v>
                </c:pt>
                <c:pt idx="431">
                  <c:v>44440</c:v>
                </c:pt>
                <c:pt idx="432">
                  <c:v>44441</c:v>
                </c:pt>
                <c:pt idx="433">
                  <c:v>44442</c:v>
                </c:pt>
                <c:pt idx="434">
                  <c:v>44445</c:v>
                </c:pt>
                <c:pt idx="435">
                  <c:v>44446</c:v>
                </c:pt>
                <c:pt idx="436">
                  <c:v>44447</c:v>
                </c:pt>
                <c:pt idx="437">
                  <c:v>44448</c:v>
                </c:pt>
                <c:pt idx="438">
                  <c:v>44449</c:v>
                </c:pt>
                <c:pt idx="439">
                  <c:v>44452</c:v>
                </c:pt>
                <c:pt idx="440">
                  <c:v>44453</c:v>
                </c:pt>
                <c:pt idx="441">
                  <c:v>44454</c:v>
                </c:pt>
                <c:pt idx="442">
                  <c:v>44455</c:v>
                </c:pt>
                <c:pt idx="443">
                  <c:v>44456</c:v>
                </c:pt>
                <c:pt idx="444">
                  <c:v>44459</c:v>
                </c:pt>
                <c:pt idx="445">
                  <c:v>44460</c:v>
                </c:pt>
                <c:pt idx="446">
                  <c:v>44461</c:v>
                </c:pt>
                <c:pt idx="447">
                  <c:v>44462</c:v>
                </c:pt>
                <c:pt idx="448">
                  <c:v>44463</c:v>
                </c:pt>
                <c:pt idx="449">
                  <c:v>44466</c:v>
                </c:pt>
                <c:pt idx="450">
                  <c:v>44467</c:v>
                </c:pt>
                <c:pt idx="451">
                  <c:v>44468</c:v>
                </c:pt>
                <c:pt idx="452">
                  <c:v>44469</c:v>
                </c:pt>
                <c:pt idx="453">
                  <c:v>44470</c:v>
                </c:pt>
                <c:pt idx="454">
                  <c:v>44473</c:v>
                </c:pt>
                <c:pt idx="455">
                  <c:v>44474</c:v>
                </c:pt>
                <c:pt idx="456">
                  <c:v>44475</c:v>
                </c:pt>
                <c:pt idx="457">
                  <c:v>44476</c:v>
                </c:pt>
                <c:pt idx="458">
                  <c:v>44477</c:v>
                </c:pt>
                <c:pt idx="459">
                  <c:v>44480</c:v>
                </c:pt>
                <c:pt idx="460">
                  <c:v>44481</c:v>
                </c:pt>
                <c:pt idx="461">
                  <c:v>44482</c:v>
                </c:pt>
                <c:pt idx="462">
                  <c:v>44483</c:v>
                </c:pt>
                <c:pt idx="463">
                  <c:v>44484</c:v>
                </c:pt>
                <c:pt idx="464">
                  <c:v>44487</c:v>
                </c:pt>
                <c:pt idx="465">
                  <c:v>44488</c:v>
                </c:pt>
                <c:pt idx="466">
                  <c:v>44489</c:v>
                </c:pt>
                <c:pt idx="467">
                  <c:v>44490</c:v>
                </c:pt>
                <c:pt idx="468">
                  <c:v>44491</c:v>
                </c:pt>
                <c:pt idx="469">
                  <c:v>44494</c:v>
                </c:pt>
                <c:pt idx="470">
                  <c:v>44495</c:v>
                </c:pt>
                <c:pt idx="471">
                  <c:v>44496</c:v>
                </c:pt>
                <c:pt idx="472">
                  <c:v>44497</c:v>
                </c:pt>
                <c:pt idx="473">
                  <c:v>44498</c:v>
                </c:pt>
                <c:pt idx="474">
                  <c:v>44501</c:v>
                </c:pt>
                <c:pt idx="475">
                  <c:v>44502</c:v>
                </c:pt>
                <c:pt idx="476">
                  <c:v>44503</c:v>
                </c:pt>
                <c:pt idx="477">
                  <c:v>44504</c:v>
                </c:pt>
                <c:pt idx="478">
                  <c:v>44505</c:v>
                </c:pt>
                <c:pt idx="479">
                  <c:v>44508</c:v>
                </c:pt>
                <c:pt idx="480">
                  <c:v>44509</c:v>
                </c:pt>
                <c:pt idx="481">
                  <c:v>44510</c:v>
                </c:pt>
                <c:pt idx="482">
                  <c:v>44511</c:v>
                </c:pt>
                <c:pt idx="483">
                  <c:v>44512</c:v>
                </c:pt>
                <c:pt idx="484">
                  <c:v>44515</c:v>
                </c:pt>
                <c:pt idx="485">
                  <c:v>44516</c:v>
                </c:pt>
                <c:pt idx="486">
                  <c:v>44517</c:v>
                </c:pt>
                <c:pt idx="487">
                  <c:v>44518</c:v>
                </c:pt>
                <c:pt idx="488">
                  <c:v>44519</c:v>
                </c:pt>
                <c:pt idx="489">
                  <c:v>44522</c:v>
                </c:pt>
                <c:pt idx="490">
                  <c:v>44523</c:v>
                </c:pt>
                <c:pt idx="491">
                  <c:v>44524</c:v>
                </c:pt>
                <c:pt idx="492">
                  <c:v>44525</c:v>
                </c:pt>
                <c:pt idx="493">
                  <c:v>44526</c:v>
                </c:pt>
                <c:pt idx="494">
                  <c:v>44529</c:v>
                </c:pt>
                <c:pt idx="495">
                  <c:v>44530</c:v>
                </c:pt>
                <c:pt idx="496">
                  <c:v>44531</c:v>
                </c:pt>
                <c:pt idx="497">
                  <c:v>44532</c:v>
                </c:pt>
                <c:pt idx="498">
                  <c:v>44533</c:v>
                </c:pt>
                <c:pt idx="499">
                  <c:v>44536</c:v>
                </c:pt>
                <c:pt idx="500">
                  <c:v>44537</c:v>
                </c:pt>
                <c:pt idx="501">
                  <c:v>44538</c:v>
                </c:pt>
                <c:pt idx="502">
                  <c:v>44539</c:v>
                </c:pt>
                <c:pt idx="503">
                  <c:v>44540</c:v>
                </c:pt>
                <c:pt idx="504">
                  <c:v>44543</c:v>
                </c:pt>
                <c:pt idx="505">
                  <c:v>44544</c:v>
                </c:pt>
                <c:pt idx="506">
                  <c:v>44545</c:v>
                </c:pt>
                <c:pt idx="507">
                  <c:v>44546</c:v>
                </c:pt>
                <c:pt idx="508">
                  <c:v>44547</c:v>
                </c:pt>
                <c:pt idx="509">
                  <c:v>44550</c:v>
                </c:pt>
                <c:pt idx="510">
                  <c:v>44551</c:v>
                </c:pt>
                <c:pt idx="511">
                  <c:v>44552</c:v>
                </c:pt>
                <c:pt idx="512">
                  <c:v>44553</c:v>
                </c:pt>
                <c:pt idx="513">
                  <c:v>44557</c:v>
                </c:pt>
                <c:pt idx="514">
                  <c:v>44558</c:v>
                </c:pt>
                <c:pt idx="515">
                  <c:v>44559</c:v>
                </c:pt>
                <c:pt idx="516">
                  <c:v>44560</c:v>
                </c:pt>
                <c:pt idx="517">
                  <c:v>44561</c:v>
                </c:pt>
                <c:pt idx="518">
                  <c:v>44564</c:v>
                </c:pt>
                <c:pt idx="519">
                  <c:v>44565</c:v>
                </c:pt>
                <c:pt idx="520">
                  <c:v>44566</c:v>
                </c:pt>
                <c:pt idx="521">
                  <c:v>44567</c:v>
                </c:pt>
                <c:pt idx="522">
                  <c:v>44568</c:v>
                </c:pt>
                <c:pt idx="523">
                  <c:v>44571</c:v>
                </c:pt>
                <c:pt idx="524">
                  <c:v>44572</c:v>
                </c:pt>
                <c:pt idx="525">
                  <c:v>44573</c:v>
                </c:pt>
                <c:pt idx="526">
                  <c:v>44574</c:v>
                </c:pt>
                <c:pt idx="527">
                  <c:v>44575</c:v>
                </c:pt>
                <c:pt idx="528">
                  <c:v>44578</c:v>
                </c:pt>
                <c:pt idx="529">
                  <c:v>44579</c:v>
                </c:pt>
                <c:pt idx="530">
                  <c:v>44580</c:v>
                </c:pt>
                <c:pt idx="531">
                  <c:v>44581</c:v>
                </c:pt>
                <c:pt idx="532">
                  <c:v>44582</c:v>
                </c:pt>
                <c:pt idx="533">
                  <c:v>44585</c:v>
                </c:pt>
                <c:pt idx="534">
                  <c:v>44586</c:v>
                </c:pt>
                <c:pt idx="535">
                  <c:v>44587</c:v>
                </c:pt>
                <c:pt idx="536">
                  <c:v>44588</c:v>
                </c:pt>
                <c:pt idx="537">
                  <c:v>44589</c:v>
                </c:pt>
                <c:pt idx="538">
                  <c:v>44592</c:v>
                </c:pt>
                <c:pt idx="539">
                  <c:v>44593</c:v>
                </c:pt>
                <c:pt idx="540">
                  <c:v>44594</c:v>
                </c:pt>
                <c:pt idx="541">
                  <c:v>44595</c:v>
                </c:pt>
                <c:pt idx="542">
                  <c:v>44596</c:v>
                </c:pt>
                <c:pt idx="543">
                  <c:v>44599</c:v>
                </c:pt>
                <c:pt idx="544">
                  <c:v>44600</c:v>
                </c:pt>
                <c:pt idx="545">
                  <c:v>44601</c:v>
                </c:pt>
                <c:pt idx="546">
                  <c:v>44602</c:v>
                </c:pt>
                <c:pt idx="547">
                  <c:v>44603</c:v>
                </c:pt>
                <c:pt idx="548">
                  <c:v>44606</c:v>
                </c:pt>
                <c:pt idx="549">
                  <c:v>44607</c:v>
                </c:pt>
                <c:pt idx="550">
                  <c:v>44608</c:v>
                </c:pt>
                <c:pt idx="551">
                  <c:v>44609</c:v>
                </c:pt>
                <c:pt idx="552">
                  <c:v>44610</c:v>
                </c:pt>
                <c:pt idx="553">
                  <c:v>44613</c:v>
                </c:pt>
                <c:pt idx="554">
                  <c:v>44614</c:v>
                </c:pt>
                <c:pt idx="555">
                  <c:v>44615</c:v>
                </c:pt>
                <c:pt idx="556">
                  <c:v>44616</c:v>
                </c:pt>
                <c:pt idx="557">
                  <c:v>44617</c:v>
                </c:pt>
                <c:pt idx="558">
                  <c:v>44620</c:v>
                </c:pt>
                <c:pt idx="559">
                  <c:v>44621</c:v>
                </c:pt>
                <c:pt idx="560">
                  <c:v>44622</c:v>
                </c:pt>
                <c:pt idx="561">
                  <c:v>44623</c:v>
                </c:pt>
                <c:pt idx="562">
                  <c:v>44624</c:v>
                </c:pt>
                <c:pt idx="563">
                  <c:v>44627</c:v>
                </c:pt>
                <c:pt idx="564">
                  <c:v>44628</c:v>
                </c:pt>
                <c:pt idx="565">
                  <c:v>44629</c:v>
                </c:pt>
                <c:pt idx="566">
                  <c:v>44630</c:v>
                </c:pt>
                <c:pt idx="567">
                  <c:v>44631</c:v>
                </c:pt>
                <c:pt idx="568">
                  <c:v>44634</c:v>
                </c:pt>
                <c:pt idx="569">
                  <c:v>44635</c:v>
                </c:pt>
                <c:pt idx="570">
                  <c:v>44636</c:v>
                </c:pt>
                <c:pt idx="571">
                  <c:v>44637</c:v>
                </c:pt>
                <c:pt idx="572">
                  <c:v>44638</c:v>
                </c:pt>
                <c:pt idx="573">
                  <c:v>44641</c:v>
                </c:pt>
                <c:pt idx="574">
                  <c:v>44642</c:v>
                </c:pt>
                <c:pt idx="575">
                  <c:v>44643</c:v>
                </c:pt>
                <c:pt idx="576">
                  <c:v>44644</c:v>
                </c:pt>
                <c:pt idx="577">
                  <c:v>44645</c:v>
                </c:pt>
                <c:pt idx="578">
                  <c:v>44648</c:v>
                </c:pt>
                <c:pt idx="579">
                  <c:v>44649</c:v>
                </c:pt>
                <c:pt idx="580">
                  <c:v>44650</c:v>
                </c:pt>
                <c:pt idx="581">
                  <c:v>44651</c:v>
                </c:pt>
                <c:pt idx="582">
                  <c:v>44652</c:v>
                </c:pt>
                <c:pt idx="583">
                  <c:v>44655</c:v>
                </c:pt>
                <c:pt idx="584">
                  <c:v>44656</c:v>
                </c:pt>
                <c:pt idx="585">
                  <c:v>44657</c:v>
                </c:pt>
                <c:pt idx="586">
                  <c:v>44658</c:v>
                </c:pt>
                <c:pt idx="587">
                  <c:v>44659</c:v>
                </c:pt>
                <c:pt idx="588">
                  <c:v>44662</c:v>
                </c:pt>
                <c:pt idx="589">
                  <c:v>44663</c:v>
                </c:pt>
                <c:pt idx="590">
                  <c:v>44664</c:v>
                </c:pt>
                <c:pt idx="591">
                  <c:v>44665</c:v>
                </c:pt>
                <c:pt idx="592">
                  <c:v>44669</c:v>
                </c:pt>
                <c:pt idx="593">
                  <c:v>44670</c:v>
                </c:pt>
                <c:pt idx="594">
                  <c:v>44671</c:v>
                </c:pt>
                <c:pt idx="595">
                  <c:v>44672</c:v>
                </c:pt>
                <c:pt idx="596">
                  <c:v>44673</c:v>
                </c:pt>
                <c:pt idx="597">
                  <c:v>44676</c:v>
                </c:pt>
                <c:pt idx="598">
                  <c:v>44677</c:v>
                </c:pt>
                <c:pt idx="599">
                  <c:v>44678</c:v>
                </c:pt>
                <c:pt idx="600">
                  <c:v>44679</c:v>
                </c:pt>
                <c:pt idx="601">
                  <c:v>44680</c:v>
                </c:pt>
                <c:pt idx="602">
                  <c:v>44683</c:v>
                </c:pt>
                <c:pt idx="603">
                  <c:v>44684</c:v>
                </c:pt>
                <c:pt idx="604">
                  <c:v>44685</c:v>
                </c:pt>
                <c:pt idx="605">
                  <c:v>44686</c:v>
                </c:pt>
                <c:pt idx="606">
                  <c:v>44687</c:v>
                </c:pt>
                <c:pt idx="607">
                  <c:v>44690</c:v>
                </c:pt>
                <c:pt idx="608">
                  <c:v>44691</c:v>
                </c:pt>
                <c:pt idx="609">
                  <c:v>44692</c:v>
                </c:pt>
                <c:pt idx="610">
                  <c:v>44693</c:v>
                </c:pt>
                <c:pt idx="611">
                  <c:v>44694</c:v>
                </c:pt>
                <c:pt idx="612">
                  <c:v>44697</c:v>
                </c:pt>
                <c:pt idx="613">
                  <c:v>44698</c:v>
                </c:pt>
                <c:pt idx="614">
                  <c:v>44699</c:v>
                </c:pt>
                <c:pt idx="615">
                  <c:v>44700</c:v>
                </c:pt>
                <c:pt idx="616">
                  <c:v>44701</c:v>
                </c:pt>
                <c:pt idx="617">
                  <c:v>44704</c:v>
                </c:pt>
                <c:pt idx="618">
                  <c:v>44705</c:v>
                </c:pt>
                <c:pt idx="619">
                  <c:v>44706</c:v>
                </c:pt>
                <c:pt idx="620">
                  <c:v>44707</c:v>
                </c:pt>
                <c:pt idx="621">
                  <c:v>44708</c:v>
                </c:pt>
                <c:pt idx="622">
                  <c:v>44711</c:v>
                </c:pt>
                <c:pt idx="623">
                  <c:v>44712</c:v>
                </c:pt>
                <c:pt idx="624">
                  <c:v>44713</c:v>
                </c:pt>
                <c:pt idx="625">
                  <c:v>44714</c:v>
                </c:pt>
                <c:pt idx="626">
                  <c:v>44715</c:v>
                </c:pt>
                <c:pt idx="627">
                  <c:v>44718</c:v>
                </c:pt>
                <c:pt idx="628">
                  <c:v>44719</c:v>
                </c:pt>
                <c:pt idx="629">
                  <c:v>44720</c:v>
                </c:pt>
                <c:pt idx="630">
                  <c:v>44721</c:v>
                </c:pt>
                <c:pt idx="631">
                  <c:v>44722</c:v>
                </c:pt>
                <c:pt idx="632">
                  <c:v>44725</c:v>
                </c:pt>
                <c:pt idx="633">
                  <c:v>44726</c:v>
                </c:pt>
                <c:pt idx="634">
                  <c:v>44727</c:v>
                </c:pt>
                <c:pt idx="635">
                  <c:v>44728</c:v>
                </c:pt>
                <c:pt idx="636">
                  <c:v>44729</c:v>
                </c:pt>
                <c:pt idx="637">
                  <c:v>44732</c:v>
                </c:pt>
                <c:pt idx="638">
                  <c:v>44733</c:v>
                </c:pt>
                <c:pt idx="639">
                  <c:v>44734</c:v>
                </c:pt>
                <c:pt idx="640">
                  <c:v>44735</c:v>
                </c:pt>
                <c:pt idx="641">
                  <c:v>44736</c:v>
                </c:pt>
                <c:pt idx="642">
                  <c:v>44739</c:v>
                </c:pt>
                <c:pt idx="643">
                  <c:v>44740</c:v>
                </c:pt>
                <c:pt idx="644">
                  <c:v>44741</c:v>
                </c:pt>
                <c:pt idx="645">
                  <c:v>44742</c:v>
                </c:pt>
                <c:pt idx="646">
                  <c:v>44743</c:v>
                </c:pt>
                <c:pt idx="647">
                  <c:v>44746</c:v>
                </c:pt>
                <c:pt idx="648">
                  <c:v>44747</c:v>
                </c:pt>
                <c:pt idx="649">
                  <c:v>44748</c:v>
                </c:pt>
                <c:pt idx="650">
                  <c:v>44749</c:v>
                </c:pt>
                <c:pt idx="651">
                  <c:v>44750</c:v>
                </c:pt>
                <c:pt idx="652">
                  <c:v>44753</c:v>
                </c:pt>
                <c:pt idx="653">
                  <c:v>44754</c:v>
                </c:pt>
                <c:pt idx="654">
                  <c:v>44755</c:v>
                </c:pt>
                <c:pt idx="655">
                  <c:v>44756</c:v>
                </c:pt>
                <c:pt idx="656">
                  <c:v>44757</c:v>
                </c:pt>
                <c:pt idx="657">
                  <c:v>44760</c:v>
                </c:pt>
                <c:pt idx="658">
                  <c:v>44761</c:v>
                </c:pt>
                <c:pt idx="659">
                  <c:v>44762</c:v>
                </c:pt>
                <c:pt idx="660">
                  <c:v>44763</c:v>
                </c:pt>
                <c:pt idx="661">
                  <c:v>44764</c:v>
                </c:pt>
                <c:pt idx="662">
                  <c:v>44767</c:v>
                </c:pt>
                <c:pt idx="663">
                  <c:v>44768</c:v>
                </c:pt>
                <c:pt idx="664">
                  <c:v>44769</c:v>
                </c:pt>
                <c:pt idx="665">
                  <c:v>44770</c:v>
                </c:pt>
                <c:pt idx="666">
                  <c:v>44771</c:v>
                </c:pt>
                <c:pt idx="667">
                  <c:v>44774</c:v>
                </c:pt>
                <c:pt idx="668">
                  <c:v>44775</c:v>
                </c:pt>
                <c:pt idx="669">
                  <c:v>44776</c:v>
                </c:pt>
                <c:pt idx="670">
                  <c:v>44777</c:v>
                </c:pt>
                <c:pt idx="671">
                  <c:v>44778</c:v>
                </c:pt>
                <c:pt idx="672">
                  <c:v>44781</c:v>
                </c:pt>
                <c:pt idx="673">
                  <c:v>44782</c:v>
                </c:pt>
                <c:pt idx="674">
                  <c:v>44783</c:v>
                </c:pt>
                <c:pt idx="675">
                  <c:v>44784</c:v>
                </c:pt>
                <c:pt idx="676">
                  <c:v>44785</c:v>
                </c:pt>
                <c:pt idx="677">
                  <c:v>44788</c:v>
                </c:pt>
                <c:pt idx="678">
                  <c:v>44789</c:v>
                </c:pt>
                <c:pt idx="679">
                  <c:v>44790</c:v>
                </c:pt>
                <c:pt idx="680">
                  <c:v>44791</c:v>
                </c:pt>
                <c:pt idx="681">
                  <c:v>44792</c:v>
                </c:pt>
                <c:pt idx="682">
                  <c:v>44795</c:v>
                </c:pt>
                <c:pt idx="683">
                  <c:v>44796</c:v>
                </c:pt>
                <c:pt idx="684">
                  <c:v>44797</c:v>
                </c:pt>
                <c:pt idx="685">
                  <c:v>44798</c:v>
                </c:pt>
                <c:pt idx="686">
                  <c:v>44799</c:v>
                </c:pt>
                <c:pt idx="687">
                  <c:v>44802</c:v>
                </c:pt>
                <c:pt idx="688">
                  <c:v>44803</c:v>
                </c:pt>
                <c:pt idx="689">
                  <c:v>44804</c:v>
                </c:pt>
                <c:pt idx="690">
                  <c:v>44805</c:v>
                </c:pt>
                <c:pt idx="691">
                  <c:v>44806</c:v>
                </c:pt>
                <c:pt idx="692">
                  <c:v>44809</c:v>
                </c:pt>
                <c:pt idx="693">
                  <c:v>44810</c:v>
                </c:pt>
                <c:pt idx="694">
                  <c:v>44811</c:v>
                </c:pt>
                <c:pt idx="695">
                  <c:v>44812</c:v>
                </c:pt>
                <c:pt idx="696">
                  <c:v>44813</c:v>
                </c:pt>
                <c:pt idx="697">
                  <c:v>44816</c:v>
                </c:pt>
                <c:pt idx="698">
                  <c:v>44817</c:v>
                </c:pt>
                <c:pt idx="699">
                  <c:v>44818</c:v>
                </c:pt>
                <c:pt idx="700">
                  <c:v>44819</c:v>
                </c:pt>
                <c:pt idx="701">
                  <c:v>44820</c:v>
                </c:pt>
                <c:pt idx="702">
                  <c:v>44823</c:v>
                </c:pt>
                <c:pt idx="703">
                  <c:v>44824</c:v>
                </c:pt>
                <c:pt idx="704">
                  <c:v>44825</c:v>
                </c:pt>
                <c:pt idx="705">
                  <c:v>44826</c:v>
                </c:pt>
                <c:pt idx="706">
                  <c:v>44827</c:v>
                </c:pt>
                <c:pt idx="707">
                  <c:v>44830</c:v>
                </c:pt>
                <c:pt idx="708">
                  <c:v>44831</c:v>
                </c:pt>
                <c:pt idx="709">
                  <c:v>44832</c:v>
                </c:pt>
                <c:pt idx="710">
                  <c:v>44833</c:v>
                </c:pt>
                <c:pt idx="711">
                  <c:v>44834</c:v>
                </c:pt>
                <c:pt idx="712">
                  <c:v>44837</c:v>
                </c:pt>
                <c:pt idx="713">
                  <c:v>44838</c:v>
                </c:pt>
                <c:pt idx="714">
                  <c:v>44839</c:v>
                </c:pt>
                <c:pt idx="715">
                  <c:v>44840</c:v>
                </c:pt>
                <c:pt idx="716">
                  <c:v>44841</c:v>
                </c:pt>
                <c:pt idx="717">
                  <c:v>44844</c:v>
                </c:pt>
                <c:pt idx="718">
                  <c:v>44845</c:v>
                </c:pt>
                <c:pt idx="719">
                  <c:v>44846</c:v>
                </c:pt>
                <c:pt idx="720">
                  <c:v>44847</c:v>
                </c:pt>
                <c:pt idx="721">
                  <c:v>44848</c:v>
                </c:pt>
                <c:pt idx="722">
                  <c:v>44851</c:v>
                </c:pt>
                <c:pt idx="723">
                  <c:v>44852</c:v>
                </c:pt>
                <c:pt idx="724">
                  <c:v>44853</c:v>
                </c:pt>
                <c:pt idx="725">
                  <c:v>44854</c:v>
                </c:pt>
                <c:pt idx="726">
                  <c:v>44855</c:v>
                </c:pt>
                <c:pt idx="727">
                  <c:v>44858</c:v>
                </c:pt>
                <c:pt idx="728">
                  <c:v>44859</c:v>
                </c:pt>
                <c:pt idx="729">
                  <c:v>44860</c:v>
                </c:pt>
                <c:pt idx="730">
                  <c:v>44861</c:v>
                </c:pt>
                <c:pt idx="731">
                  <c:v>44862</c:v>
                </c:pt>
                <c:pt idx="732">
                  <c:v>44865</c:v>
                </c:pt>
                <c:pt idx="733">
                  <c:v>44866</c:v>
                </c:pt>
                <c:pt idx="734">
                  <c:v>44867</c:v>
                </c:pt>
                <c:pt idx="735">
                  <c:v>44868</c:v>
                </c:pt>
                <c:pt idx="736">
                  <c:v>44869</c:v>
                </c:pt>
                <c:pt idx="737">
                  <c:v>44872</c:v>
                </c:pt>
                <c:pt idx="738">
                  <c:v>44873</c:v>
                </c:pt>
                <c:pt idx="739">
                  <c:v>44874</c:v>
                </c:pt>
                <c:pt idx="740">
                  <c:v>44875</c:v>
                </c:pt>
                <c:pt idx="741">
                  <c:v>44876</c:v>
                </c:pt>
                <c:pt idx="742">
                  <c:v>44879</c:v>
                </c:pt>
                <c:pt idx="743">
                  <c:v>44880</c:v>
                </c:pt>
                <c:pt idx="744">
                  <c:v>44881</c:v>
                </c:pt>
                <c:pt idx="745">
                  <c:v>44882</c:v>
                </c:pt>
                <c:pt idx="746">
                  <c:v>44883</c:v>
                </c:pt>
                <c:pt idx="747">
                  <c:v>44886</c:v>
                </c:pt>
                <c:pt idx="748">
                  <c:v>44887</c:v>
                </c:pt>
                <c:pt idx="749">
                  <c:v>44888</c:v>
                </c:pt>
                <c:pt idx="750">
                  <c:v>44889</c:v>
                </c:pt>
                <c:pt idx="751">
                  <c:v>44890</c:v>
                </c:pt>
                <c:pt idx="752">
                  <c:v>44893</c:v>
                </c:pt>
                <c:pt idx="753">
                  <c:v>44894</c:v>
                </c:pt>
                <c:pt idx="754">
                  <c:v>44895</c:v>
                </c:pt>
                <c:pt idx="755">
                  <c:v>44896</c:v>
                </c:pt>
                <c:pt idx="756">
                  <c:v>44897</c:v>
                </c:pt>
                <c:pt idx="757">
                  <c:v>44900</c:v>
                </c:pt>
                <c:pt idx="758">
                  <c:v>44901</c:v>
                </c:pt>
                <c:pt idx="759">
                  <c:v>44902</c:v>
                </c:pt>
                <c:pt idx="760">
                  <c:v>44903</c:v>
                </c:pt>
                <c:pt idx="761">
                  <c:v>44904</c:v>
                </c:pt>
                <c:pt idx="762">
                  <c:v>44907</c:v>
                </c:pt>
                <c:pt idx="763">
                  <c:v>44908</c:v>
                </c:pt>
                <c:pt idx="764">
                  <c:v>44909</c:v>
                </c:pt>
                <c:pt idx="765">
                  <c:v>44910</c:v>
                </c:pt>
                <c:pt idx="766">
                  <c:v>44911</c:v>
                </c:pt>
                <c:pt idx="767">
                  <c:v>44914</c:v>
                </c:pt>
                <c:pt idx="768">
                  <c:v>44915</c:v>
                </c:pt>
                <c:pt idx="769">
                  <c:v>44916</c:v>
                </c:pt>
                <c:pt idx="770">
                  <c:v>44917</c:v>
                </c:pt>
                <c:pt idx="771">
                  <c:v>44918</c:v>
                </c:pt>
                <c:pt idx="772">
                  <c:v>44922</c:v>
                </c:pt>
                <c:pt idx="773">
                  <c:v>44923</c:v>
                </c:pt>
                <c:pt idx="774">
                  <c:v>44924</c:v>
                </c:pt>
                <c:pt idx="775">
                  <c:v>44925</c:v>
                </c:pt>
                <c:pt idx="776">
                  <c:v>44929</c:v>
                </c:pt>
                <c:pt idx="777">
                  <c:v>44930</c:v>
                </c:pt>
                <c:pt idx="778">
                  <c:v>44931</c:v>
                </c:pt>
                <c:pt idx="779">
                  <c:v>44932</c:v>
                </c:pt>
                <c:pt idx="780">
                  <c:v>44935</c:v>
                </c:pt>
                <c:pt idx="781">
                  <c:v>44936</c:v>
                </c:pt>
                <c:pt idx="782">
                  <c:v>44937</c:v>
                </c:pt>
                <c:pt idx="783">
                  <c:v>44938</c:v>
                </c:pt>
                <c:pt idx="784">
                  <c:v>44939</c:v>
                </c:pt>
                <c:pt idx="785">
                  <c:v>44942</c:v>
                </c:pt>
                <c:pt idx="786">
                  <c:v>44943</c:v>
                </c:pt>
                <c:pt idx="787">
                  <c:v>44944</c:v>
                </c:pt>
                <c:pt idx="788">
                  <c:v>44945</c:v>
                </c:pt>
                <c:pt idx="789">
                  <c:v>44946</c:v>
                </c:pt>
                <c:pt idx="790">
                  <c:v>44949</c:v>
                </c:pt>
                <c:pt idx="791">
                  <c:v>44950</c:v>
                </c:pt>
                <c:pt idx="792">
                  <c:v>44951</c:v>
                </c:pt>
                <c:pt idx="793">
                  <c:v>44952</c:v>
                </c:pt>
                <c:pt idx="794">
                  <c:v>44953</c:v>
                </c:pt>
                <c:pt idx="795">
                  <c:v>44956</c:v>
                </c:pt>
                <c:pt idx="796">
                  <c:v>44957</c:v>
                </c:pt>
                <c:pt idx="797">
                  <c:v>44958</c:v>
                </c:pt>
                <c:pt idx="798">
                  <c:v>44959</c:v>
                </c:pt>
                <c:pt idx="799">
                  <c:v>44960</c:v>
                </c:pt>
                <c:pt idx="800">
                  <c:v>44963</c:v>
                </c:pt>
                <c:pt idx="801">
                  <c:v>44964</c:v>
                </c:pt>
                <c:pt idx="802">
                  <c:v>44965</c:v>
                </c:pt>
                <c:pt idx="803">
                  <c:v>44966</c:v>
                </c:pt>
                <c:pt idx="804">
                  <c:v>44967</c:v>
                </c:pt>
                <c:pt idx="805">
                  <c:v>44970</c:v>
                </c:pt>
                <c:pt idx="806">
                  <c:v>44971</c:v>
                </c:pt>
                <c:pt idx="807">
                  <c:v>44972</c:v>
                </c:pt>
                <c:pt idx="808">
                  <c:v>44973</c:v>
                </c:pt>
                <c:pt idx="809">
                  <c:v>44974</c:v>
                </c:pt>
                <c:pt idx="810">
                  <c:v>44977</c:v>
                </c:pt>
                <c:pt idx="811">
                  <c:v>44978</c:v>
                </c:pt>
                <c:pt idx="812">
                  <c:v>44979</c:v>
                </c:pt>
                <c:pt idx="813">
                  <c:v>44980</c:v>
                </c:pt>
                <c:pt idx="814">
                  <c:v>44981</c:v>
                </c:pt>
                <c:pt idx="815">
                  <c:v>44984</c:v>
                </c:pt>
                <c:pt idx="816">
                  <c:v>44985</c:v>
                </c:pt>
                <c:pt idx="817">
                  <c:v>44986</c:v>
                </c:pt>
                <c:pt idx="818">
                  <c:v>44987</c:v>
                </c:pt>
                <c:pt idx="819">
                  <c:v>44988</c:v>
                </c:pt>
                <c:pt idx="820">
                  <c:v>44991</c:v>
                </c:pt>
                <c:pt idx="821">
                  <c:v>44992</c:v>
                </c:pt>
                <c:pt idx="822">
                  <c:v>44993</c:v>
                </c:pt>
                <c:pt idx="823">
                  <c:v>44994</c:v>
                </c:pt>
                <c:pt idx="824">
                  <c:v>44995</c:v>
                </c:pt>
                <c:pt idx="825">
                  <c:v>44998</c:v>
                </c:pt>
                <c:pt idx="826">
                  <c:v>44999</c:v>
                </c:pt>
                <c:pt idx="827">
                  <c:v>45000</c:v>
                </c:pt>
                <c:pt idx="828">
                  <c:v>45001</c:v>
                </c:pt>
                <c:pt idx="829">
                  <c:v>45002</c:v>
                </c:pt>
                <c:pt idx="830">
                  <c:v>45005</c:v>
                </c:pt>
                <c:pt idx="831">
                  <c:v>45006</c:v>
                </c:pt>
                <c:pt idx="832">
                  <c:v>45007</c:v>
                </c:pt>
                <c:pt idx="833">
                  <c:v>45008</c:v>
                </c:pt>
                <c:pt idx="834">
                  <c:v>45009</c:v>
                </c:pt>
                <c:pt idx="835">
                  <c:v>45012</c:v>
                </c:pt>
                <c:pt idx="836">
                  <c:v>45013</c:v>
                </c:pt>
                <c:pt idx="837">
                  <c:v>45014</c:v>
                </c:pt>
                <c:pt idx="838">
                  <c:v>45015</c:v>
                </c:pt>
                <c:pt idx="839">
                  <c:v>45016</c:v>
                </c:pt>
                <c:pt idx="840">
                  <c:v>45019</c:v>
                </c:pt>
                <c:pt idx="841">
                  <c:v>45020</c:v>
                </c:pt>
                <c:pt idx="842">
                  <c:v>45021</c:v>
                </c:pt>
                <c:pt idx="843">
                  <c:v>45022</c:v>
                </c:pt>
                <c:pt idx="844">
                  <c:v>45023</c:v>
                </c:pt>
                <c:pt idx="845">
                  <c:v>45026</c:v>
                </c:pt>
                <c:pt idx="846">
                  <c:v>45027</c:v>
                </c:pt>
                <c:pt idx="847">
                  <c:v>45028</c:v>
                </c:pt>
                <c:pt idx="848">
                  <c:v>45029</c:v>
                </c:pt>
                <c:pt idx="849">
                  <c:v>45030</c:v>
                </c:pt>
                <c:pt idx="850">
                  <c:v>45033</c:v>
                </c:pt>
                <c:pt idx="851">
                  <c:v>45034</c:v>
                </c:pt>
                <c:pt idx="852">
                  <c:v>45035</c:v>
                </c:pt>
                <c:pt idx="853">
                  <c:v>45036</c:v>
                </c:pt>
                <c:pt idx="854">
                  <c:v>45037</c:v>
                </c:pt>
                <c:pt idx="855">
                  <c:v>45040</c:v>
                </c:pt>
                <c:pt idx="856">
                  <c:v>45041</c:v>
                </c:pt>
                <c:pt idx="857">
                  <c:v>45042</c:v>
                </c:pt>
                <c:pt idx="858">
                  <c:v>45043</c:v>
                </c:pt>
                <c:pt idx="859">
                  <c:v>45044</c:v>
                </c:pt>
                <c:pt idx="860">
                  <c:v>45047</c:v>
                </c:pt>
                <c:pt idx="861">
                  <c:v>45048</c:v>
                </c:pt>
                <c:pt idx="862">
                  <c:v>45049</c:v>
                </c:pt>
                <c:pt idx="863">
                  <c:v>45050</c:v>
                </c:pt>
                <c:pt idx="864">
                  <c:v>45051</c:v>
                </c:pt>
                <c:pt idx="865">
                  <c:v>45054</c:v>
                </c:pt>
                <c:pt idx="866">
                  <c:v>45055</c:v>
                </c:pt>
                <c:pt idx="867">
                  <c:v>45056</c:v>
                </c:pt>
                <c:pt idx="868">
                  <c:v>45057</c:v>
                </c:pt>
                <c:pt idx="869">
                  <c:v>45058</c:v>
                </c:pt>
                <c:pt idx="870">
                  <c:v>45061</c:v>
                </c:pt>
                <c:pt idx="871">
                  <c:v>45062</c:v>
                </c:pt>
                <c:pt idx="872">
                  <c:v>45063</c:v>
                </c:pt>
                <c:pt idx="873">
                  <c:v>45064</c:v>
                </c:pt>
                <c:pt idx="874">
                  <c:v>45065</c:v>
                </c:pt>
                <c:pt idx="875">
                  <c:v>45068</c:v>
                </c:pt>
                <c:pt idx="876">
                  <c:v>45069</c:v>
                </c:pt>
                <c:pt idx="877">
                  <c:v>45070</c:v>
                </c:pt>
                <c:pt idx="878">
                  <c:v>45071</c:v>
                </c:pt>
                <c:pt idx="879">
                  <c:v>45072</c:v>
                </c:pt>
                <c:pt idx="880">
                  <c:v>45075</c:v>
                </c:pt>
                <c:pt idx="881">
                  <c:v>45076</c:v>
                </c:pt>
                <c:pt idx="882">
                  <c:v>45077</c:v>
                </c:pt>
                <c:pt idx="883">
                  <c:v>45078</c:v>
                </c:pt>
                <c:pt idx="884">
                  <c:v>45079</c:v>
                </c:pt>
                <c:pt idx="885">
                  <c:v>45082</c:v>
                </c:pt>
                <c:pt idx="886">
                  <c:v>45083</c:v>
                </c:pt>
                <c:pt idx="887">
                  <c:v>45084</c:v>
                </c:pt>
                <c:pt idx="888">
                  <c:v>45085</c:v>
                </c:pt>
              </c:numCache>
            </c:numRef>
          </c:cat>
          <c:val>
            <c:numRef>
              <c:f>Sheet1!$D$2:$D$957</c:f>
              <c:numCache>
                <c:formatCode>0.0</c:formatCode>
                <c:ptCount val="956"/>
                <c:pt idx="0">
                  <c:v>100</c:v>
                </c:pt>
                <c:pt idx="1">
                  <c:v>100.61367588125769</c:v>
                </c:pt>
                <c:pt idx="2">
                  <c:v>100.15183900204345</c:v>
                </c:pt>
                <c:pt idx="3">
                  <c:v>100.49700130124569</c:v>
                </c:pt>
                <c:pt idx="4">
                  <c:v>99.312592266095848</c:v>
                </c:pt>
                <c:pt idx="5">
                  <c:v>99.344353679543573</c:v>
                </c:pt>
                <c:pt idx="6">
                  <c:v>98.889808961580059</c:v>
                </c:pt>
                <c:pt idx="7">
                  <c:v>99.193486965666921</c:v>
                </c:pt>
                <c:pt idx="8">
                  <c:v>99.483228839363434</c:v>
                </c:pt>
                <c:pt idx="9">
                  <c:v>99.465079460250465</c:v>
                </c:pt>
                <c:pt idx="10">
                  <c:v>99.951223543633901</c:v>
                </c:pt>
                <c:pt idx="11">
                  <c:v>99.786582747394718</c:v>
                </c:pt>
                <c:pt idx="12">
                  <c:v>99.813968864091976</c:v>
                </c:pt>
                <c:pt idx="13">
                  <c:v>100.30805330083733</c:v>
                </c:pt>
                <c:pt idx="14">
                  <c:v>100.36444601450981</c:v>
                </c:pt>
                <c:pt idx="15">
                  <c:v>100.35115807623066</c:v>
                </c:pt>
                <c:pt idx="16">
                  <c:v>100.5995777028396</c:v>
                </c:pt>
                <c:pt idx="17">
                  <c:v>101.98476424442678</c:v>
                </c:pt>
                <c:pt idx="18">
                  <c:v>100.88024488697963</c:v>
                </c:pt>
                <c:pt idx="19">
                  <c:v>101.36946788289114</c:v>
                </c:pt>
                <c:pt idx="20">
                  <c:v>102.48597879439509</c:v>
                </c:pt>
                <c:pt idx="21">
                  <c:v>103.66811915715581</c:v>
                </c:pt>
                <c:pt idx="22">
                  <c:v>103.20693047005274</c:v>
                </c:pt>
                <c:pt idx="23">
                  <c:v>101.96499438503585</c:v>
                </c:pt>
                <c:pt idx="24">
                  <c:v>101.87797459411021</c:v>
                </c:pt>
                <c:pt idx="25">
                  <c:v>102.58450399529414</c:v>
                </c:pt>
                <c:pt idx="26">
                  <c:v>103.97811703432667</c:v>
                </c:pt>
                <c:pt idx="27">
                  <c:v>103.86209064642583</c:v>
                </c:pt>
                <c:pt idx="28">
                  <c:v>102.64932320641195</c:v>
                </c:pt>
                <c:pt idx="29">
                  <c:v>102.6036256625739</c:v>
                </c:pt>
                <c:pt idx="30">
                  <c:v>103.10030286776397</c:v>
                </c:pt>
                <c:pt idx="31">
                  <c:v>102.95008434599849</c:v>
                </c:pt>
                <c:pt idx="32">
                  <c:v>102.89239524810365</c:v>
                </c:pt>
                <c:pt idx="33">
                  <c:v>103.48678741405381</c:v>
                </c:pt>
                <c:pt idx="34">
                  <c:v>103.03564570467398</c:v>
                </c:pt>
                <c:pt idx="35">
                  <c:v>103.98816401204994</c:v>
                </c:pt>
                <c:pt idx="36">
                  <c:v>103.88137436173338</c:v>
                </c:pt>
                <c:pt idx="37">
                  <c:v>105.81736214979399</c:v>
                </c:pt>
                <c:pt idx="38">
                  <c:v>105.83810429735169</c:v>
                </c:pt>
                <c:pt idx="39">
                  <c:v>106.09365403718358</c:v>
                </c:pt>
                <c:pt idx="40">
                  <c:v>107.47576166624269</c:v>
                </c:pt>
                <c:pt idx="41">
                  <c:v>108.13902424400547</c:v>
                </c:pt>
                <c:pt idx="42">
                  <c:v>107.58206517247585</c:v>
                </c:pt>
                <c:pt idx="43">
                  <c:v>107.28567932963976</c:v>
                </c:pt>
                <c:pt idx="44">
                  <c:v>107.39327922009528</c:v>
                </c:pt>
                <c:pt idx="45">
                  <c:v>109.49034274778361</c:v>
                </c:pt>
                <c:pt idx="46">
                  <c:v>111.10012785589397</c:v>
                </c:pt>
                <c:pt idx="47">
                  <c:v>121.05635868358668</c:v>
                </c:pt>
                <c:pt idx="48">
                  <c:v>115.48271676759563</c:v>
                </c:pt>
                <c:pt idx="49">
                  <c:v>118.78833448657518</c:v>
                </c:pt>
                <c:pt idx="50">
                  <c:v>108.01716412710404</c:v>
                </c:pt>
                <c:pt idx="51">
                  <c:v>117.36328413015055</c:v>
                </c:pt>
                <c:pt idx="52">
                  <c:v>120.91294617898859</c:v>
                </c:pt>
                <c:pt idx="53">
                  <c:v>121.76369832490961</c:v>
                </c:pt>
                <c:pt idx="54">
                  <c:v>131.1163002490679</c:v>
                </c:pt>
                <c:pt idx="55">
                  <c:v>128.42711322781852</c:v>
                </c:pt>
                <c:pt idx="56">
                  <c:v>129.65884028708436</c:v>
                </c:pt>
                <c:pt idx="57">
                  <c:v>128.77470624743768</c:v>
                </c:pt>
                <c:pt idx="58">
                  <c:v>126.76531070278617</c:v>
                </c:pt>
                <c:pt idx="59">
                  <c:v>126.93140993127548</c:v>
                </c:pt>
                <c:pt idx="60">
                  <c:v>125.35176575633491</c:v>
                </c:pt>
                <c:pt idx="61">
                  <c:v>127.85589392984301</c:v>
                </c:pt>
                <c:pt idx="62">
                  <c:v>129.029121651075</c:v>
                </c:pt>
                <c:pt idx="63">
                  <c:v>127.24610720125237</c:v>
                </c:pt>
                <c:pt idx="64">
                  <c:v>127.79512591942004</c:v>
                </c:pt>
                <c:pt idx="65">
                  <c:v>125.00563116896591</c:v>
                </c:pt>
                <c:pt idx="66">
                  <c:v>124.07207248084191</c:v>
                </c:pt>
                <c:pt idx="67">
                  <c:v>123.15488064352516</c:v>
                </c:pt>
                <c:pt idx="68">
                  <c:v>122.08374317980366</c:v>
                </c:pt>
                <c:pt idx="69">
                  <c:v>121.66403878781597</c:v>
                </c:pt>
                <c:pt idx="70">
                  <c:v>120.55935738234103</c:v>
                </c:pt>
                <c:pt idx="71">
                  <c:v>118.74863271976552</c:v>
                </c:pt>
                <c:pt idx="72">
                  <c:v>118.38094574469984</c:v>
                </c:pt>
                <c:pt idx="73">
                  <c:v>121.45337635168313</c:v>
                </c:pt>
                <c:pt idx="74">
                  <c:v>119.43425792536394</c:v>
                </c:pt>
                <c:pt idx="75">
                  <c:v>119.90128034146764</c:v>
                </c:pt>
                <c:pt idx="76">
                  <c:v>122.32713931755099</c:v>
                </c:pt>
                <c:pt idx="77">
                  <c:v>124.8264060502252</c:v>
                </c:pt>
                <c:pt idx="78">
                  <c:v>122.9774380530902</c:v>
                </c:pt>
                <c:pt idx="79">
                  <c:v>121.10140803531354</c:v>
                </c:pt>
                <c:pt idx="80">
                  <c:v>120.79870231939346</c:v>
                </c:pt>
                <c:pt idx="81">
                  <c:v>120.6387609159603</c:v>
                </c:pt>
                <c:pt idx="82">
                  <c:v>119.98554531592076</c:v>
                </c:pt>
                <c:pt idx="83">
                  <c:v>118.46034927831913</c:v>
                </c:pt>
                <c:pt idx="84">
                  <c:v>120.5410459552002</c:v>
                </c:pt>
                <c:pt idx="85">
                  <c:v>122.12150037027975</c:v>
                </c:pt>
                <c:pt idx="86">
                  <c:v>120.92234496460061</c:v>
                </c:pt>
                <c:pt idx="87">
                  <c:v>119.54153371976385</c:v>
                </c:pt>
                <c:pt idx="88">
                  <c:v>120.89106969523628</c:v>
                </c:pt>
                <c:pt idx="89">
                  <c:v>119.85477255749061</c:v>
                </c:pt>
                <c:pt idx="90">
                  <c:v>119.01455353337623</c:v>
                </c:pt>
                <c:pt idx="91">
                  <c:v>119.46018560981103</c:v>
                </c:pt>
                <c:pt idx="92">
                  <c:v>119.30137854257245</c:v>
                </c:pt>
                <c:pt idx="93">
                  <c:v>120.03108081173099</c:v>
                </c:pt>
                <c:pt idx="94">
                  <c:v>118.97339333431644</c:v>
                </c:pt>
                <c:pt idx="95">
                  <c:v>119.04210169810131</c:v>
                </c:pt>
                <c:pt idx="96">
                  <c:v>117.79287345183367</c:v>
                </c:pt>
                <c:pt idx="97">
                  <c:v>117.50588639460966</c:v>
                </c:pt>
                <c:pt idx="98">
                  <c:v>115.39618312075335</c:v>
                </c:pt>
                <c:pt idx="99">
                  <c:v>115.06252623152453</c:v>
                </c:pt>
                <c:pt idx="100">
                  <c:v>115.98587589389747</c:v>
                </c:pt>
                <c:pt idx="101">
                  <c:v>116.12458900568954</c:v>
                </c:pt>
                <c:pt idx="102">
                  <c:v>114.74312956874161</c:v>
                </c:pt>
                <c:pt idx="103">
                  <c:v>114.84878488286361</c:v>
                </c:pt>
                <c:pt idx="104">
                  <c:v>114.28453365008323</c:v>
                </c:pt>
                <c:pt idx="105">
                  <c:v>113.74556190963879</c:v>
                </c:pt>
                <c:pt idx="106">
                  <c:v>111.9790763586512</c:v>
                </c:pt>
                <c:pt idx="107">
                  <c:v>111.32910171916754</c:v>
                </c:pt>
                <c:pt idx="108">
                  <c:v>110.9040497422626</c:v>
                </c:pt>
                <c:pt idx="109">
                  <c:v>111.96238541178835</c:v>
                </c:pt>
                <c:pt idx="110">
                  <c:v>111.33752821661285</c:v>
                </c:pt>
                <c:pt idx="111">
                  <c:v>110.40315928834988</c:v>
                </c:pt>
                <c:pt idx="112">
                  <c:v>111.15101093662138</c:v>
                </c:pt>
                <c:pt idx="113">
                  <c:v>110.95558101510125</c:v>
                </c:pt>
                <c:pt idx="114">
                  <c:v>113.60522831756876</c:v>
                </c:pt>
                <c:pt idx="115">
                  <c:v>113.22295702000159</c:v>
                </c:pt>
                <c:pt idx="116">
                  <c:v>112.80001166745798</c:v>
                </c:pt>
                <c:pt idx="117">
                  <c:v>112.55013360859893</c:v>
                </c:pt>
                <c:pt idx="118">
                  <c:v>112.89950915652382</c:v>
                </c:pt>
                <c:pt idx="119">
                  <c:v>113.14015047779863</c:v>
                </c:pt>
                <c:pt idx="120">
                  <c:v>112.50103305617721</c:v>
                </c:pt>
                <c:pt idx="121">
                  <c:v>111.77748861207486</c:v>
                </c:pt>
                <c:pt idx="122">
                  <c:v>111.4303817365391</c:v>
                </c:pt>
                <c:pt idx="123">
                  <c:v>112.58691851090829</c:v>
                </c:pt>
                <c:pt idx="124">
                  <c:v>111.89594572039265</c:v>
                </c:pt>
                <c:pt idx="125">
                  <c:v>113.07630355484761</c:v>
                </c:pt>
                <c:pt idx="126">
                  <c:v>113.70926315141286</c:v>
                </c:pt>
                <c:pt idx="127">
                  <c:v>115.37025543630624</c:v>
                </c:pt>
                <c:pt idx="128">
                  <c:v>114.53133279641423</c:v>
                </c:pt>
                <c:pt idx="129">
                  <c:v>114.2300855127443</c:v>
                </c:pt>
                <c:pt idx="130">
                  <c:v>115.66096959816953</c:v>
                </c:pt>
                <c:pt idx="131">
                  <c:v>116.41757183994194</c:v>
                </c:pt>
                <c:pt idx="132">
                  <c:v>115.77505140973686</c:v>
                </c:pt>
                <c:pt idx="133">
                  <c:v>115.50232457895876</c:v>
                </c:pt>
                <c:pt idx="134">
                  <c:v>114.69937660123712</c:v>
                </c:pt>
                <c:pt idx="135">
                  <c:v>114.81345841280445</c:v>
                </c:pt>
                <c:pt idx="136">
                  <c:v>114.94001792251193</c:v>
                </c:pt>
                <c:pt idx="137">
                  <c:v>115.04421480438378</c:v>
                </c:pt>
                <c:pt idx="138">
                  <c:v>115.11972918533601</c:v>
                </c:pt>
                <c:pt idx="139">
                  <c:v>115.9737222918129</c:v>
                </c:pt>
                <c:pt idx="140">
                  <c:v>116.47120973714196</c:v>
                </c:pt>
                <c:pt idx="141">
                  <c:v>115.54072996154606</c:v>
                </c:pt>
                <c:pt idx="142">
                  <c:v>114.61397729058945</c:v>
                </c:pt>
                <c:pt idx="143">
                  <c:v>115.37608916530689</c:v>
                </c:pt>
                <c:pt idx="144">
                  <c:v>115.62937023274968</c:v>
                </c:pt>
                <c:pt idx="145">
                  <c:v>116.13982152030229</c:v>
                </c:pt>
                <c:pt idx="146">
                  <c:v>115.98603794192535</c:v>
                </c:pt>
                <c:pt idx="147">
                  <c:v>117.50102495377593</c:v>
                </c:pt>
                <c:pt idx="148">
                  <c:v>117.50232133799827</c:v>
                </c:pt>
                <c:pt idx="149">
                  <c:v>118.87276150905616</c:v>
                </c:pt>
                <c:pt idx="150">
                  <c:v>120.53618451436647</c:v>
                </c:pt>
                <c:pt idx="151">
                  <c:v>118.41124872589751</c:v>
                </c:pt>
                <c:pt idx="152">
                  <c:v>118.98198187978967</c:v>
                </c:pt>
                <c:pt idx="153">
                  <c:v>118.06252137008379</c:v>
                </c:pt>
                <c:pt idx="154">
                  <c:v>118.62985151539226</c:v>
                </c:pt>
                <c:pt idx="155">
                  <c:v>119.51042049842745</c:v>
                </c:pt>
                <c:pt idx="156">
                  <c:v>119.17255036047597</c:v>
                </c:pt>
                <c:pt idx="157">
                  <c:v>118.41238306209208</c:v>
                </c:pt>
                <c:pt idx="158">
                  <c:v>119.61251075593798</c:v>
                </c:pt>
                <c:pt idx="159">
                  <c:v>118.21662904451634</c:v>
                </c:pt>
                <c:pt idx="160">
                  <c:v>118.04145512647052</c:v>
                </c:pt>
                <c:pt idx="161">
                  <c:v>119.37300377085775</c:v>
                </c:pt>
                <c:pt idx="162">
                  <c:v>118.46521071915308</c:v>
                </c:pt>
                <c:pt idx="163">
                  <c:v>118.76759233901757</c:v>
                </c:pt>
                <c:pt idx="164">
                  <c:v>119.73923231367326</c:v>
                </c:pt>
                <c:pt idx="165">
                  <c:v>121.24595487610631</c:v>
                </c:pt>
                <c:pt idx="166">
                  <c:v>120.94438349638079</c:v>
                </c:pt>
                <c:pt idx="167">
                  <c:v>122.09330401344364</c:v>
                </c:pt>
                <c:pt idx="168">
                  <c:v>122.54444572282345</c:v>
                </c:pt>
                <c:pt idx="169">
                  <c:v>121.56162443424995</c:v>
                </c:pt>
                <c:pt idx="170">
                  <c:v>120.03869706903745</c:v>
                </c:pt>
                <c:pt idx="171">
                  <c:v>119.66890346961047</c:v>
                </c:pt>
                <c:pt idx="172">
                  <c:v>119.25859786323484</c:v>
                </c:pt>
                <c:pt idx="173">
                  <c:v>122.34253388019154</c:v>
                </c:pt>
                <c:pt idx="174">
                  <c:v>122.07158957771918</c:v>
                </c:pt>
                <c:pt idx="175">
                  <c:v>122.10642990369499</c:v>
                </c:pt>
                <c:pt idx="176">
                  <c:v>122.75624249515083</c:v>
                </c:pt>
                <c:pt idx="177">
                  <c:v>123.63032955707425</c:v>
                </c:pt>
                <c:pt idx="178">
                  <c:v>122.1176112176128</c:v>
                </c:pt>
                <c:pt idx="179">
                  <c:v>121.94924331673431</c:v>
                </c:pt>
                <c:pt idx="180">
                  <c:v>121.36587041667418</c:v>
                </c:pt>
                <c:pt idx="181">
                  <c:v>121.98570412298807</c:v>
                </c:pt>
                <c:pt idx="182">
                  <c:v>121.91894033553673</c:v>
                </c:pt>
                <c:pt idx="183">
                  <c:v>121.36587041667418</c:v>
                </c:pt>
                <c:pt idx="184">
                  <c:v>121.53958590246988</c:v>
                </c:pt>
                <c:pt idx="185">
                  <c:v>122.72918047450914</c:v>
                </c:pt>
                <c:pt idx="186">
                  <c:v>123.20398119594695</c:v>
                </c:pt>
                <c:pt idx="187">
                  <c:v>123.24384501078438</c:v>
                </c:pt>
                <c:pt idx="188">
                  <c:v>124.51057444405383</c:v>
                </c:pt>
                <c:pt idx="189">
                  <c:v>124.87647889081379</c:v>
                </c:pt>
                <c:pt idx="190">
                  <c:v>126.63567228055064</c:v>
                </c:pt>
                <c:pt idx="191">
                  <c:v>128.37201689836849</c:v>
                </c:pt>
                <c:pt idx="192">
                  <c:v>128.01745581355416</c:v>
                </c:pt>
                <c:pt idx="193">
                  <c:v>125.8473086253305</c:v>
                </c:pt>
                <c:pt idx="194">
                  <c:v>125.1811291830674</c:v>
                </c:pt>
                <c:pt idx="195">
                  <c:v>126.71264509375303</c:v>
                </c:pt>
                <c:pt idx="196">
                  <c:v>126.6312969838002</c:v>
                </c:pt>
                <c:pt idx="197">
                  <c:v>127.06347907392806</c:v>
                </c:pt>
                <c:pt idx="198">
                  <c:v>126.57247354971081</c:v>
                </c:pt>
                <c:pt idx="199">
                  <c:v>125.28824292943956</c:v>
                </c:pt>
                <c:pt idx="200">
                  <c:v>124.40670165823759</c:v>
                </c:pt>
                <c:pt idx="201">
                  <c:v>124.83386025950384</c:v>
                </c:pt>
                <c:pt idx="202">
                  <c:v>124.86902468153524</c:v>
                </c:pt>
                <c:pt idx="203">
                  <c:v>125.99298980231772</c:v>
                </c:pt>
                <c:pt idx="204">
                  <c:v>126.36262135371692</c:v>
                </c:pt>
                <c:pt idx="205">
                  <c:v>125.99720305104037</c:v>
                </c:pt>
                <c:pt idx="206">
                  <c:v>125.78686471096313</c:v>
                </c:pt>
                <c:pt idx="207">
                  <c:v>125.29083569788423</c:v>
                </c:pt>
                <c:pt idx="208">
                  <c:v>124.3140101863391</c:v>
                </c:pt>
                <c:pt idx="209">
                  <c:v>124.06964176042506</c:v>
                </c:pt>
                <c:pt idx="210">
                  <c:v>123.52110918634074</c:v>
                </c:pt>
                <c:pt idx="211">
                  <c:v>123.94162381846742</c:v>
                </c:pt>
                <c:pt idx="212">
                  <c:v>125.29796581110719</c:v>
                </c:pt>
                <c:pt idx="213">
                  <c:v>128.15892374181868</c:v>
                </c:pt>
                <c:pt idx="214">
                  <c:v>127.79366748716991</c:v>
                </c:pt>
                <c:pt idx="215">
                  <c:v>128.62076062103293</c:v>
                </c:pt>
                <c:pt idx="216">
                  <c:v>130.58121766129051</c:v>
                </c:pt>
                <c:pt idx="217">
                  <c:v>128.15535868520718</c:v>
                </c:pt>
                <c:pt idx="218">
                  <c:v>125.74716294415343</c:v>
                </c:pt>
                <c:pt idx="219">
                  <c:v>124.65074598809601</c:v>
                </c:pt>
                <c:pt idx="220">
                  <c:v>125.46730600015239</c:v>
                </c:pt>
                <c:pt idx="221">
                  <c:v>123.64037653479744</c:v>
                </c:pt>
                <c:pt idx="222">
                  <c:v>123.96285211010849</c:v>
                </c:pt>
                <c:pt idx="223">
                  <c:v>124.91067102467838</c:v>
                </c:pt>
                <c:pt idx="224">
                  <c:v>124.9544239921829</c:v>
                </c:pt>
                <c:pt idx="225">
                  <c:v>125.38628198625518</c:v>
                </c:pt>
                <c:pt idx="226">
                  <c:v>123.6693831317727</c:v>
                </c:pt>
                <c:pt idx="227">
                  <c:v>123.55270855176067</c:v>
                </c:pt>
                <c:pt idx="228">
                  <c:v>123.01940849228905</c:v>
                </c:pt>
                <c:pt idx="229">
                  <c:v>123.5864145415419</c:v>
                </c:pt>
                <c:pt idx="230">
                  <c:v>123.44008517244349</c:v>
                </c:pt>
                <c:pt idx="231">
                  <c:v>123.19960589919648</c:v>
                </c:pt>
                <c:pt idx="232">
                  <c:v>122.27512190062899</c:v>
                </c:pt>
                <c:pt idx="233">
                  <c:v>122.54671439521253</c:v>
                </c:pt>
                <c:pt idx="234">
                  <c:v>122.64588778822275</c:v>
                </c:pt>
                <c:pt idx="235">
                  <c:v>123.28419496970521</c:v>
                </c:pt>
                <c:pt idx="236">
                  <c:v>123.86935039807105</c:v>
                </c:pt>
                <c:pt idx="237">
                  <c:v>123.08925119226843</c:v>
                </c:pt>
                <c:pt idx="238">
                  <c:v>121.77244891841052</c:v>
                </c:pt>
                <c:pt idx="239">
                  <c:v>120.76434813750107</c:v>
                </c:pt>
                <c:pt idx="240">
                  <c:v>120.11323916182288</c:v>
                </c:pt>
                <c:pt idx="241">
                  <c:v>119.62385411788355</c:v>
                </c:pt>
                <c:pt idx="242">
                  <c:v>118.90371268236493</c:v>
                </c:pt>
                <c:pt idx="243">
                  <c:v>119.3415664534656</c:v>
                </c:pt>
                <c:pt idx="244">
                  <c:v>118.47720227320985</c:v>
                </c:pt>
                <c:pt idx="245">
                  <c:v>118.44851977229024</c:v>
                </c:pt>
                <c:pt idx="246">
                  <c:v>119.60700112299295</c:v>
                </c:pt>
                <c:pt idx="247">
                  <c:v>118.83792118308035</c:v>
                </c:pt>
                <c:pt idx="248">
                  <c:v>118.91554218839393</c:v>
                </c:pt>
                <c:pt idx="249">
                  <c:v>118.49745827668416</c:v>
                </c:pt>
                <c:pt idx="250">
                  <c:v>118.98943608906819</c:v>
                </c:pt>
                <c:pt idx="251">
                  <c:v>121.33346081111532</c:v>
                </c:pt>
                <c:pt idx="252">
                  <c:v>123.01098199484376</c:v>
                </c:pt>
                <c:pt idx="253">
                  <c:v>121.62530930917316</c:v>
                </c:pt>
                <c:pt idx="254">
                  <c:v>120.02087178598003</c:v>
                </c:pt>
                <c:pt idx="255">
                  <c:v>119.7551130203971</c:v>
                </c:pt>
                <c:pt idx="256">
                  <c:v>120.00693565558971</c:v>
                </c:pt>
                <c:pt idx="257">
                  <c:v>120.52111404778159</c:v>
                </c:pt>
                <c:pt idx="258">
                  <c:v>119.95362185444533</c:v>
                </c:pt>
                <c:pt idx="259">
                  <c:v>120.74263370177665</c:v>
                </c:pt>
                <c:pt idx="260">
                  <c:v>120.31904015712189</c:v>
                </c:pt>
                <c:pt idx="261">
                  <c:v>120.12053132307364</c:v>
                </c:pt>
                <c:pt idx="262">
                  <c:v>120.88086066948533</c:v>
                </c:pt>
                <c:pt idx="263">
                  <c:v>120.05085067112203</c:v>
                </c:pt>
                <c:pt idx="264">
                  <c:v>120.98991899219102</c:v>
                </c:pt>
                <c:pt idx="265">
                  <c:v>119.06511251804821</c:v>
                </c:pt>
                <c:pt idx="266">
                  <c:v>119.72740280764424</c:v>
                </c:pt>
                <c:pt idx="267">
                  <c:v>118.83257359816314</c:v>
                </c:pt>
                <c:pt idx="268">
                  <c:v>119.10530042894125</c:v>
                </c:pt>
                <c:pt idx="269">
                  <c:v>119.85930990226896</c:v>
                </c:pt>
                <c:pt idx="270">
                  <c:v>119.60116739399236</c:v>
                </c:pt>
                <c:pt idx="271">
                  <c:v>119.0863408096893</c:v>
                </c:pt>
                <c:pt idx="272">
                  <c:v>119.89350203613363</c:v>
                </c:pt>
                <c:pt idx="273">
                  <c:v>122.02216492924188</c:v>
                </c:pt>
                <c:pt idx="274">
                  <c:v>122.04015226032706</c:v>
                </c:pt>
                <c:pt idx="275">
                  <c:v>121.70487489082031</c:v>
                </c:pt>
                <c:pt idx="276">
                  <c:v>122.96820131550604</c:v>
                </c:pt>
                <c:pt idx="277">
                  <c:v>123.47816645897525</c:v>
                </c:pt>
                <c:pt idx="278">
                  <c:v>122.86319419349522</c:v>
                </c:pt>
                <c:pt idx="279">
                  <c:v>123.46309599239036</c:v>
                </c:pt>
                <c:pt idx="280">
                  <c:v>123.52597062717462</c:v>
                </c:pt>
                <c:pt idx="281">
                  <c:v>123.02670065353983</c:v>
                </c:pt>
                <c:pt idx="282">
                  <c:v>122.38790732797401</c:v>
                </c:pt>
                <c:pt idx="283">
                  <c:v>120.9680425084388</c:v>
                </c:pt>
                <c:pt idx="284">
                  <c:v>120.46423519002575</c:v>
                </c:pt>
                <c:pt idx="285">
                  <c:v>119.77245215937111</c:v>
                </c:pt>
                <c:pt idx="286">
                  <c:v>119.74133893803459</c:v>
                </c:pt>
                <c:pt idx="287">
                  <c:v>119.38758809335926</c:v>
                </c:pt>
                <c:pt idx="288">
                  <c:v>119.35647487202273</c:v>
                </c:pt>
                <c:pt idx="289">
                  <c:v>118.88977655197463</c:v>
                </c:pt>
                <c:pt idx="290">
                  <c:v>119.22894307414846</c:v>
                </c:pt>
                <c:pt idx="291">
                  <c:v>119.51236507476099</c:v>
                </c:pt>
                <c:pt idx="292">
                  <c:v>119.69645163433553</c:v>
                </c:pt>
                <c:pt idx="293">
                  <c:v>120.03707658875953</c:v>
                </c:pt>
                <c:pt idx="294">
                  <c:v>120.34156483298536</c:v>
                </c:pt>
                <c:pt idx="295">
                  <c:v>120.08650123723685</c:v>
                </c:pt>
                <c:pt idx="296">
                  <c:v>119.16185519064153</c:v>
                </c:pt>
                <c:pt idx="297">
                  <c:v>121.10173213136925</c:v>
                </c:pt>
                <c:pt idx="298">
                  <c:v>120.50944658978042</c:v>
                </c:pt>
                <c:pt idx="299">
                  <c:v>120.38256298401735</c:v>
                </c:pt>
                <c:pt idx="300">
                  <c:v>119.618830629022</c:v>
                </c:pt>
                <c:pt idx="301">
                  <c:v>119.98846218042121</c:v>
                </c:pt>
                <c:pt idx="302">
                  <c:v>120.88053657342982</c:v>
                </c:pt>
                <c:pt idx="303">
                  <c:v>120.47460626380465</c:v>
                </c:pt>
                <c:pt idx="304">
                  <c:v>120.73939274122081</c:v>
                </c:pt>
                <c:pt idx="305">
                  <c:v>120.03513201242603</c:v>
                </c:pt>
                <c:pt idx="306">
                  <c:v>119.20009852520107</c:v>
                </c:pt>
                <c:pt idx="307">
                  <c:v>118.83484227055231</c:v>
                </c:pt>
                <c:pt idx="308">
                  <c:v>118.71638516223457</c:v>
                </c:pt>
                <c:pt idx="309">
                  <c:v>117.92283597012502</c:v>
                </c:pt>
                <c:pt idx="310">
                  <c:v>118.13625322273035</c:v>
                </c:pt>
                <c:pt idx="311">
                  <c:v>119.41286758569524</c:v>
                </c:pt>
                <c:pt idx="312">
                  <c:v>120.48303276124996</c:v>
                </c:pt>
                <c:pt idx="313">
                  <c:v>120.34577808170803</c:v>
                </c:pt>
                <c:pt idx="314">
                  <c:v>121.33751201181023</c:v>
                </c:pt>
                <c:pt idx="315">
                  <c:v>123.73096138233468</c:v>
                </c:pt>
                <c:pt idx="316">
                  <c:v>124.23525484483109</c:v>
                </c:pt>
                <c:pt idx="317">
                  <c:v>123.44656709355537</c:v>
                </c:pt>
                <c:pt idx="318">
                  <c:v>122.75786297542885</c:v>
                </c:pt>
                <c:pt idx="319">
                  <c:v>122.65350404552919</c:v>
                </c:pt>
                <c:pt idx="320">
                  <c:v>122.99493924009215</c:v>
                </c:pt>
                <c:pt idx="321">
                  <c:v>122.6974190610615</c:v>
                </c:pt>
                <c:pt idx="322">
                  <c:v>123.63292232551902</c:v>
                </c:pt>
                <c:pt idx="323">
                  <c:v>124.01535567111401</c:v>
                </c:pt>
                <c:pt idx="324">
                  <c:v>123.91650637415937</c:v>
                </c:pt>
                <c:pt idx="325">
                  <c:v>124.83450845161509</c:v>
                </c:pt>
                <c:pt idx="326">
                  <c:v>125.00627936107722</c:v>
                </c:pt>
                <c:pt idx="327">
                  <c:v>124.47751664638386</c:v>
                </c:pt>
                <c:pt idx="328">
                  <c:v>125.46487527973559</c:v>
                </c:pt>
                <c:pt idx="329">
                  <c:v>125.28662244916165</c:v>
                </c:pt>
                <c:pt idx="330">
                  <c:v>123.08309336721234</c:v>
                </c:pt>
                <c:pt idx="331">
                  <c:v>123.23606670545031</c:v>
                </c:pt>
                <c:pt idx="332">
                  <c:v>123.34042563534996</c:v>
                </c:pt>
                <c:pt idx="333">
                  <c:v>122.91748028280637</c:v>
                </c:pt>
                <c:pt idx="334">
                  <c:v>123.65155784871533</c:v>
                </c:pt>
                <c:pt idx="335">
                  <c:v>124.54687320227983</c:v>
                </c:pt>
                <c:pt idx="336">
                  <c:v>124.14337361307155</c:v>
                </c:pt>
                <c:pt idx="337">
                  <c:v>122.39941273794739</c:v>
                </c:pt>
                <c:pt idx="338">
                  <c:v>121.33913249208813</c:v>
                </c:pt>
                <c:pt idx="339">
                  <c:v>121.55254974469344</c:v>
                </c:pt>
                <c:pt idx="340">
                  <c:v>121.23493561021627</c:v>
                </c:pt>
                <c:pt idx="341">
                  <c:v>120.56113991064682</c:v>
                </c:pt>
                <c:pt idx="342">
                  <c:v>121.15423569237461</c:v>
                </c:pt>
                <c:pt idx="343">
                  <c:v>121.87632170422681</c:v>
                </c:pt>
                <c:pt idx="344">
                  <c:v>121.35452705472862</c:v>
                </c:pt>
                <c:pt idx="345">
                  <c:v>121.19166878679516</c:v>
                </c:pt>
                <c:pt idx="346">
                  <c:v>121.27269280069241</c:v>
                </c:pt>
                <c:pt idx="347">
                  <c:v>120.27787995806212</c:v>
                </c:pt>
                <c:pt idx="348">
                  <c:v>119.51852289981719</c:v>
                </c:pt>
                <c:pt idx="349">
                  <c:v>120.42032017449347</c:v>
                </c:pt>
                <c:pt idx="350">
                  <c:v>120.24336372814189</c:v>
                </c:pt>
                <c:pt idx="351">
                  <c:v>120.94535578454756</c:v>
                </c:pt>
                <c:pt idx="352">
                  <c:v>119.96820617694686</c:v>
                </c:pt>
                <c:pt idx="353">
                  <c:v>119.88475144263269</c:v>
                </c:pt>
                <c:pt idx="354">
                  <c:v>119.61996496521652</c:v>
                </c:pt>
                <c:pt idx="355">
                  <c:v>119.42194227525168</c:v>
                </c:pt>
                <c:pt idx="356">
                  <c:v>119.53748251906914</c:v>
                </c:pt>
                <c:pt idx="357">
                  <c:v>119.11356487835879</c:v>
                </c:pt>
                <c:pt idx="358">
                  <c:v>119.29894782215567</c:v>
                </c:pt>
                <c:pt idx="359">
                  <c:v>119.06284384565912</c:v>
                </c:pt>
                <c:pt idx="360">
                  <c:v>119.08585466560594</c:v>
                </c:pt>
                <c:pt idx="361">
                  <c:v>119.22521596950919</c:v>
                </c:pt>
                <c:pt idx="362">
                  <c:v>119.06511251804827</c:v>
                </c:pt>
                <c:pt idx="363">
                  <c:v>118.62077682583579</c:v>
                </c:pt>
                <c:pt idx="364">
                  <c:v>118.99721439440236</c:v>
                </c:pt>
                <c:pt idx="365">
                  <c:v>119.18681058692189</c:v>
                </c:pt>
                <c:pt idx="366">
                  <c:v>118.58723288408234</c:v>
                </c:pt>
                <c:pt idx="367">
                  <c:v>118.69920807128831</c:v>
                </c:pt>
                <c:pt idx="368">
                  <c:v>118.07418882808501</c:v>
                </c:pt>
                <c:pt idx="369">
                  <c:v>118.01568949005123</c:v>
                </c:pt>
                <c:pt idx="370">
                  <c:v>117.12539762534836</c:v>
                </c:pt>
                <c:pt idx="371">
                  <c:v>117.22068186569152</c:v>
                </c:pt>
                <c:pt idx="372">
                  <c:v>116.30932375737538</c:v>
                </c:pt>
                <c:pt idx="373">
                  <c:v>116.59193551784892</c:v>
                </c:pt>
                <c:pt idx="374">
                  <c:v>116.76435461942225</c:v>
                </c:pt>
                <c:pt idx="375">
                  <c:v>117.0707874399816</c:v>
                </c:pt>
                <c:pt idx="376">
                  <c:v>117.64686817879095</c:v>
                </c:pt>
                <c:pt idx="377">
                  <c:v>117.32763356403584</c:v>
                </c:pt>
                <c:pt idx="378">
                  <c:v>117.97015399424093</c:v>
                </c:pt>
                <c:pt idx="379">
                  <c:v>118.49599984443402</c:v>
                </c:pt>
                <c:pt idx="380">
                  <c:v>118.12815082134057</c:v>
                </c:pt>
                <c:pt idx="381">
                  <c:v>117.75997770219149</c:v>
                </c:pt>
                <c:pt idx="382">
                  <c:v>117.20123610235613</c:v>
                </c:pt>
                <c:pt idx="383">
                  <c:v>116.99867606761303</c:v>
                </c:pt>
                <c:pt idx="384">
                  <c:v>117.04550794764563</c:v>
                </c:pt>
                <c:pt idx="385">
                  <c:v>117.90209382256724</c:v>
                </c:pt>
                <c:pt idx="386">
                  <c:v>118.44009327484493</c:v>
                </c:pt>
                <c:pt idx="387">
                  <c:v>119.12312571199864</c:v>
                </c:pt>
                <c:pt idx="388">
                  <c:v>118.61267442444603</c:v>
                </c:pt>
                <c:pt idx="389">
                  <c:v>118.99397343384643</c:v>
                </c:pt>
                <c:pt idx="390">
                  <c:v>120.72902166744191</c:v>
                </c:pt>
                <c:pt idx="391">
                  <c:v>121.08990262534023</c:v>
                </c:pt>
                <c:pt idx="392">
                  <c:v>121.12847005595532</c:v>
                </c:pt>
                <c:pt idx="393">
                  <c:v>120.58998445959426</c:v>
                </c:pt>
                <c:pt idx="394">
                  <c:v>120.56681159161965</c:v>
                </c:pt>
                <c:pt idx="395">
                  <c:v>120.51203935822511</c:v>
                </c:pt>
                <c:pt idx="396">
                  <c:v>120.17903066110745</c:v>
                </c:pt>
                <c:pt idx="397">
                  <c:v>120.56924231203655</c:v>
                </c:pt>
                <c:pt idx="398">
                  <c:v>120.0451789901492</c:v>
                </c:pt>
                <c:pt idx="399">
                  <c:v>121.07256348636619</c:v>
                </c:pt>
                <c:pt idx="400">
                  <c:v>120.53472608211632</c:v>
                </c:pt>
                <c:pt idx="401">
                  <c:v>119.88005204982665</c:v>
                </c:pt>
                <c:pt idx="402">
                  <c:v>119.41335372977856</c:v>
                </c:pt>
                <c:pt idx="403">
                  <c:v>119.60359811440928</c:v>
                </c:pt>
                <c:pt idx="404">
                  <c:v>119.45418983278276</c:v>
                </c:pt>
                <c:pt idx="405">
                  <c:v>119.46585729078396</c:v>
                </c:pt>
                <c:pt idx="406">
                  <c:v>119.06089926932555</c:v>
                </c:pt>
                <c:pt idx="407">
                  <c:v>118.59971058222247</c:v>
                </c:pt>
                <c:pt idx="408">
                  <c:v>118.53813233166058</c:v>
                </c:pt>
                <c:pt idx="409">
                  <c:v>118.28371692802322</c:v>
                </c:pt>
                <c:pt idx="410">
                  <c:v>118.25390009090904</c:v>
                </c:pt>
                <c:pt idx="411">
                  <c:v>118.64232921353239</c:v>
                </c:pt>
                <c:pt idx="412">
                  <c:v>118.55628171077353</c:v>
                </c:pt>
                <c:pt idx="413">
                  <c:v>119.14386785955631</c:v>
                </c:pt>
                <c:pt idx="414">
                  <c:v>119.35615077596708</c:v>
                </c:pt>
                <c:pt idx="415">
                  <c:v>119.83451655401639</c:v>
                </c:pt>
                <c:pt idx="416">
                  <c:v>119.00239993129173</c:v>
                </c:pt>
                <c:pt idx="417">
                  <c:v>119.22489187345357</c:v>
                </c:pt>
                <c:pt idx="418">
                  <c:v>118.80470133738247</c:v>
                </c:pt>
                <c:pt idx="419">
                  <c:v>118.80081218471541</c:v>
                </c:pt>
                <c:pt idx="420">
                  <c:v>119.31709720126862</c:v>
                </c:pt>
                <c:pt idx="421">
                  <c:v>119.71865221414335</c:v>
                </c:pt>
                <c:pt idx="422">
                  <c:v>120.41788945407652</c:v>
                </c:pt>
                <c:pt idx="423">
                  <c:v>120.36716842137683</c:v>
                </c:pt>
                <c:pt idx="424">
                  <c:v>120.08812171751474</c:v>
                </c:pt>
                <c:pt idx="425">
                  <c:v>119.57523970954524</c:v>
                </c:pt>
                <c:pt idx="426">
                  <c:v>119.62385411788357</c:v>
                </c:pt>
                <c:pt idx="427">
                  <c:v>120.40573585199192</c:v>
                </c:pt>
                <c:pt idx="428">
                  <c:v>119.18146300200463</c:v>
                </c:pt>
                <c:pt idx="429">
                  <c:v>119.02670713546091</c:v>
                </c:pt>
                <c:pt idx="430">
                  <c:v>118.79352002346467</c:v>
                </c:pt>
                <c:pt idx="431">
                  <c:v>118.32147411849935</c:v>
                </c:pt>
                <c:pt idx="432">
                  <c:v>118.37835297625521</c:v>
                </c:pt>
                <c:pt idx="433">
                  <c:v>118.03416296521974</c:v>
                </c:pt>
                <c:pt idx="434">
                  <c:v>118.30024582685827</c:v>
                </c:pt>
                <c:pt idx="435">
                  <c:v>118.88929040789117</c:v>
                </c:pt>
                <c:pt idx="436">
                  <c:v>118.74992910398791</c:v>
                </c:pt>
                <c:pt idx="437">
                  <c:v>118.0871526703085</c:v>
                </c:pt>
                <c:pt idx="438">
                  <c:v>118.59809010194448</c:v>
                </c:pt>
                <c:pt idx="439">
                  <c:v>117.77488612074853</c:v>
                </c:pt>
                <c:pt idx="440">
                  <c:v>118.1568333222601</c:v>
                </c:pt>
                <c:pt idx="441">
                  <c:v>117.12118437662559</c:v>
                </c:pt>
                <c:pt idx="442">
                  <c:v>117.4964876089976</c:v>
                </c:pt>
                <c:pt idx="443">
                  <c:v>118.15116164128727</c:v>
                </c:pt>
                <c:pt idx="444">
                  <c:v>118.93514999975696</c:v>
                </c:pt>
                <c:pt idx="445">
                  <c:v>118.35420782011376</c:v>
                </c:pt>
                <c:pt idx="446">
                  <c:v>118.2154947083217</c:v>
                </c:pt>
                <c:pt idx="447">
                  <c:v>117.82188004880891</c:v>
                </c:pt>
                <c:pt idx="448">
                  <c:v>117.80891620658535</c:v>
                </c:pt>
                <c:pt idx="449">
                  <c:v>117.67862959223859</c:v>
                </c:pt>
                <c:pt idx="450">
                  <c:v>118.07629545244623</c:v>
                </c:pt>
                <c:pt idx="451">
                  <c:v>118.10270928097673</c:v>
                </c:pt>
                <c:pt idx="452">
                  <c:v>117.89139865273273</c:v>
                </c:pt>
                <c:pt idx="453">
                  <c:v>117.77650660102645</c:v>
                </c:pt>
                <c:pt idx="454">
                  <c:v>117.5220911973891</c:v>
                </c:pt>
                <c:pt idx="455">
                  <c:v>117.2026945346062</c:v>
                </c:pt>
                <c:pt idx="456">
                  <c:v>117.37122448351245</c:v>
                </c:pt>
                <c:pt idx="457">
                  <c:v>116.38046284157701</c:v>
                </c:pt>
                <c:pt idx="458">
                  <c:v>116.48141876289296</c:v>
                </c:pt>
                <c:pt idx="459">
                  <c:v>116.51172174409055</c:v>
                </c:pt>
                <c:pt idx="460">
                  <c:v>116.46553805616911</c:v>
                </c:pt>
                <c:pt idx="461">
                  <c:v>116.68997457466448</c:v>
                </c:pt>
                <c:pt idx="462">
                  <c:v>115.70634304595201</c:v>
                </c:pt>
                <c:pt idx="463">
                  <c:v>115.06463285588588</c:v>
                </c:pt>
                <c:pt idx="464">
                  <c:v>115.41708731633886</c:v>
                </c:pt>
                <c:pt idx="465">
                  <c:v>114.83306622416757</c:v>
                </c:pt>
                <c:pt idx="466">
                  <c:v>114.81767166152709</c:v>
                </c:pt>
                <c:pt idx="467">
                  <c:v>115.25050194376614</c:v>
                </c:pt>
                <c:pt idx="468">
                  <c:v>113.95622434577166</c:v>
                </c:pt>
                <c:pt idx="469">
                  <c:v>113.17580104391345</c:v>
                </c:pt>
                <c:pt idx="470">
                  <c:v>112.5699034679899</c:v>
                </c:pt>
                <c:pt idx="471">
                  <c:v>114.47575032288076</c:v>
                </c:pt>
                <c:pt idx="472">
                  <c:v>113.7293571068594</c:v>
                </c:pt>
                <c:pt idx="473">
                  <c:v>114.95687091740255</c:v>
                </c:pt>
                <c:pt idx="474">
                  <c:v>116.05960774654399</c:v>
                </c:pt>
                <c:pt idx="475">
                  <c:v>116.09039687182491</c:v>
                </c:pt>
                <c:pt idx="476">
                  <c:v>116.24272201795173</c:v>
                </c:pt>
                <c:pt idx="477">
                  <c:v>115.76856948862508</c:v>
                </c:pt>
                <c:pt idx="478">
                  <c:v>115.29474105535401</c:v>
                </c:pt>
                <c:pt idx="479">
                  <c:v>115.46716015692733</c:v>
                </c:pt>
                <c:pt idx="480">
                  <c:v>114.6319646216746</c:v>
                </c:pt>
                <c:pt idx="481">
                  <c:v>115.49746313812489</c:v>
                </c:pt>
                <c:pt idx="482">
                  <c:v>116.02476742056811</c:v>
                </c:pt>
                <c:pt idx="483">
                  <c:v>118.1322020220353</c:v>
                </c:pt>
                <c:pt idx="484">
                  <c:v>117.51512313219391</c:v>
                </c:pt>
                <c:pt idx="485">
                  <c:v>118.5097739267964</c:v>
                </c:pt>
                <c:pt idx="486">
                  <c:v>117.62726036742768</c:v>
                </c:pt>
                <c:pt idx="487">
                  <c:v>118.47493360082059</c:v>
                </c:pt>
                <c:pt idx="488">
                  <c:v>119.13527931408309</c:v>
                </c:pt>
                <c:pt idx="489">
                  <c:v>121.54460939133138</c:v>
                </c:pt>
                <c:pt idx="490">
                  <c:v>120.41270391718693</c:v>
                </c:pt>
                <c:pt idx="491">
                  <c:v>121.50685220085525</c:v>
                </c:pt>
                <c:pt idx="492">
                  <c:v>120.82835710847978</c:v>
                </c:pt>
                <c:pt idx="493">
                  <c:v>122.43538740011762</c:v>
                </c:pt>
                <c:pt idx="494">
                  <c:v>120.68316207557591</c:v>
                </c:pt>
                <c:pt idx="495">
                  <c:v>120.14483852724265</c:v>
                </c:pt>
                <c:pt idx="496">
                  <c:v>120.37089552601597</c:v>
                </c:pt>
                <c:pt idx="497">
                  <c:v>119.35566463188354</c:v>
                </c:pt>
                <c:pt idx="498">
                  <c:v>119.87178760040895</c:v>
                </c:pt>
                <c:pt idx="499">
                  <c:v>120.53650861042189</c:v>
                </c:pt>
                <c:pt idx="500">
                  <c:v>119.95524233472311</c:v>
                </c:pt>
                <c:pt idx="501">
                  <c:v>119.2041497258957</c:v>
                </c:pt>
                <c:pt idx="502">
                  <c:v>119.41383987386175</c:v>
                </c:pt>
                <c:pt idx="503">
                  <c:v>119.03237881643355</c:v>
                </c:pt>
                <c:pt idx="504">
                  <c:v>119.1012492282462</c:v>
                </c:pt>
                <c:pt idx="505">
                  <c:v>119.63746615221814</c:v>
                </c:pt>
                <c:pt idx="506">
                  <c:v>119.32617189082497</c:v>
                </c:pt>
                <c:pt idx="507">
                  <c:v>119.36506341749563</c:v>
                </c:pt>
                <c:pt idx="508">
                  <c:v>120.19734208824808</c:v>
                </c:pt>
                <c:pt idx="509">
                  <c:v>120.07564401937442</c:v>
                </c:pt>
                <c:pt idx="510">
                  <c:v>119.76094674939756</c:v>
                </c:pt>
                <c:pt idx="511">
                  <c:v>119.34221464557663</c:v>
                </c:pt>
                <c:pt idx="512">
                  <c:v>118.83581455871888</c:v>
                </c:pt>
                <c:pt idx="513">
                  <c:v>118.93352951947897</c:v>
                </c:pt>
                <c:pt idx="514">
                  <c:v>119.43344768522493</c:v>
                </c:pt>
                <c:pt idx="515">
                  <c:v>119.86692615957517</c:v>
                </c:pt>
                <c:pt idx="516">
                  <c:v>120.83354264536925</c:v>
                </c:pt>
                <c:pt idx="517">
                  <c:v>121.19831275593461</c:v>
                </c:pt>
                <c:pt idx="518">
                  <c:v>120.68688918021523</c:v>
                </c:pt>
                <c:pt idx="519">
                  <c:v>122.01892396868585</c:v>
                </c:pt>
                <c:pt idx="520">
                  <c:v>124.28532768541942</c:v>
                </c:pt>
                <c:pt idx="521">
                  <c:v>123.78621975981241</c:v>
                </c:pt>
                <c:pt idx="522">
                  <c:v>122.70876242300693</c:v>
                </c:pt>
                <c:pt idx="523">
                  <c:v>121.35938849556233</c:v>
                </c:pt>
                <c:pt idx="524">
                  <c:v>120.70730723171737</c:v>
                </c:pt>
                <c:pt idx="525">
                  <c:v>120.88718054256923</c:v>
                </c:pt>
                <c:pt idx="526">
                  <c:v>123.69531081621975</c:v>
                </c:pt>
                <c:pt idx="527">
                  <c:v>123.53731398912014</c:v>
                </c:pt>
                <c:pt idx="528">
                  <c:v>123.31352566273598</c:v>
                </c:pt>
                <c:pt idx="529">
                  <c:v>124.52337623824955</c:v>
                </c:pt>
                <c:pt idx="530">
                  <c:v>123.7291788540288</c:v>
                </c:pt>
                <c:pt idx="531">
                  <c:v>124.42242031693358</c:v>
                </c:pt>
                <c:pt idx="532">
                  <c:v>125.7333888617909</c:v>
                </c:pt>
                <c:pt idx="533">
                  <c:v>127.51316235105766</c:v>
                </c:pt>
                <c:pt idx="534">
                  <c:v>127.64636582990472</c:v>
                </c:pt>
                <c:pt idx="535">
                  <c:v>128.3981066308433</c:v>
                </c:pt>
                <c:pt idx="536">
                  <c:v>126.57166330957173</c:v>
                </c:pt>
                <c:pt idx="537">
                  <c:v>126.71232099769733</c:v>
                </c:pt>
                <c:pt idx="538">
                  <c:v>125.33248204102735</c:v>
                </c:pt>
                <c:pt idx="539">
                  <c:v>124.3339420937578</c:v>
                </c:pt>
                <c:pt idx="540">
                  <c:v>123.49356102161563</c:v>
                </c:pt>
                <c:pt idx="541">
                  <c:v>123.87988351987765</c:v>
                </c:pt>
                <c:pt idx="542">
                  <c:v>122.73857926012114</c:v>
                </c:pt>
                <c:pt idx="543">
                  <c:v>122.26896407557274</c:v>
                </c:pt>
                <c:pt idx="544">
                  <c:v>121.65026470545342</c:v>
                </c:pt>
                <c:pt idx="545">
                  <c:v>121.12296042301018</c:v>
                </c:pt>
                <c:pt idx="546">
                  <c:v>121.63989363167458</c:v>
                </c:pt>
                <c:pt idx="547">
                  <c:v>125.24157309743465</c:v>
                </c:pt>
                <c:pt idx="548">
                  <c:v>123.99996110847337</c:v>
                </c:pt>
                <c:pt idx="549">
                  <c:v>122.35922482705429</c:v>
                </c:pt>
                <c:pt idx="550">
                  <c:v>121.67732672609512</c:v>
                </c:pt>
                <c:pt idx="551">
                  <c:v>123.42161169727488</c:v>
                </c:pt>
                <c:pt idx="552">
                  <c:v>125.34658021944549</c:v>
                </c:pt>
                <c:pt idx="553">
                  <c:v>130.31659323190209</c:v>
                </c:pt>
                <c:pt idx="554">
                  <c:v>127.76595727441702</c:v>
                </c:pt>
                <c:pt idx="555">
                  <c:v>131.5197998382761</c:v>
                </c:pt>
                <c:pt idx="556">
                  <c:v>137.65979961140886</c:v>
                </c:pt>
                <c:pt idx="557">
                  <c:v>170.58957933952468</c:v>
                </c:pt>
                <c:pt idx="558">
                  <c:v>170.16420326656419</c:v>
                </c:pt>
                <c:pt idx="559">
                  <c:v>175.8456071210386</c:v>
                </c:pt>
                <c:pt idx="560">
                  <c:v>166.50434855882591</c:v>
                </c:pt>
                <c:pt idx="561">
                  <c:v>177.44259043495316</c:v>
                </c:pt>
                <c:pt idx="562">
                  <c:v>194.45763335337332</c:v>
                </c:pt>
                <c:pt idx="563">
                  <c:v>206.61123543795915</c:v>
                </c:pt>
                <c:pt idx="564">
                  <c:v>210.66243613282109</c:v>
                </c:pt>
                <c:pt idx="565">
                  <c:v>220.38531780048976</c:v>
                </c:pt>
                <c:pt idx="566">
                  <c:v>216.33411710562783</c:v>
                </c:pt>
                <c:pt idx="567">
                  <c:v>217.1443572446002</c:v>
                </c:pt>
                <c:pt idx="568">
                  <c:v>194.45763335337332</c:v>
                </c:pt>
                <c:pt idx="569">
                  <c:v>186.35523196364946</c:v>
                </c:pt>
                <c:pt idx="570">
                  <c:v>156.37634682167109</c:v>
                </c:pt>
                <c:pt idx="571">
                  <c:v>167.11202866305524</c:v>
                </c:pt>
                <c:pt idx="572">
                  <c:v>163.83055610021708</c:v>
                </c:pt>
                <c:pt idx="573">
                  <c:v>172.82422164281061</c:v>
                </c:pt>
                <c:pt idx="574">
                  <c:v>171.77090946214651</c:v>
                </c:pt>
                <c:pt idx="575">
                  <c:v>156.78146689115732</c:v>
                </c:pt>
                <c:pt idx="576">
                  <c:v>165.69410841985359</c:v>
                </c:pt>
                <c:pt idx="577">
                  <c:v>168.52994890625695</c:v>
                </c:pt>
                <c:pt idx="578">
                  <c:v>156.37634682167112</c:v>
                </c:pt>
                <c:pt idx="579">
                  <c:v>144.22274473708526</c:v>
                </c:pt>
                <c:pt idx="580">
                  <c:v>135.31010320838899</c:v>
                </c:pt>
                <c:pt idx="581">
                  <c:v>132.47426272198564</c:v>
                </c:pt>
                <c:pt idx="582">
                  <c:v>138.95618383376475</c:v>
                </c:pt>
                <c:pt idx="583">
                  <c:v>135.7152232778752</c:v>
                </c:pt>
                <c:pt idx="584">
                  <c:v>136.12034334736137</c:v>
                </c:pt>
                <c:pt idx="585">
                  <c:v>133.08194282621491</c:v>
                </c:pt>
                <c:pt idx="586">
                  <c:v>128.42306202712368</c:v>
                </c:pt>
                <c:pt idx="587">
                  <c:v>130.04354230506846</c:v>
                </c:pt>
                <c:pt idx="588">
                  <c:v>135.31010320838899</c:v>
                </c:pt>
                <c:pt idx="589">
                  <c:v>138.34850372953545</c:v>
                </c:pt>
                <c:pt idx="590">
                  <c:v>133.56808690959835</c:v>
                </c:pt>
                <c:pt idx="591">
                  <c:v>133.89218296518732</c:v>
                </c:pt>
                <c:pt idx="592">
                  <c:v>131.46146254827016</c:v>
                </c:pt>
                <c:pt idx="593">
                  <c:v>131.25890251352706</c:v>
                </c:pt>
                <c:pt idx="594">
                  <c:v>134.13525500687905</c:v>
                </c:pt>
                <c:pt idx="595">
                  <c:v>131.05634247878396</c:v>
                </c:pt>
                <c:pt idx="596">
                  <c:v>125.38466150597725</c:v>
                </c:pt>
                <c:pt idx="597">
                  <c:v>122.79189306126561</c:v>
                </c:pt>
                <c:pt idx="598">
                  <c:v>122.54882101957388</c:v>
                </c:pt>
                <c:pt idx="599">
                  <c:v>119.71298053317051</c:v>
                </c:pt>
                <c:pt idx="600">
                  <c:v>117.88994022048263</c:v>
                </c:pt>
                <c:pt idx="601">
                  <c:v>118.86222838724949</c:v>
                </c:pt>
                <c:pt idx="602">
                  <c:v>114.40590762290134</c:v>
                </c:pt>
                <c:pt idx="603">
                  <c:v>110.59777896973111</c:v>
                </c:pt>
                <c:pt idx="604">
                  <c:v>107.15425837909845</c:v>
                </c:pt>
                <c:pt idx="605">
                  <c:v>105.04763401777025</c:v>
                </c:pt>
                <c:pt idx="606">
                  <c:v>111.81313917818969</c:v>
                </c:pt>
                <c:pt idx="607">
                  <c:v>113.23105942139136</c:v>
                </c:pt>
                <c:pt idx="608">
                  <c:v>113.23105942139136</c:v>
                </c:pt>
                <c:pt idx="609">
                  <c:v>108.16705855281393</c:v>
                </c:pt>
                <c:pt idx="610">
                  <c:v>105.53377810115367</c:v>
                </c:pt>
                <c:pt idx="611">
                  <c:v>107.76193848332775</c:v>
                </c:pt>
                <c:pt idx="612">
                  <c:v>104.7235379621813</c:v>
                </c:pt>
                <c:pt idx="613">
                  <c:v>105.3312180664106</c:v>
                </c:pt>
                <c:pt idx="614">
                  <c:v>104.11585785795202</c:v>
                </c:pt>
                <c:pt idx="615">
                  <c:v>100.67233726731936</c:v>
                </c:pt>
                <c:pt idx="616">
                  <c:v>100.46977723257626</c:v>
                </c:pt>
                <c:pt idx="617">
                  <c:v>94.919632280615403</c:v>
                </c:pt>
                <c:pt idx="618">
                  <c:v>93.987856120797147</c:v>
                </c:pt>
                <c:pt idx="619">
                  <c:v>98.768272940734249</c:v>
                </c:pt>
                <c:pt idx="620">
                  <c:v>104.11585785795202</c:v>
                </c:pt>
                <c:pt idx="621">
                  <c:v>107.76193848332778</c:v>
                </c:pt>
                <c:pt idx="622">
                  <c:v>103.71073778846583</c:v>
                </c:pt>
                <c:pt idx="623">
                  <c:v>101.68513744103487</c:v>
                </c:pt>
                <c:pt idx="624">
                  <c:v>102.90049764949346</c:v>
                </c:pt>
                <c:pt idx="625">
                  <c:v>102.90049764949346</c:v>
                </c:pt>
                <c:pt idx="626">
                  <c:v>102.6736304105812</c:v>
                </c:pt>
                <c:pt idx="627">
                  <c:v>99.456977058860815</c:v>
                </c:pt>
                <c:pt idx="628">
                  <c:v>100.0646571630901</c:v>
                </c:pt>
                <c:pt idx="629">
                  <c:v>98.833092151852071</c:v>
                </c:pt>
                <c:pt idx="630">
                  <c:v>93.987856120797176</c:v>
                </c:pt>
                <c:pt idx="631">
                  <c:v>94.392976190283363</c:v>
                </c:pt>
                <c:pt idx="632">
                  <c:v>93.582736051310974</c:v>
                </c:pt>
                <c:pt idx="633">
                  <c:v>94.595536225026464</c:v>
                </c:pt>
                <c:pt idx="634">
                  <c:v>92.772495912338599</c:v>
                </c:pt>
                <c:pt idx="635">
                  <c:v>94.798096259769579</c:v>
                </c:pt>
                <c:pt idx="636">
                  <c:v>93.1776159818248</c:v>
                </c:pt>
                <c:pt idx="637">
                  <c:v>88.721295217476651</c:v>
                </c:pt>
                <c:pt idx="638">
                  <c:v>87.303374974274973</c:v>
                </c:pt>
                <c:pt idx="639">
                  <c:v>89.126415286962853</c:v>
                </c:pt>
                <c:pt idx="640">
                  <c:v>88.316175147990464</c:v>
                </c:pt>
                <c:pt idx="641">
                  <c:v>86.533646842251201</c:v>
                </c:pt>
                <c:pt idx="642">
                  <c:v>86.088014765816382</c:v>
                </c:pt>
                <c:pt idx="643">
                  <c:v>88.316175147990464</c:v>
                </c:pt>
                <c:pt idx="644">
                  <c:v>84.264974453128517</c:v>
                </c:pt>
                <c:pt idx="645">
                  <c:v>88.923855252219766</c:v>
                </c:pt>
                <c:pt idx="646">
                  <c:v>87.505935009018074</c:v>
                </c:pt>
                <c:pt idx="647">
                  <c:v>92.367375842852411</c:v>
                </c:pt>
                <c:pt idx="648">
                  <c:v>97.228816676686748</c:v>
                </c:pt>
                <c:pt idx="649">
                  <c:v>102.98152166339072</c:v>
                </c:pt>
                <c:pt idx="650">
                  <c:v>102.21179353136695</c:v>
                </c:pt>
                <c:pt idx="651">
                  <c:v>105.16917003861619</c:v>
                </c:pt>
                <c:pt idx="652">
                  <c:v>101.28001737154871</c:v>
                </c:pt>
                <c:pt idx="653">
                  <c:v>94.676560238923727</c:v>
                </c:pt>
                <c:pt idx="654">
                  <c:v>94.757584252820962</c:v>
                </c:pt>
                <c:pt idx="655">
                  <c:v>94.433488197232009</c:v>
                </c:pt>
                <c:pt idx="656">
                  <c:v>92.367375842852411</c:v>
                </c:pt>
                <c:pt idx="657">
                  <c:v>93.582736051311002</c:v>
                </c:pt>
                <c:pt idx="658">
                  <c:v>91.557135703880036</c:v>
                </c:pt>
                <c:pt idx="659">
                  <c:v>90.746895564907646</c:v>
                </c:pt>
                <c:pt idx="660">
                  <c:v>93.987856120797204</c:v>
                </c:pt>
                <c:pt idx="661">
                  <c:v>94.190416155540305</c:v>
                </c:pt>
                <c:pt idx="662">
                  <c:v>94.798096259769608</c:v>
                </c:pt>
                <c:pt idx="663">
                  <c:v>97.431376711429877</c:v>
                </c:pt>
                <c:pt idx="664">
                  <c:v>96.2160165029713</c:v>
                </c:pt>
                <c:pt idx="665">
                  <c:v>101.28001737154874</c:v>
                </c:pt>
                <c:pt idx="666">
                  <c:v>100.87489730206254</c:v>
                </c:pt>
                <c:pt idx="667">
                  <c:v>104.7235379621814</c:v>
                </c:pt>
                <c:pt idx="668">
                  <c:v>98.565712905991234</c:v>
                </c:pt>
                <c:pt idx="669">
                  <c:v>99.837789924177883</c:v>
                </c:pt>
                <c:pt idx="670">
                  <c:v>97.633936746172978</c:v>
                </c:pt>
                <c:pt idx="671">
                  <c:v>98.079568822607783</c:v>
                </c:pt>
                <c:pt idx="672">
                  <c:v>100.26721719783323</c:v>
                </c:pt>
                <c:pt idx="673">
                  <c:v>97.998544808710534</c:v>
                </c:pt>
                <c:pt idx="674">
                  <c:v>99.659537093603944</c:v>
                </c:pt>
                <c:pt idx="675">
                  <c:v>98.241616850402266</c:v>
                </c:pt>
                <c:pt idx="676">
                  <c:v>99.659537093603944</c:v>
                </c:pt>
                <c:pt idx="677">
                  <c:v>99.659537093603944</c:v>
                </c:pt>
                <c:pt idx="678">
                  <c:v>99.659537093603944</c:v>
                </c:pt>
                <c:pt idx="679">
                  <c:v>98.039056815659166</c:v>
                </c:pt>
                <c:pt idx="680">
                  <c:v>97.228816676686776</c:v>
                </c:pt>
                <c:pt idx="681">
                  <c:v>96.418576537714387</c:v>
                </c:pt>
                <c:pt idx="682">
                  <c:v>97.431376711429877</c:v>
                </c:pt>
                <c:pt idx="683">
                  <c:v>97.633936746172978</c:v>
                </c:pt>
                <c:pt idx="684">
                  <c:v>96.945232628046455</c:v>
                </c:pt>
                <c:pt idx="685">
                  <c:v>97.836496780916093</c:v>
                </c:pt>
                <c:pt idx="686">
                  <c:v>97.714960760070227</c:v>
                </c:pt>
                <c:pt idx="687">
                  <c:v>100.06465716309016</c:v>
                </c:pt>
                <c:pt idx="688">
                  <c:v>97.22881667668679</c:v>
                </c:pt>
                <c:pt idx="689">
                  <c:v>97.431376711429891</c:v>
                </c:pt>
                <c:pt idx="690">
                  <c:v>97.569117535055199</c:v>
                </c:pt>
                <c:pt idx="691">
                  <c:v>97.674448753121595</c:v>
                </c:pt>
                <c:pt idx="692">
                  <c:v>98.86550175741101</c:v>
                </c:pt>
                <c:pt idx="693">
                  <c:v>99.294929031066374</c:v>
                </c:pt>
                <c:pt idx="694">
                  <c:v>101.25571016737956</c:v>
                </c:pt>
                <c:pt idx="695">
                  <c:v>99.659537093603959</c:v>
                </c:pt>
                <c:pt idx="696">
                  <c:v>99.659537093603959</c:v>
                </c:pt>
                <c:pt idx="697">
                  <c:v>97.342250296142922</c:v>
                </c:pt>
                <c:pt idx="698">
                  <c:v>100.36444601450994</c:v>
                </c:pt>
                <c:pt idx="699">
                  <c:v>96.783184600251971</c:v>
                </c:pt>
                <c:pt idx="700">
                  <c:v>96.621136572457488</c:v>
                </c:pt>
                <c:pt idx="701">
                  <c:v>98.039056815659166</c:v>
                </c:pt>
                <c:pt idx="702">
                  <c:v>97.350352697532628</c:v>
                </c:pt>
                <c:pt idx="703">
                  <c:v>100.10516917003875</c:v>
                </c:pt>
                <c:pt idx="704">
                  <c:v>99.821585121398414</c:v>
                </c:pt>
                <c:pt idx="705">
                  <c:v>99.659537093603944</c:v>
                </c:pt>
                <c:pt idx="706">
                  <c:v>93.785296086054117</c:v>
                </c:pt>
                <c:pt idx="707">
                  <c:v>94.798096259769608</c:v>
                </c:pt>
                <c:pt idx="708">
                  <c:v>95.446288370947514</c:v>
                </c:pt>
                <c:pt idx="709">
                  <c:v>93.825808093002735</c:v>
                </c:pt>
                <c:pt idx="710">
                  <c:v>93.177615981824829</c:v>
                </c:pt>
                <c:pt idx="711">
                  <c:v>97.552912732275743</c:v>
                </c:pt>
                <c:pt idx="712">
                  <c:v>94.028368127745836</c:v>
                </c:pt>
                <c:pt idx="713">
                  <c:v>95.648848405690615</c:v>
                </c:pt>
                <c:pt idx="714">
                  <c:v>98.444176885145367</c:v>
                </c:pt>
                <c:pt idx="715">
                  <c:v>98.079568822607797</c:v>
                </c:pt>
                <c:pt idx="716">
                  <c:v>99.983633149192926</c:v>
                </c:pt>
                <c:pt idx="717">
                  <c:v>102.39004636194093</c:v>
                </c:pt>
                <c:pt idx="718">
                  <c:v>106.1414582053831</c:v>
                </c:pt>
                <c:pt idx="719">
                  <c:v>103.26510571203112</c:v>
                </c:pt>
                <c:pt idx="720">
                  <c:v>104.84507398302729</c:v>
                </c:pt>
                <c:pt idx="721">
                  <c:v>101.52308941324048</c:v>
                </c:pt>
                <c:pt idx="722">
                  <c:v>100.55080124647361</c:v>
                </c:pt>
                <c:pt idx="723">
                  <c:v>99.659537093603987</c:v>
                </c:pt>
                <c:pt idx="724">
                  <c:v>98.849296954631583</c:v>
                </c:pt>
                <c:pt idx="725">
                  <c:v>99.902609135295677</c:v>
                </c:pt>
                <c:pt idx="726">
                  <c:v>99.902609135295691</c:v>
                </c:pt>
                <c:pt idx="727">
                  <c:v>99.254417024117771</c:v>
                </c:pt>
                <c:pt idx="728">
                  <c:v>100.87489730206255</c:v>
                </c:pt>
                <c:pt idx="729">
                  <c:v>99.294929031066388</c:v>
                </c:pt>
                <c:pt idx="730">
                  <c:v>99.375953044963637</c:v>
                </c:pt>
                <c:pt idx="731">
                  <c:v>99.70004910055259</c:v>
                </c:pt>
                <c:pt idx="732">
                  <c:v>100.5508012464736</c:v>
                </c:pt>
                <c:pt idx="733">
                  <c:v>102.69793761475043</c:v>
                </c:pt>
                <c:pt idx="734">
                  <c:v>98.849296954631583</c:v>
                </c:pt>
                <c:pt idx="735">
                  <c:v>101.03694532985705</c:v>
                </c:pt>
                <c:pt idx="736">
                  <c:v>100.46977723257636</c:v>
                </c:pt>
                <c:pt idx="737">
                  <c:v>102.41435356611011</c:v>
                </c:pt>
                <c:pt idx="738">
                  <c:v>98.849296954631583</c:v>
                </c:pt>
                <c:pt idx="739">
                  <c:v>98.849296954631569</c:v>
                </c:pt>
                <c:pt idx="740">
                  <c:v>98.241616850402281</c:v>
                </c:pt>
                <c:pt idx="741">
                  <c:v>98.484688892093985</c:v>
                </c:pt>
                <c:pt idx="742">
                  <c:v>96.532010157170532</c:v>
                </c:pt>
                <c:pt idx="743">
                  <c:v>98.03905681565918</c:v>
                </c:pt>
                <c:pt idx="744">
                  <c:v>98.484688892093985</c:v>
                </c:pt>
                <c:pt idx="745">
                  <c:v>97.998544808710562</c:v>
                </c:pt>
                <c:pt idx="746">
                  <c:v>98.606224912939865</c:v>
                </c:pt>
                <c:pt idx="747">
                  <c:v>99.254417024117785</c:v>
                </c:pt>
                <c:pt idx="748">
                  <c:v>98.079568822607825</c:v>
                </c:pt>
                <c:pt idx="749">
                  <c:v>98.525200899042645</c:v>
                </c:pt>
                <c:pt idx="750">
                  <c:v>97.820291978136666</c:v>
                </c:pt>
                <c:pt idx="751">
                  <c:v>98.039056815659208</c:v>
                </c:pt>
                <c:pt idx="752">
                  <c:v>98.784477743513804</c:v>
                </c:pt>
                <c:pt idx="753">
                  <c:v>98.598122511550145</c:v>
                </c:pt>
                <c:pt idx="754">
                  <c:v>98.889808961580201</c:v>
                </c:pt>
                <c:pt idx="755">
                  <c:v>99.197700214389712</c:v>
                </c:pt>
                <c:pt idx="756">
                  <c:v>101.28001737154875</c:v>
                </c:pt>
                <c:pt idx="757">
                  <c:v>98.120080829556414</c:v>
                </c:pt>
                <c:pt idx="758">
                  <c:v>98.120080829556414</c:v>
                </c:pt>
                <c:pt idx="759">
                  <c:v>100.46977723257635</c:v>
                </c:pt>
                <c:pt idx="760">
                  <c:v>100.58321085203249</c:v>
                </c:pt>
                <c:pt idx="761">
                  <c:v>101.32052937849737</c:v>
                </c:pt>
                <c:pt idx="762">
                  <c:v>101.53929421601991</c:v>
                </c:pt>
                <c:pt idx="763">
                  <c:v>102.43866077027928</c:v>
                </c:pt>
                <c:pt idx="764">
                  <c:v>104.92609799692451</c:v>
                </c:pt>
                <c:pt idx="765">
                  <c:v>104.76404996913004</c:v>
                </c:pt>
                <c:pt idx="766">
                  <c:v>105.12865803166761</c:v>
                </c:pt>
                <c:pt idx="767">
                  <c:v>113.02849938664842</c:v>
                </c:pt>
                <c:pt idx="768">
                  <c:v>116.26945994253798</c:v>
                </c:pt>
                <c:pt idx="769">
                  <c:v>115.66177983830868</c:v>
                </c:pt>
                <c:pt idx="770">
                  <c:v>110.59777896973124</c:v>
                </c:pt>
                <c:pt idx="771">
                  <c:v>113.83873952562081</c:v>
                </c:pt>
                <c:pt idx="772">
                  <c:v>113.43361945613461</c:v>
                </c:pt>
                <c:pt idx="773">
                  <c:v>117.88994022048274</c:v>
                </c:pt>
                <c:pt idx="774">
                  <c:v>119.91554056791372</c:v>
                </c:pt>
                <c:pt idx="775">
                  <c:v>119.51042049842754</c:v>
                </c:pt>
                <c:pt idx="776">
                  <c:v>118.37608430386618</c:v>
                </c:pt>
                <c:pt idx="777">
                  <c:v>115.86433987305176</c:v>
                </c:pt>
                <c:pt idx="778">
                  <c:v>116.91765205371588</c:v>
                </c:pt>
                <c:pt idx="779">
                  <c:v>117.48482015099654</c:v>
                </c:pt>
                <c:pt idx="780">
                  <c:v>113.29587863250929</c:v>
                </c:pt>
                <c:pt idx="781">
                  <c:v>112.90696336580253</c:v>
                </c:pt>
                <c:pt idx="782">
                  <c:v>113.91976353951802</c:v>
                </c:pt>
                <c:pt idx="783">
                  <c:v>109.84425564048689</c:v>
                </c:pt>
                <c:pt idx="784">
                  <c:v>106.95169834435548</c:v>
                </c:pt>
                <c:pt idx="785">
                  <c:v>111.40801910870363</c:v>
                </c:pt>
                <c:pt idx="786">
                  <c:v>111.00289903921744</c:v>
                </c:pt>
                <c:pt idx="787">
                  <c:v>111.57816953788785</c:v>
                </c:pt>
                <c:pt idx="788">
                  <c:v>112.46133128936775</c:v>
                </c:pt>
                <c:pt idx="789">
                  <c:v>110.59777896973124</c:v>
                </c:pt>
                <c:pt idx="790">
                  <c:v>111.7726271712412</c:v>
                </c:pt>
                <c:pt idx="791">
                  <c:v>112.54235530326498</c:v>
                </c:pt>
                <c:pt idx="792">
                  <c:v>112.78542734495669</c:v>
                </c:pt>
                <c:pt idx="793">
                  <c:v>112.87455376024366</c:v>
                </c:pt>
                <c:pt idx="794">
                  <c:v>114.61251885833944</c:v>
                </c:pt>
                <c:pt idx="795">
                  <c:v>113.2958786325093</c:v>
                </c:pt>
                <c:pt idx="796">
                  <c:v>114.38160041873228</c:v>
                </c:pt>
                <c:pt idx="797">
                  <c:v>113.69289630060574</c:v>
                </c:pt>
                <c:pt idx="798">
                  <c:v>113.91976353951802</c:v>
                </c:pt>
                <c:pt idx="799">
                  <c:v>114.4869316367987</c:v>
                </c:pt>
                <c:pt idx="800">
                  <c:v>115.86433987305175</c:v>
                </c:pt>
                <c:pt idx="801">
                  <c:v>115.09461174102798</c:v>
                </c:pt>
                <c:pt idx="802">
                  <c:v>117.48482015099651</c:v>
                </c:pt>
                <c:pt idx="803">
                  <c:v>118.38418670525589</c:v>
                </c:pt>
                <c:pt idx="804">
                  <c:v>118.47331312054283</c:v>
                </c:pt>
                <c:pt idx="805">
                  <c:v>118.61915634555787</c:v>
                </c:pt>
                <c:pt idx="806">
                  <c:v>119.26734845673577</c:v>
                </c:pt>
                <c:pt idx="807">
                  <c:v>119.91554056791369</c:v>
                </c:pt>
                <c:pt idx="808">
                  <c:v>121.07418396664421</c:v>
                </c:pt>
                <c:pt idx="809">
                  <c:v>119.91554056791369</c:v>
                </c:pt>
                <c:pt idx="810">
                  <c:v>119.51042049842751</c:v>
                </c:pt>
                <c:pt idx="811">
                  <c:v>121.41448482501262</c:v>
                </c:pt>
                <c:pt idx="812">
                  <c:v>122.24903216815417</c:v>
                </c:pt>
                <c:pt idx="813">
                  <c:v>122.71086904736843</c:v>
                </c:pt>
                <c:pt idx="814">
                  <c:v>123.18080832797243</c:v>
                </c:pt>
                <c:pt idx="815">
                  <c:v>121.41448482501261</c:v>
                </c:pt>
                <c:pt idx="816">
                  <c:v>121.61704485975572</c:v>
                </c:pt>
                <c:pt idx="817">
                  <c:v>121.96544811951385</c:v>
                </c:pt>
                <c:pt idx="818">
                  <c:v>122.38677299177951</c:v>
                </c:pt>
                <c:pt idx="819">
                  <c:v>122.18421295703641</c:v>
                </c:pt>
                <c:pt idx="820">
                  <c:v>122.46779700567674</c:v>
                </c:pt>
                <c:pt idx="821">
                  <c:v>122.50830901262535</c:v>
                </c:pt>
                <c:pt idx="822">
                  <c:v>123.2375251377005</c:v>
                </c:pt>
                <c:pt idx="823">
                  <c:v>122.91342908211153</c:v>
                </c:pt>
                <c:pt idx="824">
                  <c:v>123.48059717939222</c:v>
                </c:pt>
                <c:pt idx="825">
                  <c:v>121.57653285280711</c:v>
                </c:pt>
                <c:pt idx="826">
                  <c:v>122.75138105431706</c:v>
                </c:pt>
                <c:pt idx="827">
                  <c:v>123.31854915159774</c:v>
                </c:pt>
                <c:pt idx="828">
                  <c:v>124.45288534615909</c:v>
                </c:pt>
                <c:pt idx="829">
                  <c:v>124.71216219063024</c:v>
                </c:pt>
                <c:pt idx="830">
                  <c:v>125.18210147123423</c:v>
                </c:pt>
                <c:pt idx="831">
                  <c:v>125.18210147123425</c:v>
                </c:pt>
                <c:pt idx="832">
                  <c:v>124.70405978924053</c:v>
                </c:pt>
                <c:pt idx="833">
                  <c:v>123.15650112380327</c:v>
                </c:pt>
                <c:pt idx="834">
                  <c:v>125.23071587957259</c:v>
                </c:pt>
                <c:pt idx="835">
                  <c:v>124.0234580725037</c:v>
                </c:pt>
                <c:pt idx="836">
                  <c:v>124.06397007945232</c:v>
                </c:pt>
                <c:pt idx="837">
                  <c:v>125.30363749208009</c:v>
                </c:pt>
                <c:pt idx="838">
                  <c:v>125.22261347818285</c:v>
                </c:pt>
                <c:pt idx="839">
                  <c:v>126.3974616796928</c:v>
                </c:pt>
                <c:pt idx="840">
                  <c:v>127.4507738603569</c:v>
                </c:pt>
                <c:pt idx="841">
                  <c:v>128.504086041021</c:v>
                </c:pt>
                <c:pt idx="842">
                  <c:v>129.96251829117131</c:v>
                </c:pt>
                <c:pt idx="843">
                  <c:v>131.58299856911609</c:v>
                </c:pt>
                <c:pt idx="844">
                  <c:v>131.42095054132162</c:v>
                </c:pt>
                <c:pt idx="845">
                  <c:v>132.3284194969707</c:v>
                </c:pt>
                <c:pt idx="846">
                  <c:v>131.42095054132162</c:v>
                </c:pt>
                <c:pt idx="847">
                  <c:v>132.96040680536916</c:v>
                </c:pt>
                <c:pt idx="848">
                  <c:v>132.39323870808849</c:v>
                </c:pt>
                <c:pt idx="849">
                  <c:v>132.15016666639676</c:v>
                </c:pt>
                <c:pt idx="850">
                  <c:v>132.96040680536913</c:v>
                </c:pt>
                <c:pt idx="851">
                  <c:v>132.55528673588293</c:v>
                </c:pt>
                <c:pt idx="852">
                  <c:v>132.39323870808846</c:v>
                </c:pt>
                <c:pt idx="853">
                  <c:v>132.55528673588293</c:v>
                </c:pt>
                <c:pt idx="854">
                  <c:v>131.98811863860226</c:v>
                </c:pt>
                <c:pt idx="855">
                  <c:v>132.06104025110977</c:v>
                </c:pt>
                <c:pt idx="856">
                  <c:v>132.39323870808846</c:v>
                </c:pt>
                <c:pt idx="857">
                  <c:v>132.55528673588293</c:v>
                </c:pt>
                <c:pt idx="858">
                  <c:v>132.63631074978016</c:v>
                </c:pt>
                <c:pt idx="859">
                  <c:v>130.36763836065751</c:v>
                </c:pt>
                <c:pt idx="860">
                  <c:v>130.77275843014371</c:v>
                </c:pt>
                <c:pt idx="861">
                  <c:v>129.81667506615628</c:v>
                </c:pt>
                <c:pt idx="862">
                  <c:v>128.82818209660996</c:v>
                </c:pt>
                <c:pt idx="863">
                  <c:v>127.45077386035692</c:v>
                </c:pt>
                <c:pt idx="864">
                  <c:v>126.0895704268833</c:v>
                </c:pt>
                <c:pt idx="865">
                  <c:v>125.95182960325798</c:v>
                </c:pt>
                <c:pt idx="866">
                  <c:v>126.3974616796928</c:v>
                </c:pt>
                <c:pt idx="867">
                  <c:v>123.33475395437716</c:v>
                </c:pt>
                <c:pt idx="868">
                  <c:v>124.77698140174802</c:v>
                </c:pt>
                <c:pt idx="869">
                  <c:v>125.36035430180813</c:v>
                </c:pt>
                <c:pt idx="870">
                  <c:v>129.23330216609617</c:v>
                </c:pt>
                <c:pt idx="871">
                  <c:v>130.4324575717753</c:v>
                </c:pt>
                <c:pt idx="872">
                  <c:v>129.23330216609617</c:v>
                </c:pt>
                <c:pt idx="873">
                  <c:v>130.28661434676027</c:v>
                </c:pt>
                <c:pt idx="874">
                  <c:v>129.80047026337684</c:v>
                </c:pt>
                <c:pt idx="875">
                  <c:v>130.44866237455477</c:v>
                </c:pt>
                <c:pt idx="876">
                  <c:v>130.10836151618639</c:v>
                </c:pt>
                <c:pt idx="877">
                  <c:v>129.80047026337687</c:v>
                </c:pt>
                <c:pt idx="878">
                  <c:v>129.67893424253103</c:v>
                </c:pt>
                <c:pt idx="879">
                  <c:v>128.01794195763762</c:v>
                </c:pt>
                <c:pt idx="880">
                  <c:v>130.59126463901393</c:v>
                </c:pt>
                <c:pt idx="881">
                  <c:v>121.83580969727829</c:v>
                </c:pt>
                <c:pt idx="882">
                  <c:v>132.15016666639681</c:v>
                </c:pt>
                <c:pt idx="883">
                  <c:v>131.25890251352718</c:v>
                </c:pt>
                <c:pt idx="884">
                  <c:v>130.93480645793821</c:v>
                </c:pt>
                <c:pt idx="885">
                  <c:v>130.61071040234924</c:v>
                </c:pt>
                <c:pt idx="886">
                  <c:v>131.82607061080785</c:v>
                </c:pt>
                <c:pt idx="887">
                  <c:v>132.15016666639681</c:v>
                </c:pt>
                <c:pt idx="888">
                  <c:v>132.89558759425142</c:v>
                </c:pt>
                <c:pt idx="889">
                  <c:v>134.05423099298193</c:v>
                </c:pt>
                <c:pt idx="890">
                  <c:v>135.91778331261844</c:v>
                </c:pt>
                <c:pt idx="891">
                  <c:v>136.03931933346431</c:v>
                </c:pt>
                <c:pt idx="892">
                  <c:v>136.12034334736154</c:v>
                </c:pt>
                <c:pt idx="893">
                  <c:v>135.26959120144051</c:v>
                </c:pt>
                <c:pt idx="894">
                  <c:v>135.31010320838914</c:v>
                </c:pt>
                <c:pt idx="895">
                  <c:v>135.87727130566981</c:v>
                </c:pt>
                <c:pt idx="896">
                  <c:v>135.87727130566981</c:v>
                </c:pt>
                <c:pt idx="897">
                  <c:v>135.55317525008087</c:v>
                </c:pt>
                <c:pt idx="898">
                  <c:v>131.23459530935801</c:v>
                </c:pt>
                <c:pt idx="899">
                  <c:v>135.55317525008084</c:v>
                </c:pt>
                <c:pt idx="900">
                  <c:v>136.78474026131886</c:v>
                </c:pt>
                <c:pt idx="901">
                  <c:v>138.34850372953557</c:v>
                </c:pt>
                <c:pt idx="902">
                  <c:v>139.36130390325104</c:v>
                </c:pt>
                <c:pt idx="903">
                  <c:v>140.75491694228356</c:v>
                </c:pt>
                <c:pt idx="904">
                  <c:v>142.52124044524339</c:v>
                </c:pt>
                <c:pt idx="905">
                  <c:v>145.03298487605778</c:v>
                </c:pt>
                <c:pt idx="906">
                  <c:v>147.46370529297496</c:v>
                </c:pt>
                <c:pt idx="907">
                  <c:v>147.86882536246117</c:v>
                </c:pt>
                <c:pt idx="908">
                  <c:v>147.86882536246117</c:v>
                </c:pt>
                <c:pt idx="909">
                  <c:v>147.88503016524061</c:v>
                </c:pt>
                <c:pt idx="910">
                  <c:v>147.62575332076941</c:v>
                </c:pt>
                <c:pt idx="911">
                  <c:v>146.65346515400256</c:v>
                </c:pt>
                <c:pt idx="912">
                  <c:v>146.65346515400256</c:v>
                </c:pt>
                <c:pt idx="913">
                  <c:v>146.04578504977329</c:v>
                </c:pt>
                <c:pt idx="914">
                  <c:v>146.24834508451639</c:v>
                </c:pt>
                <c:pt idx="915">
                  <c:v>146.82361558318678</c:v>
                </c:pt>
                <c:pt idx="916">
                  <c:v>147.46370529297496</c:v>
                </c:pt>
                <c:pt idx="917">
                  <c:v>149.00316155702251</c:v>
                </c:pt>
                <c:pt idx="918">
                  <c:v>146.00527304282465</c:v>
                </c:pt>
                <c:pt idx="919">
                  <c:v>146.65346515400259</c:v>
                </c:pt>
                <c:pt idx="920">
                  <c:v>146.57244114010535</c:v>
                </c:pt>
                <c:pt idx="921">
                  <c:v>146.16732107061918</c:v>
                </c:pt>
                <c:pt idx="922">
                  <c:v>145.84322501503021</c:v>
                </c:pt>
                <c:pt idx="923">
                  <c:v>146.97756120959156</c:v>
                </c:pt>
                <c:pt idx="924">
                  <c:v>149.18141438759645</c:v>
                </c:pt>
                <c:pt idx="925">
                  <c:v>148.5170174736391</c:v>
                </c:pt>
                <c:pt idx="926">
                  <c:v>149.73237768209768</c:v>
                </c:pt>
                <c:pt idx="927">
                  <c:v>152.40617014070656</c:v>
                </c:pt>
                <c:pt idx="928">
                  <c:v>153.94562640475411</c:v>
                </c:pt>
                <c:pt idx="929">
                  <c:v>155.36354664795579</c:v>
                </c:pt>
                <c:pt idx="930">
                  <c:v>155.16098661321269</c:v>
                </c:pt>
                <c:pt idx="931">
                  <c:v>157.51878541762233</c:v>
                </c:pt>
                <c:pt idx="932">
                  <c:v>156.98402692590057</c:v>
                </c:pt>
                <c:pt idx="933">
                  <c:v>157.2270989675923</c:v>
                </c:pt>
                <c:pt idx="934">
                  <c:v>162.03992539308828</c:v>
                </c:pt>
                <c:pt idx="935">
                  <c:v>159.61730737756085</c:v>
                </c:pt>
                <c:pt idx="936">
                  <c:v>160.42754751653322</c:v>
                </c:pt>
                <c:pt idx="937">
                  <c:v>157.75375505792434</c:v>
                </c:pt>
                <c:pt idx="938">
                  <c:v>153.1353862657817</c:v>
                </c:pt>
                <c:pt idx="939">
                  <c:v>154.26972246034305</c:v>
                </c:pt>
                <c:pt idx="940">
                  <c:v>151.51490598783693</c:v>
                </c:pt>
                <c:pt idx="941">
                  <c:v>153.1353862657817</c:v>
                </c:pt>
                <c:pt idx="942">
                  <c:v>152.3251461268093</c:v>
                </c:pt>
                <c:pt idx="943">
                  <c:v>153.1353862657817</c:v>
                </c:pt>
                <c:pt idx="944">
                  <c:v>153.94562640475408</c:v>
                </c:pt>
                <c:pt idx="945">
                  <c:v>152.3251461268093</c:v>
                </c:pt>
                <c:pt idx="946">
                  <c:v>154.63433052288062</c:v>
                </c:pt>
                <c:pt idx="947">
                  <c:v>156.0522507660823</c:v>
                </c:pt>
                <c:pt idx="948">
                  <c:v>155.36354664795579</c:v>
                </c:pt>
                <c:pt idx="949">
                  <c:v>156.22240119526651</c:v>
                </c:pt>
                <c:pt idx="950">
                  <c:v>155.97122675218506</c:v>
                </c:pt>
                <c:pt idx="951">
                  <c:v>156.81387649671635</c:v>
                </c:pt>
                <c:pt idx="952">
                  <c:v>158.48297118299948</c:v>
                </c:pt>
                <c:pt idx="953">
                  <c:v>159.61730737756082</c:v>
                </c:pt>
                <c:pt idx="954">
                  <c:v>158.40194716910224</c:v>
                </c:pt>
                <c:pt idx="955">
                  <c:v>154.02665041865134</c:v>
                </c:pt>
              </c:numCache>
            </c:numRef>
          </c:val>
          <c:smooth val="0"/>
          <c:extLst>
            <c:ext xmlns:c16="http://schemas.microsoft.com/office/drawing/2014/chart" uri="{C3380CC4-5D6E-409C-BE32-E72D297353CC}">
              <c16:uniqueId val="{00000002-3681-4EBC-BDC7-036968F800BB}"/>
            </c:ext>
          </c:extLst>
        </c:ser>
        <c:ser>
          <c:idx val="2"/>
          <c:order val="3"/>
          <c:tx>
            <c:strRef>
              <c:f>Sheet1!$E$1</c:f>
              <c:strCache>
                <c:ptCount val="1"/>
                <c:pt idx="0">
                  <c:v>Դոլարի ինդեքս</c:v>
                </c:pt>
              </c:strCache>
            </c:strRef>
          </c:tx>
          <c:spPr>
            <a:ln w="19050">
              <a:solidFill>
                <a:srgbClr val="ED7D31">
                  <a:lumMod val="60000"/>
                  <a:lumOff val="40000"/>
                </a:srgbClr>
              </a:solidFill>
            </a:ln>
          </c:spPr>
          <c:marker>
            <c:symbol val="none"/>
          </c:marker>
          <c:cat>
            <c:numRef>
              <c:f>Sheet1!$A$2:$A$890</c:f>
              <c:numCache>
                <c:formatCode>m\/d\/yyyy</c:formatCode>
                <c:ptCount val="889"/>
                <c:pt idx="0">
                  <c:v>43832</c:v>
                </c:pt>
                <c:pt idx="1">
                  <c:v>43833</c:v>
                </c:pt>
                <c:pt idx="2">
                  <c:v>43836</c:v>
                </c:pt>
                <c:pt idx="3">
                  <c:v>43837</c:v>
                </c:pt>
                <c:pt idx="4">
                  <c:v>43838</c:v>
                </c:pt>
                <c:pt idx="5">
                  <c:v>43839</c:v>
                </c:pt>
                <c:pt idx="6">
                  <c:v>43840</c:v>
                </c:pt>
                <c:pt idx="7">
                  <c:v>43843</c:v>
                </c:pt>
                <c:pt idx="8">
                  <c:v>43844</c:v>
                </c:pt>
                <c:pt idx="9">
                  <c:v>43845</c:v>
                </c:pt>
                <c:pt idx="10">
                  <c:v>43846</c:v>
                </c:pt>
                <c:pt idx="11">
                  <c:v>43847</c:v>
                </c:pt>
                <c:pt idx="12">
                  <c:v>43850</c:v>
                </c:pt>
                <c:pt idx="13">
                  <c:v>43851</c:v>
                </c:pt>
                <c:pt idx="14">
                  <c:v>43852</c:v>
                </c:pt>
                <c:pt idx="15">
                  <c:v>43853</c:v>
                </c:pt>
                <c:pt idx="16">
                  <c:v>43854</c:v>
                </c:pt>
                <c:pt idx="17">
                  <c:v>43857</c:v>
                </c:pt>
                <c:pt idx="18">
                  <c:v>43858</c:v>
                </c:pt>
                <c:pt idx="19">
                  <c:v>43859</c:v>
                </c:pt>
                <c:pt idx="20">
                  <c:v>43860</c:v>
                </c:pt>
                <c:pt idx="21">
                  <c:v>43861</c:v>
                </c:pt>
                <c:pt idx="22">
                  <c:v>43864</c:v>
                </c:pt>
                <c:pt idx="23">
                  <c:v>43865</c:v>
                </c:pt>
                <c:pt idx="24">
                  <c:v>43866</c:v>
                </c:pt>
                <c:pt idx="25">
                  <c:v>43867</c:v>
                </c:pt>
                <c:pt idx="26">
                  <c:v>43868</c:v>
                </c:pt>
                <c:pt idx="27">
                  <c:v>43871</c:v>
                </c:pt>
                <c:pt idx="28">
                  <c:v>43872</c:v>
                </c:pt>
                <c:pt idx="29">
                  <c:v>43873</c:v>
                </c:pt>
                <c:pt idx="30">
                  <c:v>43874</c:v>
                </c:pt>
                <c:pt idx="31">
                  <c:v>43875</c:v>
                </c:pt>
                <c:pt idx="32">
                  <c:v>43878</c:v>
                </c:pt>
                <c:pt idx="33">
                  <c:v>43879</c:v>
                </c:pt>
                <c:pt idx="34">
                  <c:v>43880</c:v>
                </c:pt>
                <c:pt idx="35">
                  <c:v>43881</c:v>
                </c:pt>
                <c:pt idx="36">
                  <c:v>43882</c:v>
                </c:pt>
                <c:pt idx="37">
                  <c:v>43885</c:v>
                </c:pt>
                <c:pt idx="38">
                  <c:v>43886</c:v>
                </c:pt>
                <c:pt idx="39">
                  <c:v>43887</c:v>
                </c:pt>
                <c:pt idx="40">
                  <c:v>43888</c:v>
                </c:pt>
                <c:pt idx="41">
                  <c:v>43889</c:v>
                </c:pt>
                <c:pt idx="42">
                  <c:v>43892</c:v>
                </c:pt>
                <c:pt idx="43">
                  <c:v>43893</c:v>
                </c:pt>
                <c:pt idx="44">
                  <c:v>43894</c:v>
                </c:pt>
                <c:pt idx="45">
                  <c:v>43895</c:v>
                </c:pt>
                <c:pt idx="46">
                  <c:v>43896</c:v>
                </c:pt>
                <c:pt idx="47">
                  <c:v>43899</c:v>
                </c:pt>
                <c:pt idx="48">
                  <c:v>43900</c:v>
                </c:pt>
                <c:pt idx="49">
                  <c:v>43901</c:v>
                </c:pt>
                <c:pt idx="50">
                  <c:v>43902</c:v>
                </c:pt>
                <c:pt idx="51">
                  <c:v>43903</c:v>
                </c:pt>
                <c:pt idx="52">
                  <c:v>43906</c:v>
                </c:pt>
                <c:pt idx="53">
                  <c:v>43907</c:v>
                </c:pt>
                <c:pt idx="54">
                  <c:v>43908</c:v>
                </c:pt>
                <c:pt idx="55">
                  <c:v>43909</c:v>
                </c:pt>
                <c:pt idx="56">
                  <c:v>43910</c:v>
                </c:pt>
                <c:pt idx="57">
                  <c:v>43913</c:v>
                </c:pt>
                <c:pt idx="58">
                  <c:v>43914</c:v>
                </c:pt>
                <c:pt idx="59">
                  <c:v>43915</c:v>
                </c:pt>
                <c:pt idx="60">
                  <c:v>43916</c:v>
                </c:pt>
                <c:pt idx="61">
                  <c:v>43917</c:v>
                </c:pt>
                <c:pt idx="62">
                  <c:v>43920</c:v>
                </c:pt>
                <c:pt idx="63">
                  <c:v>43921</c:v>
                </c:pt>
                <c:pt idx="64">
                  <c:v>43922</c:v>
                </c:pt>
                <c:pt idx="65">
                  <c:v>43923</c:v>
                </c:pt>
                <c:pt idx="66">
                  <c:v>43924</c:v>
                </c:pt>
                <c:pt idx="67">
                  <c:v>43927</c:v>
                </c:pt>
                <c:pt idx="68">
                  <c:v>43928</c:v>
                </c:pt>
                <c:pt idx="69">
                  <c:v>43929</c:v>
                </c:pt>
                <c:pt idx="70">
                  <c:v>43930</c:v>
                </c:pt>
                <c:pt idx="71">
                  <c:v>43934</c:v>
                </c:pt>
                <c:pt idx="72">
                  <c:v>43935</c:v>
                </c:pt>
                <c:pt idx="73">
                  <c:v>43936</c:v>
                </c:pt>
                <c:pt idx="74">
                  <c:v>43937</c:v>
                </c:pt>
                <c:pt idx="75">
                  <c:v>43938</c:v>
                </c:pt>
                <c:pt idx="76">
                  <c:v>43941</c:v>
                </c:pt>
                <c:pt idx="77">
                  <c:v>43942</c:v>
                </c:pt>
                <c:pt idx="78">
                  <c:v>43943</c:v>
                </c:pt>
                <c:pt idx="79">
                  <c:v>43944</c:v>
                </c:pt>
                <c:pt idx="80">
                  <c:v>43945</c:v>
                </c:pt>
                <c:pt idx="81">
                  <c:v>43948</c:v>
                </c:pt>
                <c:pt idx="82">
                  <c:v>43949</c:v>
                </c:pt>
                <c:pt idx="83">
                  <c:v>43950</c:v>
                </c:pt>
                <c:pt idx="84">
                  <c:v>43951</c:v>
                </c:pt>
                <c:pt idx="85">
                  <c:v>43952</c:v>
                </c:pt>
                <c:pt idx="86">
                  <c:v>43955</c:v>
                </c:pt>
                <c:pt idx="87">
                  <c:v>43956</c:v>
                </c:pt>
                <c:pt idx="88">
                  <c:v>43957</c:v>
                </c:pt>
                <c:pt idx="89">
                  <c:v>43958</c:v>
                </c:pt>
                <c:pt idx="90">
                  <c:v>43959</c:v>
                </c:pt>
                <c:pt idx="91">
                  <c:v>43962</c:v>
                </c:pt>
                <c:pt idx="92">
                  <c:v>43963</c:v>
                </c:pt>
                <c:pt idx="93">
                  <c:v>43964</c:v>
                </c:pt>
                <c:pt idx="94">
                  <c:v>43965</c:v>
                </c:pt>
                <c:pt idx="95">
                  <c:v>43966</c:v>
                </c:pt>
                <c:pt idx="96">
                  <c:v>43969</c:v>
                </c:pt>
                <c:pt idx="97">
                  <c:v>43970</c:v>
                </c:pt>
                <c:pt idx="98">
                  <c:v>43971</c:v>
                </c:pt>
                <c:pt idx="99">
                  <c:v>43972</c:v>
                </c:pt>
                <c:pt idx="100">
                  <c:v>43973</c:v>
                </c:pt>
                <c:pt idx="101">
                  <c:v>43976</c:v>
                </c:pt>
                <c:pt idx="102">
                  <c:v>43977</c:v>
                </c:pt>
                <c:pt idx="103">
                  <c:v>43978</c:v>
                </c:pt>
                <c:pt idx="104">
                  <c:v>43979</c:v>
                </c:pt>
                <c:pt idx="105">
                  <c:v>43980</c:v>
                </c:pt>
                <c:pt idx="106">
                  <c:v>43983</c:v>
                </c:pt>
                <c:pt idx="107">
                  <c:v>43984</c:v>
                </c:pt>
                <c:pt idx="108">
                  <c:v>43985</c:v>
                </c:pt>
                <c:pt idx="109">
                  <c:v>43986</c:v>
                </c:pt>
                <c:pt idx="110">
                  <c:v>43987</c:v>
                </c:pt>
                <c:pt idx="111">
                  <c:v>43990</c:v>
                </c:pt>
                <c:pt idx="112">
                  <c:v>43991</c:v>
                </c:pt>
                <c:pt idx="113">
                  <c:v>43992</c:v>
                </c:pt>
                <c:pt idx="114">
                  <c:v>43993</c:v>
                </c:pt>
                <c:pt idx="115">
                  <c:v>43994</c:v>
                </c:pt>
                <c:pt idx="116">
                  <c:v>43997</c:v>
                </c:pt>
                <c:pt idx="117">
                  <c:v>43998</c:v>
                </c:pt>
                <c:pt idx="118">
                  <c:v>43999</c:v>
                </c:pt>
                <c:pt idx="119">
                  <c:v>44000</c:v>
                </c:pt>
                <c:pt idx="120">
                  <c:v>44001</c:v>
                </c:pt>
                <c:pt idx="121">
                  <c:v>44004</c:v>
                </c:pt>
                <c:pt idx="122">
                  <c:v>44005</c:v>
                </c:pt>
                <c:pt idx="123">
                  <c:v>44006</c:v>
                </c:pt>
                <c:pt idx="124">
                  <c:v>44007</c:v>
                </c:pt>
                <c:pt idx="125">
                  <c:v>44008</c:v>
                </c:pt>
                <c:pt idx="126">
                  <c:v>44011</c:v>
                </c:pt>
                <c:pt idx="127">
                  <c:v>44012</c:v>
                </c:pt>
                <c:pt idx="128">
                  <c:v>44013</c:v>
                </c:pt>
                <c:pt idx="129">
                  <c:v>44014</c:v>
                </c:pt>
                <c:pt idx="130">
                  <c:v>44015</c:v>
                </c:pt>
                <c:pt idx="131">
                  <c:v>44018</c:v>
                </c:pt>
                <c:pt idx="132">
                  <c:v>44019</c:v>
                </c:pt>
                <c:pt idx="133">
                  <c:v>44020</c:v>
                </c:pt>
                <c:pt idx="134">
                  <c:v>44021</c:v>
                </c:pt>
                <c:pt idx="135">
                  <c:v>44022</c:v>
                </c:pt>
                <c:pt idx="136">
                  <c:v>44025</c:v>
                </c:pt>
                <c:pt idx="137">
                  <c:v>44026</c:v>
                </c:pt>
                <c:pt idx="138">
                  <c:v>44027</c:v>
                </c:pt>
                <c:pt idx="139">
                  <c:v>44028</c:v>
                </c:pt>
                <c:pt idx="140">
                  <c:v>44029</c:v>
                </c:pt>
                <c:pt idx="141">
                  <c:v>44032</c:v>
                </c:pt>
                <c:pt idx="142">
                  <c:v>44033</c:v>
                </c:pt>
                <c:pt idx="143">
                  <c:v>44034</c:v>
                </c:pt>
                <c:pt idx="144">
                  <c:v>44035</c:v>
                </c:pt>
                <c:pt idx="145">
                  <c:v>44036</c:v>
                </c:pt>
                <c:pt idx="146">
                  <c:v>44039</c:v>
                </c:pt>
                <c:pt idx="147">
                  <c:v>44040</c:v>
                </c:pt>
                <c:pt idx="148">
                  <c:v>44041</c:v>
                </c:pt>
                <c:pt idx="149">
                  <c:v>44042</c:v>
                </c:pt>
                <c:pt idx="150">
                  <c:v>44043</c:v>
                </c:pt>
                <c:pt idx="151">
                  <c:v>44046</c:v>
                </c:pt>
                <c:pt idx="152">
                  <c:v>44047</c:v>
                </c:pt>
                <c:pt idx="153">
                  <c:v>44048</c:v>
                </c:pt>
                <c:pt idx="154">
                  <c:v>44049</c:v>
                </c:pt>
                <c:pt idx="155">
                  <c:v>44050</c:v>
                </c:pt>
                <c:pt idx="156">
                  <c:v>44053</c:v>
                </c:pt>
                <c:pt idx="157">
                  <c:v>44054</c:v>
                </c:pt>
                <c:pt idx="158">
                  <c:v>44055</c:v>
                </c:pt>
                <c:pt idx="159">
                  <c:v>44056</c:v>
                </c:pt>
                <c:pt idx="160">
                  <c:v>44057</c:v>
                </c:pt>
                <c:pt idx="161">
                  <c:v>44060</c:v>
                </c:pt>
                <c:pt idx="162">
                  <c:v>44061</c:v>
                </c:pt>
                <c:pt idx="163">
                  <c:v>44062</c:v>
                </c:pt>
                <c:pt idx="164">
                  <c:v>44063</c:v>
                </c:pt>
                <c:pt idx="165">
                  <c:v>44064</c:v>
                </c:pt>
                <c:pt idx="166">
                  <c:v>44067</c:v>
                </c:pt>
                <c:pt idx="167">
                  <c:v>44068</c:v>
                </c:pt>
                <c:pt idx="168">
                  <c:v>44069</c:v>
                </c:pt>
                <c:pt idx="169">
                  <c:v>44070</c:v>
                </c:pt>
                <c:pt idx="170">
                  <c:v>44071</c:v>
                </c:pt>
                <c:pt idx="171">
                  <c:v>44074</c:v>
                </c:pt>
                <c:pt idx="172">
                  <c:v>44075</c:v>
                </c:pt>
                <c:pt idx="173">
                  <c:v>44076</c:v>
                </c:pt>
                <c:pt idx="174">
                  <c:v>44077</c:v>
                </c:pt>
                <c:pt idx="175">
                  <c:v>44078</c:v>
                </c:pt>
                <c:pt idx="176">
                  <c:v>44081</c:v>
                </c:pt>
                <c:pt idx="177">
                  <c:v>44082</c:v>
                </c:pt>
                <c:pt idx="178">
                  <c:v>44083</c:v>
                </c:pt>
                <c:pt idx="179">
                  <c:v>44084</c:v>
                </c:pt>
                <c:pt idx="180">
                  <c:v>44085</c:v>
                </c:pt>
                <c:pt idx="181">
                  <c:v>44088</c:v>
                </c:pt>
                <c:pt idx="182">
                  <c:v>44089</c:v>
                </c:pt>
                <c:pt idx="183">
                  <c:v>44090</c:v>
                </c:pt>
                <c:pt idx="184">
                  <c:v>44091</c:v>
                </c:pt>
                <c:pt idx="185">
                  <c:v>44092</c:v>
                </c:pt>
                <c:pt idx="186">
                  <c:v>44095</c:v>
                </c:pt>
                <c:pt idx="187">
                  <c:v>44096</c:v>
                </c:pt>
                <c:pt idx="188">
                  <c:v>44097</c:v>
                </c:pt>
                <c:pt idx="189">
                  <c:v>44098</c:v>
                </c:pt>
                <c:pt idx="190">
                  <c:v>44099</c:v>
                </c:pt>
                <c:pt idx="191">
                  <c:v>44102</c:v>
                </c:pt>
                <c:pt idx="192">
                  <c:v>44103</c:v>
                </c:pt>
                <c:pt idx="193">
                  <c:v>44104</c:v>
                </c:pt>
                <c:pt idx="194">
                  <c:v>44105</c:v>
                </c:pt>
                <c:pt idx="195">
                  <c:v>44106</c:v>
                </c:pt>
                <c:pt idx="196">
                  <c:v>44109</c:v>
                </c:pt>
                <c:pt idx="197">
                  <c:v>44110</c:v>
                </c:pt>
                <c:pt idx="198">
                  <c:v>44111</c:v>
                </c:pt>
                <c:pt idx="199">
                  <c:v>44112</c:v>
                </c:pt>
                <c:pt idx="200">
                  <c:v>44113</c:v>
                </c:pt>
                <c:pt idx="201">
                  <c:v>44116</c:v>
                </c:pt>
                <c:pt idx="202">
                  <c:v>44117</c:v>
                </c:pt>
                <c:pt idx="203">
                  <c:v>44118</c:v>
                </c:pt>
                <c:pt idx="204">
                  <c:v>44119</c:v>
                </c:pt>
                <c:pt idx="205">
                  <c:v>44120</c:v>
                </c:pt>
                <c:pt idx="206">
                  <c:v>44123</c:v>
                </c:pt>
                <c:pt idx="207">
                  <c:v>44124</c:v>
                </c:pt>
                <c:pt idx="208">
                  <c:v>44125</c:v>
                </c:pt>
                <c:pt idx="209">
                  <c:v>44126</c:v>
                </c:pt>
                <c:pt idx="210">
                  <c:v>44127</c:v>
                </c:pt>
                <c:pt idx="211">
                  <c:v>44130</c:v>
                </c:pt>
                <c:pt idx="212">
                  <c:v>44131</c:v>
                </c:pt>
                <c:pt idx="213">
                  <c:v>44132</c:v>
                </c:pt>
                <c:pt idx="214">
                  <c:v>44133</c:v>
                </c:pt>
                <c:pt idx="215">
                  <c:v>44134</c:v>
                </c:pt>
                <c:pt idx="216">
                  <c:v>44137</c:v>
                </c:pt>
                <c:pt idx="217">
                  <c:v>44138</c:v>
                </c:pt>
                <c:pt idx="218">
                  <c:v>44139</c:v>
                </c:pt>
                <c:pt idx="219">
                  <c:v>44140</c:v>
                </c:pt>
                <c:pt idx="220">
                  <c:v>44141</c:v>
                </c:pt>
                <c:pt idx="221">
                  <c:v>44144</c:v>
                </c:pt>
                <c:pt idx="222">
                  <c:v>44145</c:v>
                </c:pt>
                <c:pt idx="223">
                  <c:v>44146</c:v>
                </c:pt>
                <c:pt idx="224">
                  <c:v>44147</c:v>
                </c:pt>
                <c:pt idx="225">
                  <c:v>44148</c:v>
                </c:pt>
                <c:pt idx="226">
                  <c:v>44151</c:v>
                </c:pt>
                <c:pt idx="227">
                  <c:v>44152</c:v>
                </c:pt>
                <c:pt idx="228">
                  <c:v>44153</c:v>
                </c:pt>
                <c:pt idx="229">
                  <c:v>44154</c:v>
                </c:pt>
                <c:pt idx="230">
                  <c:v>44155</c:v>
                </c:pt>
                <c:pt idx="231">
                  <c:v>44158</c:v>
                </c:pt>
                <c:pt idx="232">
                  <c:v>44159</c:v>
                </c:pt>
                <c:pt idx="233">
                  <c:v>44160</c:v>
                </c:pt>
                <c:pt idx="234">
                  <c:v>44161</c:v>
                </c:pt>
                <c:pt idx="235">
                  <c:v>44162</c:v>
                </c:pt>
                <c:pt idx="236">
                  <c:v>44165</c:v>
                </c:pt>
                <c:pt idx="237">
                  <c:v>44166</c:v>
                </c:pt>
                <c:pt idx="238">
                  <c:v>44167</c:v>
                </c:pt>
                <c:pt idx="239">
                  <c:v>44168</c:v>
                </c:pt>
                <c:pt idx="240">
                  <c:v>44169</c:v>
                </c:pt>
                <c:pt idx="241">
                  <c:v>44172</c:v>
                </c:pt>
                <c:pt idx="242">
                  <c:v>44173</c:v>
                </c:pt>
                <c:pt idx="243">
                  <c:v>44174</c:v>
                </c:pt>
                <c:pt idx="244">
                  <c:v>44175</c:v>
                </c:pt>
                <c:pt idx="245">
                  <c:v>44176</c:v>
                </c:pt>
                <c:pt idx="246">
                  <c:v>44179</c:v>
                </c:pt>
                <c:pt idx="247">
                  <c:v>44180</c:v>
                </c:pt>
                <c:pt idx="248">
                  <c:v>44181</c:v>
                </c:pt>
                <c:pt idx="249">
                  <c:v>44182</c:v>
                </c:pt>
                <c:pt idx="250">
                  <c:v>44183</c:v>
                </c:pt>
                <c:pt idx="251">
                  <c:v>44186</c:v>
                </c:pt>
                <c:pt idx="252">
                  <c:v>44187</c:v>
                </c:pt>
                <c:pt idx="253">
                  <c:v>44188</c:v>
                </c:pt>
                <c:pt idx="254">
                  <c:v>44189</c:v>
                </c:pt>
                <c:pt idx="255">
                  <c:v>44193</c:v>
                </c:pt>
                <c:pt idx="256">
                  <c:v>44194</c:v>
                </c:pt>
                <c:pt idx="257">
                  <c:v>44195</c:v>
                </c:pt>
                <c:pt idx="258">
                  <c:v>44196</c:v>
                </c:pt>
                <c:pt idx="259">
                  <c:v>44200</c:v>
                </c:pt>
                <c:pt idx="260">
                  <c:v>44201</c:v>
                </c:pt>
                <c:pt idx="261">
                  <c:v>44202</c:v>
                </c:pt>
                <c:pt idx="262">
                  <c:v>44203</c:v>
                </c:pt>
                <c:pt idx="263">
                  <c:v>44204</c:v>
                </c:pt>
                <c:pt idx="264">
                  <c:v>44207</c:v>
                </c:pt>
                <c:pt idx="265">
                  <c:v>44208</c:v>
                </c:pt>
                <c:pt idx="266">
                  <c:v>44209</c:v>
                </c:pt>
                <c:pt idx="267">
                  <c:v>44210</c:v>
                </c:pt>
                <c:pt idx="268">
                  <c:v>44211</c:v>
                </c:pt>
                <c:pt idx="269">
                  <c:v>44214</c:v>
                </c:pt>
                <c:pt idx="270">
                  <c:v>44215</c:v>
                </c:pt>
                <c:pt idx="271">
                  <c:v>44216</c:v>
                </c:pt>
                <c:pt idx="272">
                  <c:v>44217</c:v>
                </c:pt>
                <c:pt idx="273">
                  <c:v>44218</c:v>
                </c:pt>
                <c:pt idx="274">
                  <c:v>44221</c:v>
                </c:pt>
                <c:pt idx="275">
                  <c:v>44222</c:v>
                </c:pt>
                <c:pt idx="276">
                  <c:v>44223</c:v>
                </c:pt>
                <c:pt idx="277">
                  <c:v>44224</c:v>
                </c:pt>
                <c:pt idx="278">
                  <c:v>44225</c:v>
                </c:pt>
                <c:pt idx="279">
                  <c:v>44228</c:v>
                </c:pt>
                <c:pt idx="280">
                  <c:v>44229</c:v>
                </c:pt>
                <c:pt idx="281">
                  <c:v>44230</c:v>
                </c:pt>
                <c:pt idx="282">
                  <c:v>44231</c:v>
                </c:pt>
                <c:pt idx="283">
                  <c:v>44232</c:v>
                </c:pt>
                <c:pt idx="284">
                  <c:v>44235</c:v>
                </c:pt>
                <c:pt idx="285">
                  <c:v>44236</c:v>
                </c:pt>
                <c:pt idx="286">
                  <c:v>44237</c:v>
                </c:pt>
                <c:pt idx="287">
                  <c:v>44238</c:v>
                </c:pt>
                <c:pt idx="288">
                  <c:v>44239</c:v>
                </c:pt>
                <c:pt idx="289">
                  <c:v>44242</c:v>
                </c:pt>
                <c:pt idx="290">
                  <c:v>44243</c:v>
                </c:pt>
                <c:pt idx="291">
                  <c:v>44244</c:v>
                </c:pt>
                <c:pt idx="292">
                  <c:v>44245</c:v>
                </c:pt>
                <c:pt idx="293">
                  <c:v>44246</c:v>
                </c:pt>
                <c:pt idx="294">
                  <c:v>44249</c:v>
                </c:pt>
                <c:pt idx="295">
                  <c:v>44250</c:v>
                </c:pt>
                <c:pt idx="296">
                  <c:v>44251</c:v>
                </c:pt>
                <c:pt idx="297">
                  <c:v>44252</c:v>
                </c:pt>
                <c:pt idx="298">
                  <c:v>44253</c:v>
                </c:pt>
                <c:pt idx="299">
                  <c:v>44256</c:v>
                </c:pt>
                <c:pt idx="300">
                  <c:v>44257</c:v>
                </c:pt>
                <c:pt idx="301">
                  <c:v>44258</c:v>
                </c:pt>
                <c:pt idx="302">
                  <c:v>44259</c:v>
                </c:pt>
                <c:pt idx="303">
                  <c:v>44260</c:v>
                </c:pt>
                <c:pt idx="304">
                  <c:v>44263</c:v>
                </c:pt>
                <c:pt idx="305">
                  <c:v>44264</c:v>
                </c:pt>
                <c:pt idx="306">
                  <c:v>44265</c:v>
                </c:pt>
                <c:pt idx="307">
                  <c:v>44266</c:v>
                </c:pt>
                <c:pt idx="308">
                  <c:v>44267</c:v>
                </c:pt>
                <c:pt idx="309">
                  <c:v>44270</c:v>
                </c:pt>
                <c:pt idx="310">
                  <c:v>44271</c:v>
                </c:pt>
                <c:pt idx="311">
                  <c:v>44272</c:v>
                </c:pt>
                <c:pt idx="312">
                  <c:v>44273</c:v>
                </c:pt>
                <c:pt idx="313">
                  <c:v>44274</c:v>
                </c:pt>
                <c:pt idx="314">
                  <c:v>44277</c:v>
                </c:pt>
                <c:pt idx="315">
                  <c:v>44278</c:v>
                </c:pt>
                <c:pt idx="316">
                  <c:v>44279</c:v>
                </c:pt>
                <c:pt idx="317">
                  <c:v>44280</c:v>
                </c:pt>
                <c:pt idx="318">
                  <c:v>44281</c:v>
                </c:pt>
                <c:pt idx="319">
                  <c:v>44284</c:v>
                </c:pt>
                <c:pt idx="320">
                  <c:v>44285</c:v>
                </c:pt>
                <c:pt idx="321">
                  <c:v>44286</c:v>
                </c:pt>
                <c:pt idx="322">
                  <c:v>44287</c:v>
                </c:pt>
                <c:pt idx="323">
                  <c:v>44288</c:v>
                </c:pt>
                <c:pt idx="324">
                  <c:v>44291</c:v>
                </c:pt>
                <c:pt idx="325">
                  <c:v>44292</c:v>
                </c:pt>
                <c:pt idx="326">
                  <c:v>44293</c:v>
                </c:pt>
                <c:pt idx="327">
                  <c:v>44294</c:v>
                </c:pt>
                <c:pt idx="328">
                  <c:v>44295</c:v>
                </c:pt>
                <c:pt idx="329">
                  <c:v>44298</c:v>
                </c:pt>
                <c:pt idx="330">
                  <c:v>44299</c:v>
                </c:pt>
                <c:pt idx="331">
                  <c:v>44300</c:v>
                </c:pt>
                <c:pt idx="332">
                  <c:v>44301</c:v>
                </c:pt>
                <c:pt idx="333">
                  <c:v>44302</c:v>
                </c:pt>
                <c:pt idx="334">
                  <c:v>44305</c:v>
                </c:pt>
                <c:pt idx="335">
                  <c:v>44306</c:v>
                </c:pt>
                <c:pt idx="336">
                  <c:v>44307</c:v>
                </c:pt>
                <c:pt idx="337">
                  <c:v>44308</c:v>
                </c:pt>
                <c:pt idx="338">
                  <c:v>44309</c:v>
                </c:pt>
                <c:pt idx="339">
                  <c:v>44312</c:v>
                </c:pt>
                <c:pt idx="340">
                  <c:v>44313</c:v>
                </c:pt>
                <c:pt idx="341">
                  <c:v>44314</c:v>
                </c:pt>
                <c:pt idx="342">
                  <c:v>44315</c:v>
                </c:pt>
                <c:pt idx="343">
                  <c:v>44316</c:v>
                </c:pt>
                <c:pt idx="344">
                  <c:v>44319</c:v>
                </c:pt>
                <c:pt idx="345">
                  <c:v>44320</c:v>
                </c:pt>
                <c:pt idx="346">
                  <c:v>44321</c:v>
                </c:pt>
                <c:pt idx="347">
                  <c:v>44322</c:v>
                </c:pt>
                <c:pt idx="348">
                  <c:v>44323</c:v>
                </c:pt>
                <c:pt idx="349">
                  <c:v>44326</c:v>
                </c:pt>
                <c:pt idx="350">
                  <c:v>44327</c:v>
                </c:pt>
                <c:pt idx="351">
                  <c:v>44328</c:v>
                </c:pt>
                <c:pt idx="352">
                  <c:v>44329</c:v>
                </c:pt>
                <c:pt idx="353">
                  <c:v>44330</c:v>
                </c:pt>
                <c:pt idx="354">
                  <c:v>44333</c:v>
                </c:pt>
                <c:pt idx="355">
                  <c:v>44334</c:v>
                </c:pt>
                <c:pt idx="356">
                  <c:v>44335</c:v>
                </c:pt>
                <c:pt idx="357">
                  <c:v>44336</c:v>
                </c:pt>
                <c:pt idx="358">
                  <c:v>44337</c:v>
                </c:pt>
                <c:pt idx="359">
                  <c:v>44340</c:v>
                </c:pt>
                <c:pt idx="360">
                  <c:v>44341</c:v>
                </c:pt>
                <c:pt idx="361">
                  <c:v>44342</c:v>
                </c:pt>
                <c:pt idx="362">
                  <c:v>44343</c:v>
                </c:pt>
                <c:pt idx="363">
                  <c:v>44344</c:v>
                </c:pt>
                <c:pt idx="364">
                  <c:v>44347</c:v>
                </c:pt>
                <c:pt idx="365">
                  <c:v>44348</c:v>
                </c:pt>
                <c:pt idx="366">
                  <c:v>44349</c:v>
                </c:pt>
                <c:pt idx="367">
                  <c:v>44350</c:v>
                </c:pt>
                <c:pt idx="368">
                  <c:v>44351</c:v>
                </c:pt>
                <c:pt idx="369">
                  <c:v>44354</c:v>
                </c:pt>
                <c:pt idx="370">
                  <c:v>44355</c:v>
                </c:pt>
                <c:pt idx="371">
                  <c:v>44356</c:v>
                </c:pt>
                <c:pt idx="372">
                  <c:v>44357</c:v>
                </c:pt>
                <c:pt idx="373">
                  <c:v>44358</c:v>
                </c:pt>
                <c:pt idx="374">
                  <c:v>44361</c:v>
                </c:pt>
                <c:pt idx="375">
                  <c:v>44362</c:v>
                </c:pt>
                <c:pt idx="376">
                  <c:v>44363</c:v>
                </c:pt>
                <c:pt idx="377">
                  <c:v>44364</c:v>
                </c:pt>
                <c:pt idx="378">
                  <c:v>44365</c:v>
                </c:pt>
                <c:pt idx="379">
                  <c:v>44368</c:v>
                </c:pt>
                <c:pt idx="380">
                  <c:v>44369</c:v>
                </c:pt>
                <c:pt idx="381">
                  <c:v>44370</c:v>
                </c:pt>
                <c:pt idx="382">
                  <c:v>44371</c:v>
                </c:pt>
                <c:pt idx="383">
                  <c:v>44372</c:v>
                </c:pt>
                <c:pt idx="384">
                  <c:v>44375</c:v>
                </c:pt>
                <c:pt idx="385">
                  <c:v>44376</c:v>
                </c:pt>
                <c:pt idx="386">
                  <c:v>44377</c:v>
                </c:pt>
                <c:pt idx="387">
                  <c:v>44378</c:v>
                </c:pt>
                <c:pt idx="388">
                  <c:v>44379</c:v>
                </c:pt>
                <c:pt idx="389">
                  <c:v>44382</c:v>
                </c:pt>
                <c:pt idx="390">
                  <c:v>44383</c:v>
                </c:pt>
                <c:pt idx="391">
                  <c:v>44384</c:v>
                </c:pt>
                <c:pt idx="392">
                  <c:v>44385</c:v>
                </c:pt>
                <c:pt idx="393">
                  <c:v>44386</c:v>
                </c:pt>
                <c:pt idx="394">
                  <c:v>44389</c:v>
                </c:pt>
                <c:pt idx="395">
                  <c:v>44390</c:v>
                </c:pt>
                <c:pt idx="396">
                  <c:v>44391</c:v>
                </c:pt>
                <c:pt idx="397">
                  <c:v>44392</c:v>
                </c:pt>
                <c:pt idx="398">
                  <c:v>44393</c:v>
                </c:pt>
                <c:pt idx="399">
                  <c:v>44396</c:v>
                </c:pt>
                <c:pt idx="400">
                  <c:v>44397</c:v>
                </c:pt>
                <c:pt idx="401">
                  <c:v>44398</c:v>
                </c:pt>
                <c:pt idx="402">
                  <c:v>44399</c:v>
                </c:pt>
                <c:pt idx="403">
                  <c:v>44400</c:v>
                </c:pt>
                <c:pt idx="404">
                  <c:v>44403</c:v>
                </c:pt>
                <c:pt idx="405">
                  <c:v>44404</c:v>
                </c:pt>
                <c:pt idx="406">
                  <c:v>44405</c:v>
                </c:pt>
                <c:pt idx="407">
                  <c:v>44406</c:v>
                </c:pt>
                <c:pt idx="408">
                  <c:v>44407</c:v>
                </c:pt>
                <c:pt idx="409">
                  <c:v>44410</c:v>
                </c:pt>
                <c:pt idx="410">
                  <c:v>44411</c:v>
                </c:pt>
                <c:pt idx="411">
                  <c:v>44412</c:v>
                </c:pt>
                <c:pt idx="412">
                  <c:v>44413</c:v>
                </c:pt>
                <c:pt idx="413">
                  <c:v>44414</c:v>
                </c:pt>
                <c:pt idx="414">
                  <c:v>44417</c:v>
                </c:pt>
                <c:pt idx="415">
                  <c:v>44418</c:v>
                </c:pt>
                <c:pt idx="416">
                  <c:v>44419</c:v>
                </c:pt>
                <c:pt idx="417">
                  <c:v>44420</c:v>
                </c:pt>
                <c:pt idx="418">
                  <c:v>44421</c:v>
                </c:pt>
                <c:pt idx="419">
                  <c:v>44424</c:v>
                </c:pt>
                <c:pt idx="420">
                  <c:v>44425</c:v>
                </c:pt>
                <c:pt idx="421">
                  <c:v>44426</c:v>
                </c:pt>
                <c:pt idx="422">
                  <c:v>44427</c:v>
                </c:pt>
                <c:pt idx="423">
                  <c:v>44428</c:v>
                </c:pt>
                <c:pt idx="424">
                  <c:v>44431</c:v>
                </c:pt>
                <c:pt idx="425">
                  <c:v>44432</c:v>
                </c:pt>
                <c:pt idx="426">
                  <c:v>44433</c:v>
                </c:pt>
                <c:pt idx="427">
                  <c:v>44434</c:v>
                </c:pt>
                <c:pt idx="428">
                  <c:v>44435</c:v>
                </c:pt>
                <c:pt idx="429">
                  <c:v>44438</c:v>
                </c:pt>
                <c:pt idx="430">
                  <c:v>44439</c:v>
                </c:pt>
                <c:pt idx="431">
                  <c:v>44440</c:v>
                </c:pt>
                <c:pt idx="432">
                  <c:v>44441</c:v>
                </c:pt>
                <c:pt idx="433">
                  <c:v>44442</c:v>
                </c:pt>
                <c:pt idx="434">
                  <c:v>44445</c:v>
                </c:pt>
                <c:pt idx="435">
                  <c:v>44446</c:v>
                </c:pt>
                <c:pt idx="436">
                  <c:v>44447</c:v>
                </c:pt>
                <c:pt idx="437">
                  <c:v>44448</c:v>
                </c:pt>
                <c:pt idx="438">
                  <c:v>44449</c:v>
                </c:pt>
                <c:pt idx="439">
                  <c:v>44452</c:v>
                </c:pt>
                <c:pt idx="440">
                  <c:v>44453</c:v>
                </c:pt>
                <c:pt idx="441">
                  <c:v>44454</c:v>
                </c:pt>
                <c:pt idx="442">
                  <c:v>44455</c:v>
                </c:pt>
                <c:pt idx="443">
                  <c:v>44456</c:v>
                </c:pt>
                <c:pt idx="444">
                  <c:v>44459</c:v>
                </c:pt>
                <c:pt idx="445">
                  <c:v>44460</c:v>
                </c:pt>
                <c:pt idx="446">
                  <c:v>44461</c:v>
                </c:pt>
                <c:pt idx="447">
                  <c:v>44462</c:v>
                </c:pt>
                <c:pt idx="448">
                  <c:v>44463</c:v>
                </c:pt>
                <c:pt idx="449">
                  <c:v>44466</c:v>
                </c:pt>
                <c:pt idx="450">
                  <c:v>44467</c:v>
                </c:pt>
                <c:pt idx="451">
                  <c:v>44468</c:v>
                </c:pt>
                <c:pt idx="452">
                  <c:v>44469</c:v>
                </c:pt>
                <c:pt idx="453">
                  <c:v>44470</c:v>
                </c:pt>
                <c:pt idx="454">
                  <c:v>44473</c:v>
                </c:pt>
                <c:pt idx="455">
                  <c:v>44474</c:v>
                </c:pt>
                <c:pt idx="456">
                  <c:v>44475</c:v>
                </c:pt>
                <c:pt idx="457">
                  <c:v>44476</c:v>
                </c:pt>
                <c:pt idx="458">
                  <c:v>44477</c:v>
                </c:pt>
                <c:pt idx="459">
                  <c:v>44480</c:v>
                </c:pt>
                <c:pt idx="460">
                  <c:v>44481</c:v>
                </c:pt>
                <c:pt idx="461">
                  <c:v>44482</c:v>
                </c:pt>
                <c:pt idx="462">
                  <c:v>44483</c:v>
                </c:pt>
                <c:pt idx="463">
                  <c:v>44484</c:v>
                </c:pt>
                <c:pt idx="464">
                  <c:v>44487</c:v>
                </c:pt>
                <c:pt idx="465">
                  <c:v>44488</c:v>
                </c:pt>
                <c:pt idx="466">
                  <c:v>44489</c:v>
                </c:pt>
                <c:pt idx="467">
                  <c:v>44490</c:v>
                </c:pt>
                <c:pt idx="468">
                  <c:v>44491</c:v>
                </c:pt>
                <c:pt idx="469">
                  <c:v>44494</c:v>
                </c:pt>
                <c:pt idx="470">
                  <c:v>44495</c:v>
                </c:pt>
                <c:pt idx="471">
                  <c:v>44496</c:v>
                </c:pt>
                <c:pt idx="472">
                  <c:v>44497</c:v>
                </c:pt>
                <c:pt idx="473">
                  <c:v>44498</c:v>
                </c:pt>
                <c:pt idx="474">
                  <c:v>44501</c:v>
                </c:pt>
                <c:pt idx="475">
                  <c:v>44502</c:v>
                </c:pt>
                <c:pt idx="476">
                  <c:v>44503</c:v>
                </c:pt>
                <c:pt idx="477">
                  <c:v>44504</c:v>
                </c:pt>
                <c:pt idx="478">
                  <c:v>44505</c:v>
                </c:pt>
                <c:pt idx="479">
                  <c:v>44508</c:v>
                </c:pt>
                <c:pt idx="480">
                  <c:v>44509</c:v>
                </c:pt>
                <c:pt idx="481">
                  <c:v>44510</c:v>
                </c:pt>
                <c:pt idx="482">
                  <c:v>44511</c:v>
                </c:pt>
                <c:pt idx="483">
                  <c:v>44512</c:v>
                </c:pt>
                <c:pt idx="484">
                  <c:v>44515</c:v>
                </c:pt>
                <c:pt idx="485">
                  <c:v>44516</c:v>
                </c:pt>
                <c:pt idx="486">
                  <c:v>44517</c:v>
                </c:pt>
                <c:pt idx="487">
                  <c:v>44518</c:v>
                </c:pt>
                <c:pt idx="488">
                  <c:v>44519</c:v>
                </c:pt>
                <c:pt idx="489">
                  <c:v>44522</c:v>
                </c:pt>
                <c:pt idx="490">
                  <c:v>44523</c:v>
                </c:pt>
                <c:pt idx="491">
                  <c:v>44524</c:v>
                </c:pt>
                <c:pt idx="492">
                  <c:v>44525</c:v>
                </c:pt>
                <c:pt idx="493">
                  <c:v>44526</c:v>
                </c:pt>
                <c:pt idx="494">
                  <c:v>44529</c:v>
                </c:pt>
                <c:pt idx="495">
                  <c:v>44530</c:v>
                </c:pt>
                <c:pt idx="496">
                  <c:v>44531</c:v>
                </c:pt>
                <c:pt idx="497">
                  <c:v>44532</c:v>
                </c:pt>
                <c:pt idx="498">
                  <c:v>44533</c:v>
                </c:pt>
                <c:pt idx="499">
                  <c:v>44536</c:v>
                </c:pt>
                <c:pt idx="500">
                  <c:v>44537</c:v>
                </c:pt>
                <c:pt idx="501">
                  <c:v>44538</c:v>
                </c:pt>
                <c:pt idx="502">
                  <c:v>44539</c:v>
                </c:pt>
                <c:pt idx="503">
                  <c:v>44540</c:v>
                </c:pt>
                <c:pt idx="504">
                  <c:v>44543</c:v>
                </c:pt>
                <c:pt idx="505">
                  <c:v>44544</c:v>
                </c:pt>
                <c:pt idx="506">
                  <c:v>44545</c:v>
                </c:pt>
                <c:pt idx="507">
                  <c:v>44546</c:v>
                </c:pt>
                <c:pt idx="508">
                  <c:v>44547</c:v>
                </c:pt>
                <c:pt idx="509">
                  <c:v>44550</c:v>
                </c:pt>
                <c:pt idx="510">
                  <c:v>44551</c:v>
                </c:pt>
                <c:pt idx="511">
                  <c:v>44552</c:v>
                </c:pt>
                <c:pt idx="512">
                  <c:v>44553</c:v>
                </c:pt>
                <c:pt idx="513">
                  <c:v>44557</c:v>
                </c:pt>
                <c:pt idx="514">
                  <c:v>44558</c:v>
                </c:pt>
                <c:pt idx="515">
                  <c:v>44559</c:v>
                </c:pt>
                <c:pt idx="516">
                  <c:v>44560</c:v>
                </c:pt>
                <c:pt idx="517">
                  <c:v>44561</c:v>
                </c:pt>
                <c:pt idx="518">
                  <c:v>44564</c:v>
                </c:pt>
                <c:pt idx="519">
                  <c:v>44565</c:v>
                </c:pt>
                <c:pt idx="520">
                  <c:v>44566</c:v>
                </c:pt>
                <c:pt idx="521">
                  <c:v>44567</c:v>
                </c:pt>
                <c:pt idx="522">
                  <c:v>44568</c:v>
                </c:pt>
                <c:pt idx="523">
                  <c:v>44571</c:v>
                </c:pt>
                <c:pt idx="524">
                  <c:v>44572</c:v>
                </c:pt>
                <c:pt idx="525">
                  <c:v>44573</c:v>
                </c:pt>
                <c:pt idx="526">
                  <c:v>44574</c:v>
                </c:pt>
                <c:pt idx="527">
                  <c:v>44575</c:v>
                </c:pt>
                <c:pt idx="528">
                  <c:v>44578</c:v>
                </c:pt>
                <c:pt idx="529">
                  <c:v>44579</c:v>
                </c:pt>
                <c:pt idx="530">
                  <c:v>44580</c:v>
                </c:pt>
                <c:pt idx="531">
                  <c:v>44581</c:v>
                </c:pt>
                <c:pt idx="532">
                  <c:v>44582</c:v>
                </c:pt>
                <c:pt idx="533">
                  <c:v>44585</c:v>
                </c:pt>
                <c:pt idx="534">
                  <c:v>44586</c:v>
                </c:pt>
                <c:pt idx="535">
                  <c:v>44587</c:v>
                </c:pt>
                <c:pt idx="536">
                  <c:v>44588</c:v>
                </c:pt>
                <c:pt idx="537">
                  <c:v>44589</c:v>
                </c:pt>
                <c:pt idx="538">
                  <c:v>44592</c:v>
                </c:pt>
                <c:pt idx="539">
                  <c:v>44593</c:v>
                </c:pt>
                <c:pt idx="540">
                  <c:v>44594</c:v>
                </c:pt>
                <c:pt idx="541">
                  <c:v>44595</c:v>
                </c:pt>
                <c:pt idx="542">
                  <c:v>44596</c:v>
                </c:pt>
                <c:pt idx="543">
                  <c:v>44599</c:v>
                </c:pt>
                <c:pt idx="544">
                  <c:v>44600</c:v>
                </c:pt>
                <c:pt idx="545">
                  <c:v>44601</c:v>
                </c:pt>
                <c:pt idx="546">
                  <c:v>44602</c:v>
                </c:pt>
                <c:pt idx="547">
                  <c:v>44603</c:v>
                </c:pt>
                <c:pt idx="548">
                  <c:v>44606</c:v>
                </c:pt>
                <c:pt idx="549">
                  <c:v>44607</c:v>
                </c:pt>
                <c:pt idx="550">
                  <c:v>44608</c:v>
                </c:pt>
                <c:pt idx="551">
                  <c:v>44609</c:v>
                </c:pt>
                <c:pt idx="552">
                  <c:v>44610</c:v>
                </c:pt>
                <c:pt idx="553">
                  <c:v>44613</c:v>
                </c:pt>
                <c:pt idx="554">
                  <c:v>44614</c:v>
                </c:pt>
                <c:pt idx="555">
                  <c:v>44615</c:v>
                </c:pt>
                <c:pt idx="556">
                  <c:v>44616</c:v>
                </c:pt>
                <c:pt idx="557">
                  <c:v>44617</c:v>
                </c:pt>
                <c:pt idx="558">
                  <c:v>44620</c:v>
                </c:pt>
                <c:pt idx="559">
                  <c:v>44621</c:v>
                </c:pt>
                <c:pt idx="560">
                  <c:v>44622</c:v>
                </c:pt>
                <c:pt idx="561">
                  <c:v>44623</c:v>
                </c:pt>
                <c:pt idx="562">
                  <c:v>44624</c:v>
                </c:pt>
                <c:pt idx="563">
                  <c:v>44627</c:v>
                </c:pt>
                <c:pt idx="564">
                  <c:v>44628</c:v>
                </c:pt>
                <c:pt idx="565">
                  <c:v>44629</c:v>
                </c:pt>
                <c:pt idx="566">
                  <c:v>44630</c:v>
                </c:pt>
                <c:pt idx="567">
                  <c:v>44631</c:v>
                </c:pt>
                <c:pt idx="568">
                  <c:v>44634</c:v>
                </c:pt>
                <c:pt idx="569">
                  <c:v>44635</c:v>
                </c:pt>
                <c:pt idx="570">
                  <c:v>44636</c:v>
                </c:pt>
                <c:pt idx="571">
                  <c:v>44637</c:v>
                </c:pt>
                <c:pt idx="572">
                  <c:v>44638</c:v>
                </c:pt>
                <c:pt idx="573">
                  <c:v>44641</c:v>
                </c:pt>
                <c:pt idx="574">
                  <c:v>44642</c:v>
                </c:pt>
                <c:pt idx="575">
                  <c:v>44643</c:v>
                </c:pt>
                <c:pt idx="576">
                  <c:v>44644</c:v>
                </c:pt>
                <c:pt idx="577">
                  <c:v>44645</c:v>
                </c:pt>
                <c:pt idx="578">
                  <c:v>44648</c:v>
                </c:pt>
                <c:pt idx="579">
                  <c:v>44649</c:v>
                </c:pt>
                <c:pt idx="580">
                  <c:v>44650</c:v>
                </c:pt>
                <c:pt idx="581">
                  <c:v>44651</c:v>
                </c:pt>
                <c:pt idx="582">
                  <c:v>44652</c:v>
                </c:pt>
                <c:pt idx="583">
                  <c:v>44655</c:v>
                </c:pt>
                <c:pt idx="584">
                  <c:v>44656</c:v>
                </c:pt>
                <c:pt idx="585">
                  <c:v>44657</c:v>
                </c:pt>
                <c:pt idx="586">
                  <c:v>44658</c:v>
                </c:pt>
                <c:pt idx="587">
                  <c:v>44659</c:v>
                </c:pt>
                <c:pt idx="588">
                  <c:v>44662</c:v>
                </c:pt>
                <c:pt idx="589">
                  <c:v>44663</c:v>
                </c:pt>
                <c:pt idx="590">
                  <c:v>44664</c:v>
                </c:pt>
                <c:pt idx="591">
                  <c:v>44665</c:v>
                </c:pt>
                <c:pt idx="592">
                  <c:v>44669</c:v>
                </c:pt>
                <c:pt idx="593">
                  <c:v>44670</c:v>
                </c:pt>
                <c:pt idx="594">
                  <c:v>44671</c:v>
                </c:pt>
                <c:pt idx="595">
                  <c:v>44672</c:v>
                </c:pt>
                <c:pt idx="596">
                  <c:v>44673</c:v>
                </c:pt>
                <c:pt idx="597">
                  <c:v>44676</c:v>
                </c:pt>
                <c:pt idx="598">
                  <c:v>44677</c:v>
                </c:pt>
                <c:pt idx="599">
                  <c:v>44678</c:v>
                </c:pt>
                <c:pt idx="600">
                  <c:v>44679</c:v>
                </c:pt>
                <c:pt idx="601">
                  <c:v>44680</c:v>
                </c:pt>
                <c:pt idx="602">
                  <c:v>44683</c:v>
                </c:pt>
                <c:pt idx="603">
                  <c:v>44684</c:v>
                </c:pt>
                <c:pt idx="604">
                  <c:v>44685</c:v>
                </c:pt>
                <c:pt idx="605">
                  <c:v>44686</c:v>
                </c:pt>
                <c:pt idx="606">
                  <c:v>44687</c:v>
                </c:pt>
                <c:pt idx="607">
                  <c:v>44690</c:v>
                </c:pt>
                <c:pt idx="608">
                  <c:v>44691</c:v>
                </c:pt>
                <c:pt idx="609">
                  <c:v>44692</c:v>
                </c:pt>
                <c:pt idx="610">
                  <c:v>44693</c:v>
                </c:pt>
                <c:pt idx="611">
                  <c:v>44694</c:v>
                </c:pt>
                <c:pt idx="612">
                  <c:v>44697</c:v>
                </c:pt>
                <c:pt idx="613">
                  <c:v>44698</c:v>
                </c:pt>
                <c:pt idx="614">
                  <c:v>44699</c:v>
                </c:pt>
                <c:pt idx="615">
                  <c:v>44700</c:v>
                </c:pt>
                <c:pt idx="616">
                  <c:v>44701</c:v>
                </c:pt>
                <c:pt idx="617">
                  <c:v>44704</c:v>
                </c:pt>
                <c:pt idx="618">
                  <c:v>44705</c:v>
                </c:pt>
                <c:pt idx="619">
                  <c:v>44706</c:v>
                </c:pt>
                <c:pt idx="620">
                  <c:v>44707</c:v>
                </c:pt>
                <c:pt idx="621">
                  <c:v>44708</c:v>
                </c:pt>
                <c:pt idx="622">
                  <c:v>44711</c:v>
                </c:pt>
                <c:pt idx="623">
                  <c:v>44712</c:v>
                </c:pt>
                <c:pt idx="624">
                  <c:v>44713</c:v>
                </c:pt>
                <c:pt idx="625">
                  <c:v>44714</c:v>
                </c:pt>
                <c:pt idx="626">
                  <c:v>44715</c:v>
                </c:pt>
                <c:pt idx="627">
                  <c:v>44718</c:v>
                </c:pt>
                <c:pt idx="628">
                  <c:v>44719</c:v>
                </c:pt>
                <c:pt idx="629">
                  <c:v>44720</c:v>
                </c:pt>
                <c:pt idx="630">
                  <c:v>44721</c:v>
                </c:pt>
                <c:pt idx="631">
                  <c:v>44722</c:v>
                </c:pt>
                <c:pt idx="632">
                  <c:v>44725</c:v>
                </c:pt>
                <c:pt idx="633">
                  <c:v>44726</c:v>
                </c:pt>
                <c:pt idx="634">
                  <c:v>44727</c:v>
                </c:pt>
                <c:pt idx="635">
                  <c:v>44728</c:v>
                </c:pt>
                <c:pt idx="636">
                  <c:v>44729</c:v>
                </c:pt>
                <c:pt idx="637">
                  <c:v>44732</c:v>
                </c:pt>
                <c:pt idx="638">
                  <c:v>44733</c:v>
                </c:pt>
                <c:pt idx="639">
                  <c:v>44734</c:v>
                </c:pt>
                <c:pt idx="640">
                  <c:v>44735</c:v>
                </c:pt>
                <c:pt idx="641">
                  <c:v>44736</c:v>
                </c:pt>
                <c:pt idx="642">
                  <c:v>44739</c:v>
                </c:pt>
                <c:pt idx="643">
                  <c:v>44740</c:v>
                </c:pt>
                <c:pt idx="644">
                  <c:v>44741</c:v>
                </c:pt>
                <c:pt idx="645">
                  <c:v>44742</c:v>
                </c:pt>
                <c:pt idx="646">
                  <c:v>44743</c:v>
                </c:pt>
                <c:pt idx="647">
                  <c:v>44746</c:v>
                </c:pt>
                <c:pt idx="648">
                  <c:v>44747</c:v>
                </c:pt>
                <c:pt idx="649">
                  <c:v>44748</c:v>
                </c:pt>
                <c:pt idx="650">
                  <c:v>44749</c:v>
                </c:pt>
                <c:pt idx="651">
                  <c:v>44750</c:v>
                </c:pt>
                <c:pt idx="652">
                  <c:v>44753</c:v>
                </c:pt>
                <c:pt idx="653">
                  <c:v>44754</c:v>
                </c:pt>
                <c:pt idx="654">
                  <c:v>44755</c:v>
                </c:pt>
                <c:pt idx="655">
                  <c:v>44756</c:v>
                </c:pt>
                <c:pt idx="656">
                  <c:v>44757</c:v>
                </c:pt>
                <c:pt idx="657">
                  <c:v>44760</c:v>
                </c:pt>
                <c:pt idx="658">
                  <c:v>44761</c:v>
                </c:pt>
                <c:pt idx="659">
                  <c:v>44762</c:v>
                </c:pt>
                <c:pt idx="660">
                  <c:v>44763</c:v>
                </c:pt>
                <c:pt idx="661">
                  <c:v>44764</c:v>
                </c:pt>
                <c:pt idx="662">
                  <c:v>44767</c:v>
                </c:pt>
                <c:pt idx="663">
                  <c:v>44768</c:v>
                </c:pt>
                <c:pt idx="664">
                  <c:v>44769</c:v>
                </c:pt>
                <c:pt idx="665">
                  <c:v>44770</c:v>
                </c:pt>
                <c:pt idx="666">
                  <c:v>44771</c:v>
                </c:pt>
                <c:pt idx="667">
                  <c:v>44774</c:v>
                </c:pt>
                <c:pt idx="668">
                  <c:v>44775</c:v>
                </c:pt>
                <c:pt idx="669">
                  <c:v>44776</c:v>
                </c:pt>
                <c:pt idx="670">
                  <c:v>44777</c:v>
                </c:pt>
                <c:pt idx="671">
                  <c:v>44778</c:v>
                </c:pt>
                <c:pt idx="672">
                  <c:v>44781</c:v>
                </c:pt>
                <c:pt idx="673">
                  <c:v>44782</c:v>
                </c:pt>
                <c:pt idx="674">
                  <c:v>44783</c:v>
                </c:pt>
                <c:pt idx="675">
                  <c:v>44784</c:v>
                </c:pt>
                <c:pt idx="676">
                  <c:v>44785</c:v>
                </c:pt>
                <c:pt idx="677">
                  <c:v>44788</c:v>
                </c:pt>
                <c:pt idx="678">
                  <c:v>44789</c:v>
                </c:pt>
                <c:pt idx="679">
                  <c:v>44790</c:v>
                </c:pt>
                <c:pt idx="680">
                  <c:v>44791</c:v>
                </c:pt>
                <c:pt idx="681">
                  <c:v>44792</c:v>
                </c:pt>
                <c:pt idx="682">
                  <c:v>44795</c:v>
                </c:pt>
                <c:pt idx="683">
                  <c:v>44796</c:v>
                </c:pt>
                <c:pt idx="684">
                  <c:v>44797</c:v>
                </c:pt>
                <c:pt idx="685">
                  <c:v>44798</c:v>
                </c:pt>
                <c:pt idx="686">
                  <c:v>44799</c:v>
                </c:pt>
                <c:pt idx="687">
                  <c:v>44802</c:v>
                </c:pt>
                <c:pt idx="688">
                  <c:v>44803</c:v>
                </c:pt>
                <c:pt idx="689">
                  <c:v>44804</c:v>
                </c:pt>
                <c:pt idx="690">
                  <c:v>44805</c:v>
                </c:pt>
                <c:pt idx="691">
                  <c:v>44806</c:v>
                </c:pt>
                <c:pt idx="692">
                  <c:v>44809</c:v>
                </c:pt>
                <c:pt idx="693">
                  <c:v>44810</c:v>
                </c:pt>
                <c:pt idx="694">
                  <c:v>44811</c:v>
                </c:pt>
                <c:pt idx="695">
                  <c:v>44812</c:v>
                </c:pt>
                <c:pt idx="696">
                  <c:v>44813</c:v>
                </c:pt>
                <c:pt idx="697">
                  <c:v>44816</c:v>
                </c:pt>
                <c:pt idx="698">
                  <c:v>44817</c:v>
                </c:pt>
                <c:pt idx="699">
                  <c:v>44818</c:v>
                </c:pt>
                <c:pt idx="700">
                  <c:v>44819</c:v>
                </c:pt>
                <c:pt idx="701">
                  <c:v>44820</c:v>
                </c:pt>
                <c:pt idx="702">
                  <c:v>44823</c:v>
                </c:pt>
                <c:pt idx="703">
                  <c:v>44824</c:v>
                </c:pt>
                <c:pt idx="704">
                  <c:v>44825</c:v>
                </c:pt>
                <c:pt idx="705">
                  <c:v>44826</c:v>
                </c:pt>
                <c:pt idx="706">
                  <c:v>44827</c:v>
                </c:pt>
                <c:pt idx="707">
                  <c:v>44830</c:v>
                </c:pt>
                <c:pt idx="708">
                  <c:v>44831</c:v>
                </c:pt>
                <c:pt idx="709">
                  <c:v>44832</c:v>
                </c:pt>
                <c:pt idx="710">
                  <c:v>44833</c:v>
                </c:pt>
                <c:pt idx="711">
                  <c:v>44834</c:v>
                </c:pt>
                <c:pt idx="712">
                  <c:v>44837</c:v>
                </c:pt>
                <c:pt idx="713">
                  <c:v>44838</c:v>
                </c:pt>
                <c:pt idx="714">
                  <c:v>44839</c:v>
                </c:pt>
                <c:pt idx="715">
                  <c:v>44840</c:v>
                </c:pt>
                <c:pt idx="716">
                  <c:v>44841</c:v>
                </c:pt>
                <c:pt idx="717">
                  <c:v>44844</c:v>
                </c:pt>
                <c:pt idx="718">
                  <c:v>44845</c:v>
                </c:pt>
                <c:pt idx="719">
                  <c:v>44846</c:v>
                </c:pt>
                <c:pt idx="720">
                  <c:v>44847</c:v>
                </c:pt>
                <c:pt idx="721">
                  <c:v>44848</c:v>
                </c:pt>
                <c:pt idx="722">
                  <c:v>44851</c:v>
                </c:pt>
                <c:pt idx="723">
                  <c:v>44852</c:v>
                </c:pt>
                <c:pt idx="724">
                  <c:v>44853</c:v>
                </c:pt>
                <c:pt idx="725">
                  <c:v>44854</c:v>
                </c:pt>
                <c:pt idx="726">
                  <c:v>44855</c:v>
                </c:pt>
                <c:pt idx="727">
                  <c:v>44858</c:v>
                </c:pt>
                <c:pt idx="728">
                  <c:v>44859</c:v>
                </c:pt>
                <c:pt idx="729">
                  <c:v>44860</c:v>
                </c:pt>
                <c:pt idx="730">
                  <c:v>44861</c:v>
                </c:pt>
                <c:pt idx="731">
                  <c:v>44862</c:v>
                </c:pt>
                <c:pt idx="732">
                  <c:v>44865</c:v>
                </c:pt>
                <c:pt idx="733">
                  <c:v>44866</c:v>
                </c:pt>
                <c:pt idx="734">
                  <c:v>44867</c:v>
                </c:pt>
                <c:pt idx="735">
                  <c:v>44868</c:v>
                </c:pt>
                <c:pt idx="736">
                  <c:v>44869</c:v>
                </c:pt>
                <c:pt idx="737">
                  <c:v>44872</c:v>
                </c:pt>
                <c:pt idx="738">
                  <c:v>44873</c:v>
                </c:pt>
                <c:pt idx="739">
                  <c:v>44874</c:v>
                </c:pt>
                <c:pt idx="740">
                  <c:v>44875</c:v>
                </c:pt>
                <c:pt idx="741">
                  <c:v>44876</c:v>
                </c:pt>
                <c:pt idx="742">
                  <c:v>44879</c:v>
                </c:pt>
                <c:pt idx="743">
                  <c:v>44880</c:v>
                </c:pt>
                <c:pt idx="744">
                  <c:v>44881</c:v>
                </c:pt>
                <c:pt idx="745">
                  <c:v>44882</c:v>
                </c:pt>
                <c:pt idx="746">
                  <c:v>44883</c:v>
                </c:pt>
                <c:pt idx="747">
                  <c:v>44886</c:v>
                </c:pt>
                <c:pt idx="748">
                  <c:v>44887</c:v>
                </c:pt>
                <c:pt idx="749">
                  <c:v>44888</c:v>
                </c:pt>
                <c:pt idx="750">
                  <c:v>44889</c:v>
                </c:pt>
                <c:pt idx="751">
                  <c:v>44890</c:v>
                </c:pt>
                <c:pt idx="752">
                  <c:v>44893</c:v>
                </c:pt>
                <c:pt idx="753">
                  <c:v>44894</c:v>
                </c:pt>
                <c:pt idx="754">
                  <c:v>44895</c:v>
                </c:pt>
                <c:pt idx="755">
                  <c:v>44896</c:v>
                </c:pt>
                <c:pt idx="756">
                  <c:v>44897</c:v>
                </c:pt>
                <c:pt idx="757">
                  <c:v>44900</c:v>
                </c:pt>
                <c:pt idx="758">
                  <c:v>44901</c:v>
                </c:pt>
                <c:pt idx="759">
                  <c:v>44902</c:v>
                </c:pt>
                <c:pt idx="760">
                  <c:v>44903</c:v>
                </c:pt>
                <c:pt idx="761">
                  <c:v>44904</c:v>
                </c:pt>
                <c:pt idx="762">
                  <c:v>44907</c:v>
                </c:pt>
                <c:pt idx="763">
                  <c:v>44908</c:v>
                </c:pt>
                <c:pt idx="764">
                  <c:v>44909</c:v>
                </c:pt>
                <c:pt idx="765">
                  <c:v>44910</c:v>
                </c:pt>
                <c:pt idx="766">
                  <c:v>44911</c:v>
                </c:pt>
                <c:pt idx="767">
                  <c:v>44914</c:v>
                </c:pt>
                <c:pt idx="768">
                  <c:v>44915</c:v>
                </c:pt>
                <c:pt idx="769">
                  <c:v>44916</c:v>
                </c:pt>
                <c:pt idx="770">
                  <c:v>44917</c:v>
                </c:pt>
                <c:pt idx="771">
                  <c:v>44918</c:v>
                </c:pt>
                <c:pt idx="772">
                  <c:v>44922</c:v>
                </c:pt>
                <c:pt idx="773">
                  <c:v>44923</c:v>
                </c:pt>
                <c:pt idx="774">
                  <c:v>44924</c:v>
                </c:pt>
                <c:pt idx="775">
                  <c:v>44925</c:v>
                </c:pt>
                <c:pt idx="776">
                  <c:v>44929</c:v>
                </c:pt>
                <c:pt idx="777">
                  <c:v>44930</c:v>
                </c:pt>
                <c:pt idx="778">
                  <c:v>44931</c:v>
                </c:pt>
                <c:pt idx="779">
                  <c:v>44932</c:v>
                </c:pt>
                <c:pt idx="780">
                  <c:v>44935</c:v>
                </c:pt>
                <c:pt idx="781">
                  <c:v>44936</c:v>
                </c:pt>
                <c:pt idx="782">
                  <c:v>44937</c:v>
                </c:pt>
                <c:pt idx="783">
                  <c:v>44938</c:v>
                </c:pt>
                <c:pt idx="784">
                  <c:v>44939</c:v>
                </c:pt>
                <c:pt idx="785">
                  <c:v>44942</c:v>
                </c:pt>
                <c:pt idx="786">
                  <c:v>44943</c:v>
                </c:pt>
                <c:pt idx="787">
                  <c:v>44944</c:v>
                </c:pt>
                <c:pt idx="788">
                  <c:v>44945</c:v>
                </c:pt>
                <c:pt idx="789">
                  <c:v>44946</c:v>
                </c:pt>
                <c:pt idx="790">
                  <c:v>44949</c:v>
                </c:pt>
                <c:pt idx="791">
                  <c:v>44950</c:v>
                </c:pt>
                <c:pt idx="792">
                  <c:v>44951</c:v>
                </c:pt>
                <c:pt idx="793">
                  <c:v>44952</c:v>
                </c:pt>
                <c:pt idx="794">
                  <c:v>44953</c:v>
                </c:pt>
                <c:pt idx="795">
                  <c:v>44956</c:v>
                </c:pt>
                <c:pt idx="796">
                  <c:v>44957</c:v>
                </c:pt>
                <c:pt idx="797">
                  <c:v>44958</c:v>
                </c:pt>
                <c:pt idx="798">
                  <c:v>44959</c:v>
                </c:pt>
                <c:pt idx="799">
                  <c:v>44960</c:v>
                </c:pt>
                <c:pt idx="800">
                  <c:v>44963</c:v>
                </c:pt>
                <c:pt idx="801">
                  <c:v>44964</c:v>
                </c:pt>
                <c:pt idx="802">
                  <c:v>44965</c:v>
                </c:pt>
                <c:pt idx="803">
                  <c:v>44966</c:v>
                </c:pt>
                <c:pt idx="804">
                  <c:v>44967</c:v>
                </c:pt>
                <c:pt idx="805">
                  <c:v>44970</c:v>
                </c:pt>
                <c:pt idx="806">
                  <c:v>44971</c:v>
                </c:pt>
                <c:pt idx="807">
                  <c:v>44972</c:v>
                </c:pt>
                <c:pt idx="808">
                  <c:v>44973</c:v>
                </c:pt>
                <c:pt idx="809">
                  <c:v>44974</c:v>
                </c:pt>
                <c:pt idx="810">
                  <c:v>44977</c:v>
                </c:pt>
                <c:pt idx="811">
                  <c:v>44978</c:v>
                </c:pt>
                <c:pt idx="812">
                  <c:v>44979</c:v>
                </c:pt>
                <c:pt idx="813">
                  <c:v>44980</c:v>
                </c:pt>
                <c:pt idx="814">
                  <c:v>44981</c:v>
                </c:pt>
                <c:pt idx="815">
                  <c:v>44984</c:v>
                </c:pt>
                <c:pt idx="816">
                  <c:v>44985</c:v>
                </c:pt>
                <c:pt idx="817">
                  <c:v>44986</c:v>
                </c:pt>
                <c:pt idx="818">
                  <c:v>44987</c:v>
                </c:pt>
                <c:pt idx="819">
                  <c:v>44988</c:v>
                </c:pt>
                <c:pt idx="820">
                  <c:v>44991</c:v>
                </c:pt>
                <c:pt idx="821">
                  <c:v>44992</c:v>
                </c:pt>
                <c:pt idx="822">
                  <c:v>44993</c:v>
                </c:pt>
                <c:pt idx="823">
                  <c:v>44994</c:v>
                </c:pt>
                <c:pt idx="824">
                  <c:v>44995</c:v>
                </c:pt>
                <c:pt idx="825">
                  <c:v>44998</c:v>
                </c:pt>
                <c:pt idx="826">
                  <c:v>44999</c:v>
                </c:pt>
                <c:pt idx="827">
                  <c:v>45000</c:v>
                </c:pt>
                <c:pt idx="828">
                  <c:v>45001</c:v>
                </c:pt>
                <c:pt idx="829">
                  <c:v>45002</c:v>
                </c:pt>
                <c:pt idx="830">
                  <c:v>45005</c:v>
                </c:pt>
                <c:pt idx="831">
                  <c:v>45006</c:v>
                </c:pt>
                <c:pt idx="832">
                  <c:v>45007</c:v>
                </c:pt>
                <c:pt idx="833">
                  <c:v>45008</c:v>
                </c:pt>
                <c:pt idx="834">
                  <c:v>45009</c:v>
                </c:pt>
                <c:pt idx="835">
                  <c:v>45012</c:v>
                </c:pt>
                <c:pt idx="836">
                  <c:v>45013</c:v>
                </c:pt>
                <c:pt idx="837">
                  <c:v>45014</c:v>
                </c:pt>
                <c:pt idx="838">
                  <c:v>45015</c:v>
                </c:pt>
                <c:pt idx="839">
                  <c:v>45016</c:v>
                </c:pt>
                <c:pt idx="840">
                  <c:v>45019</c:v>
                </c:pt>
                <c:pt idx="841">
                  <c:v>45020</c:v>
                </c:pt>
                <c:pt idx="842">
                  <c:v>45021</c:v>
                </c:pt>
                <c:pt idx="843">
                  <c:v>45022</c:v>
                </c:pt>
                <c:pt idx="844">
                  <c:v>45023</c:v>
                </c:pt>
                <c:pt idx="845">
                  <c:v>45026</c:v>
                </c:pt>
                <c:pt idx="846">
                  <c:v>45027</c:v>
                </c:pt>
                <c:pt idx="847">
                  <c:v>45028</c:v>
                </c:pt>
                <c:pt idx="848">
                  <c:v>45029</c:v>
                </c:pt>
                <c:pt idx="849">
                  <c:v>45030</c:v>
                </c:pt>
                <c:pt idx="850">
                  <c:v>45033</c:v>
                </c:pt>
                <c:pt idx="851">
                  <c:v>45034</c:v>
                </c:pt>
                <c:pt idx="852">
                  <c:v>45035</c:v>
                </c:pt>
                <c:pt idx="853">
                  <c:v>45036</c:v>
                </c:pt>
                <c:pt idx="854">
                  <c:v>45037</c:v>
                </c:pt>
                <c:pt idx="855">
                  <c:v>45040</c:v>
                </c:pt>
                <c:pt idx="856">
                  <c:v>45041</c:v>
                </c:pt>
                <c:pt idx="857">
                  <c:v>45042</c:v>
                </c:pt>
                <c:pt idx="858">
                  <c:v>45043</c:v>
                </c:pt>
                <c:pt idx="859">
                  <c:v>45044</c:v>
                </c:pt>
                <c:pt idx="860">
                  <c:v>45047</c:v>
                </c:pt>
                <c:pt idx="861">
                  <c:v>45048</c:v>
                </c:pt>
                <c:pt idx="862">
                  <c:v>45049</c:v>
                </c:pt>
                <c:pt idx="863">
                  <c:v>45050</c:v>
                </c:pt>
                <c:pt idx="864">
                  <c:v>45051</c:v>
                </c:pt>
                <c:pt idx="865">
                  <c:v>45054</c:v>
                </c:pt>
                <c:pt idx="866">
                  <c:v>45055</c:v>
                </c:pt>
                <c:pt idx="867">
                  <c:v>45056</c:v>
                </c:pt>
                <c:pt idx="868">
                  <c:v>45057</c:v>
                </c:pt>
                <c:pt idx="869">
                  <c:v>45058</c:v>
                </c:pt>
                <c:pt idx="870">
                  <c:v>45061</c:v>
                </c:pt>
                <c:pt idx="871">
                  <c:v>45062</c:v>
                </c:pt>
                <c:pt idx="872">
                  <c:v>45063</c:v>
                </c:pt>
                <c:pt idx="873">
                  <c:v>45064</c:v>
                </c:pt>
                <c:pt idx="874">
                  <c:v>45065</c:v>
                </c:pt>
                <c:pt idx="875">
                  <c:v>45068</c:v>
                </c:pt>
                <c:pt idx="876">
                  <c:v>45069</c:v>
                </c:pt>
                <c:pt idx="877">
                  <c:v>45070</c:v>
                </c:pt>
                <c:pt idx="878">
                  <c:v>45071</c:v>
                </c:pt>
                <c:pt idx="879">
                  <c:v>45072</c:v>
                </c:pt>
                <c:pt idx="880">
                  <c:v>45075</c:v>
                </c:pt>
                <c:pt idx="881">
                  <c:v>45076</c:v>
                </c:pt>
                <c:pt idx="882">
                  <c:v>45077</c:v>
                </c:pt>
                <c:pt idx="883">
                  <c:v>45078</c:v>
                </c:pt>
                <c:pt idx="884">
                  <c:v>45079</c:v>
                </c:pt>
                <c:pt idx="885">
                  <c:v>45082</c:v>
                </c:pt>
                <c:pt idx="886">
                  <c:v>45083</c:v>
                </c:pt>
                <c:pt idx="887">
                  <c:v>45084</c:v>
                </c:pt>
                <c:pt idx="888">
                  <c:v>45085</c:v>
                </c:pt>
              </c:numCache>
            </c:numRef>
          </c:cat>
          <c:val>
            <c:numRef>
              <c:f>Sheet1!$E$2:$E$957</c:f>
              <c:numCache>
                <c:formatCode>0.0</c:formatCode>
                <c:ptCount val="956"/>
                <c:pt idx="0">
                  <c:v>100</c:v>
                </c:pt>
                <c:pt idx="1">
                  <c:v>99.997920306130936</c:v>
                </c:pt>
                <c:pt idx="2">
                  <c:v>99.820106480326103</c:v>
                </c:pt>
                <c:pt idx="3">
                  <c:v>100.18613260128109</c:v>
                </c:pt>
                <c:pt idx="4">
                  <c:v>100.48664836536061</c:v>
                </c:pt>
                <c:pt idx="5">
                  <c:v>100.65822310955826</c:v>
                </c:pt>
                <c:pt idx="6">
                  <c:v>100.5563181099742</c:v>
                </c:pt>
                <c:pt idx="7">
                  <c:v>100.53760086515264</c:v>
                </c:pt>
                <c:pt idx="8">
                  <c:v>100.57399550786123</c:v>
                </c:pt>
                <c:pt idx="9">
                  <c:v>100.42737709009232</c:v>
                </c:pt>
                <c:pt idx="10">
                  <c:v>100.53448132434904</c:v>
                </c:pt>
                <c:pt idx="11">
                  <c:v>100.84331586390481</c:v>
                </c:pt>
                <c:pt idx="12">
                  <c:v>100.84331586390479</c:v>
                </c:pt>
                <c:pt idx="13">
                  <c:v>100.76948673155307</c:v>
                </c:pt>
                <c:pt idx="14">
                  <c:v>100.78196489476744</c:v>
                </c:pt>
                <c:pt idx="15">
                  <c:v>100.97121703685212</c:v>
                </c:pt>
                <c:pt idx="16">
                  <c:v>101.14071208718072</c:v>
                </c:pt>
                <c:pt idx="17">
                  <c:v>101.26237417852087</c:v>
                </c:pt>
                <c:pt idx="18">
                  <c:v>101.333083770069</c:v>
                </c:pt>
                <c:pt idx="19">
                  <c:v>101.31644621911649</c:v>
                </c:pt>
                <c:pt idx="20">
                  <c:v>101.19894351551446</c:v>
                </c:pt>
                <c:pt idx="21">
                  <c:v>100.70189668080855</c:v>
                </c:pt>
                <c:pt idx="22">
                  <c:v>101.14071208718072</c:v>
                </c:pt>
                <c:pt idx="23">
                  <c:v>101.32476499459274</c:v>
                </c:pt>
                <c:pt idx="24">
                  <c:v>101.68455203394055</c:v>
                </c:pt>
                <c:pt idx="25">
                  <c:v>101.91435820647195</c:v>
                </c:pt>
                <c:pt idx="26">
                  <c:v>102.11400881790193</c:v>
                </c:pt>
                <c:pt idx="27">
                  <c:v>102.2627069295399</c:v>
                </c:pt>
                <c:pt idx="28">
                  <c:v>102.14104483819976</c:v>
                </c:pt>
                <c:pt idx="29">
                  <c:v>102.47899509192241</c:v>
                </c:pt>
                <c:pt idx="30">
                  <c:v>102.51642958156552</c:v>
                </c:pt>
                <c:pt idx="31">
                  <c:v>102.56530238748849</c:v>
                </c:pt>
                <c:pt idx="32">
                  <c:v>102.5653023874885</c:v>
                </c:pt>
                <c:pt idx="33">
                  <c:v>102.90637218201474</c:v>
                </c:pt>
                <c:pt idx="34">
                  <c:v>103.180891772731</c:v>
                </c:pt>
                <c:pt idx="35">
                  <c:v>103.3670243740121</c:v>
                </c:pt>
                <c:pt idx="36">
                  <c:v>102.74727560103148</c:v>
                </c:pt>
                <c:pt idx="37">
                  <c:v>102.85022044755007</c:v>
                </c:pt>
                <c:pt idx="38">
                  <c:v>102.46235754096992</c:v>
                </c:pt>
                <c:pt idx="39">
                  <c:v>102.52162881623821</c:v>
                </c:pt>
                <c:pt idx="40">
                  <c:v>102.04121953248476</c:v>
                </c:pt>
                <c:pt idx="41">
                  <c:v>101.68247234007148</c:v>
                </c:pt>
                <c:pt idx="42">
                  <c:v>100.91298560851837</c:v>
                </c:pt>
                <c:pt idx="43">
                  <c:v>100.76324764994587</c:v>
                </c:pt>
                <c:pt idx="44">
                  <c:v>100.97017718991758</c:v>
                </c:pt>
                <c:pt idx="45">
                  <c:v>100.43673571250305</c:v>
                </c:pt>
                <c:pt idx="46">
                  <c:v>99.601738624074471</c:v>
                </c:pt>
                <c:pt idx="47">
                  <c:v>98.519257965227453</c:v>
                </c:pt>
                <c:pt idx="48">
                  <c:v>100.11542300973291</c:v>
                </c:pt>
                <c:pt idx="49">
                  <c:v>100.2849180600615</c:v>
                </c:pt>
                <c:pt idx="50">
                  <c:v>101.54521254471337</c:v>
                </c:pt>
                <c:pt idx="51">
                  <c:v>102.84502121287741</c:v>
                </c:pt>
                <c:pt idx="52">
                  <c:v>102.06305631810993</c:v>
                </c:pt>
                <c:pt idx="53">
                  <c:v>103.69249646452036</c:v>
                </c:pt>
                <c:pt idx="54">
                  <c:v>105.67236502786785</c:v>
                </c:pt>
                <c:pt idx="55">
                  <c:v>107.91531486565172</c:v>
                </c:pt>
                <c:pt idx="56">
                  <c:v>107.70942517261454</c:v>
                </c:pt>
                <c:pt idx="57">
                  <c:v>107.43698527576736</c:v>
                </c:pt>
                <c:pt idx="58">
                  <c:v>106.38881956575987</c:v>
                </c:pt>
                <c:pt idx="59">
                  <c:v>105.08173196905412</c:v>
                </c:pt>
                <c:pt idx="60">
                  <c:v>103.43149488395305</c:v>
                </c:pt>
                <c:pt idx="61">
                  <c:v>102.45195907162461</c:v>
                </c:pt>
                <c:pt idx="62">
                  <c:v>103.20064886448711</c:v>
                </c:pt>
                <c:pt idx="63">
                  <c:v>103.0405124365693</c:v>
                </c:pt>
                <c:pt idx="64">
                  <c:v>103.72785126029446</c:v>
                </c:pt>
                <c:pt idx="65">
                  <c:v>104.26649197238163</c:v>
                </c:pt>
                <c:pt idx="66">
                  <c:v>104.68866982780132</c:v>
                </c:pt>
                <c:pt idx="67">
                  <c:v>104.78537559271271</c:v>
                </c:pt>
                <c:pt idx="68">
                  <c:v>103.91086432077195</c:v>
                </c:pt>
                <c:pt idx="69">
                  <c:v>104.14586972797601</c:v>
                </c:pt>
                <c:pt idx="70">
                  <c:v>103.44085350636382</c:v>
                </c:pt>
                <c:pt idx="71">
                  <c:v>103.26303968055898</c:v>
                </c:pt>
                <c:pt idx="72">
                  <c:v>102.79094917228181</c:v>
                </c:pt>
                <c:pt idx="73">
                  <c:v>103.41381748606602</c:v>
                </c:pt>
                <c:pt idx="74">
                  <c:v>104.05228350386821</c:v>
                </c:pt>
                <c:pt idx="75">
                  <c:v>103.78712253556276</c:v>
                </c:pt>
                <c:pt idx="76">
                  <c:v>104.02004824889777</c:v>
                </c:pt>
                <c:pt idx="77">
                  <c:v>104.35279926794776</c:v>
                </c:pt>
                <c:pt idx="78">
                  <c:v>104.51293569586556</c:v>
                </c:pt>
                <c:pt idx="79">
                  <c:v>104.53269278762167</c:v>
                </c:pt>
                <c:pt idx="80">
                  <c:v>104.42558855336496</c:v>
                </c:pt>
                <c:pt idx="81">
                  <c:v>104.09595707511855</c:v>
                </c:pt>
                <c:pt idx="82">
                  <c:v>103.92646202478996</c:v>
                </c:pt>
                <c:pt idx="83">
                  <c:v>103.6249064137759</c:v>
                </c:pt>
                <c:pt idx="84">
                  <c:v>103.0051576407953</c:v>
                </c:pt>
                <c:pt idx="85">
                  <c:v>103.08002662008154</c:v>
                </c:pt>
                <c:pt idx="86">
                  <c:v>103.54067881207888</c:v>
                </c:pt>
                <c:pt idx="87">
                  <c:v>103.76320605606857</c:v>
                </c:pt>
                <c:pt idx="88">
                  <c:v>104.15210880958325</c:v>
                </c:pt>
                <c:pt idx="89">
                  <c:v>103.92334248398639</c:v>
                </c:pt>
                <c:pt idx="90">
                  <c:v>103.75072789285421</c:v>
                </c:pt>
                <c:pt idx="91">
                  <c:v>104.25505365610186</c:v>
                </c:pt>
                <c:pt idx="92">
                  <c:v>103.93270110639718</c:v>
                </c:pt>
                <c:pt idx="93">
                  <c:v>104.28208967639966</c:v>
                </c:pt>
                <c:pt idx="94">
                  <c:v>104.5066966142584</c:v>
                </c:pt>
                <c:pt idx="95">
                  <c:v>104.43078778803763</c:v>
                </c:pt>
                <c:pt idx="96">
                  <c:v>103.6644205972881</c:v>
                </c:pt>
                <c:pt idx="97">
                  <c:v>103.32751019049999</c:v>
                </c:pt>
                <c:pt idx="98">
                  <c:v>103.08730554862328</c:v>
                </c:pt>
                <c:pt idx="99">
                  <c:v>103.35974544547047</c:v>
                </c:pt>
                <c:pt idx="100">
                  <c:v>103.85991182097999</c:v>
                </c:pt>
                <c:pt idx="101">
                  <c:v>103.85991182097999</c:v>
                </c:pt>
                <c:pt idx="102">
                  <c:v>102.86061891689548</c:v>
                </c:pt>
                <c:pt idx="103">
                  <c:v>102.99475917145001</c:v>
                </c:pt>
                <c:pt idx="104">
                  <c:v>102.27934448049253</c:v>
                </c:pt>
                <c:pt idx="105">
                  <c:v>102.24087014391486</c:v>
                </c:pt>
                <c:pt idx="106">
                  <c:v>101.68663172780971</c:v>
                </c:pt>
                <c:pt idx="107">
                  <c:v>101.52129606521925</c:v>
                </c:pt>
                <c:pt idx="108">
                  <c:v>101.10535729140675</c:v>
                </c:pt>
                <c:pt idx="109">
                  <c:v>100.47417020214628</c:v>
                </c:pt>
                <c:pt idx="110">
                  <c:v>100.75284918060066</c:v>
                </c:pt>
                <c:pt idx="111">
                  <c:v>100.40242076366364</c:v>
                </c:pt>
                <c:pt idx="112">
                  <c:v>100.10710423425677</c:v>
                </c:pt>
                <c:pt idx="113">
                  <c:v>99.718201480742081</c:v>
                </c:pt>
                <c:pt idx="114">
                  <c:v>100.57711504866488</c:v>
                </c:pt>
                <c:pt idx="115">
                  <c:v>101.20830213792533</c:v>
                </c:pt>
                <c:pt idx="116">
                  <c:v>100.5012062224441</c:v>
                </c:pt>
                <c:pt idx="117">
                  <c:v>100.7642874968805</c:v>
                </c:pt>
                <c:pt idx="118">
                  <c:v>100.98473504700112</c:v>
                </c:pt>
                <c:pt idx="119">
                  <c:v>101.26029448465189</c:v>
                </c:pt>
                <c:pt idx="120">
                  <c:v>101.44954662673659</c:v>
                </c:pt>
                <c:pt idx="121">
                  <c:v>100.83915647616675</c:v>
                </c:pt>
                <c:pt idx="122">
                  <c:v>100.45233341652113</c:v>
                </c:pt>
                <c:pt idx="123">
                  <c:v>100.9940936694119</c:v>
                </c:pt>
                <c:pt idx="124">
                  <c:v>101.27589218866987</c:v>
                </c:pt>
                <c:pt idx="125">
                  <c:v>101.29876882122956</c:v>
                </c:pt>
                <c:pt idx="126">
                  <c:v>101.39651443307548</c:v>
                </c:pt>
                <c:pt idx="127">
                  <c:v>101.23845769902672</c:v>
                </c:pt>
                <c:pt idx="128">
                  <c:v>101.03672739372769</c:v>
                </c:pt>
                <c:pt idx="129">
                  <c:v>101.17918642375848</c:v>
                </c:pt>
                <c:pt idx="130">
                  <c:v>101.17918642375848</c:v>
                </c:pt>
                <c:pt idx="131">
                  <c:v>100.5344813243491</c:v>
                </c:pt>
                <c:pt idx="132">
                  <c:v>100.6977372930705</c:v>
                </c:pt>
                <c:pt idx="133">
                  <c:v>100.2079693869063</c:v>
                </c:pt>
                <c:pt idx="134">
                  <c:v>100.50432576324771</c:v>
                </c:pt>
                <c:pt idx="135">
                  <c:v>100.4377755594377</c:v>
                </c:pt>
                <c:pt idx="136">
                  <c:v>100.22876632559692</c:v>
                </c:pt>
                <c:pt idx="137">
                  <c:v>100.02807586723237</c:v>
                </c:pt>
                <c:pt idx="138">
                  <c:v>99.851301888362073</c:v>
                </c:pt>
                <c:pt idx="139">
                  <c:v>100.13102071375097</c:v>
                </c:pt>
                <c:pt idx="140">
                  <c:v>99.683886531902544</c:v>
                </c:pt>
                <c:pt idx="141">
                  <c:v>99.577822144580352</c:v>
                </c:pt>
                <c:pt idx="142">
                  <c:v>98.836411280259583</c:v>
                </c:pt>
                <c:pt idx="143">
                  <c:v>98.704350719574094</c:v>
                </c:pt>
                <c:pt idx="144">
                  <c:v>98.410074037101751</c:v>
                </c:pt>
                <c:pt idx="145">
                  <c:v>98.137634140254576</c:v>
                </c:pt>
                <c:pt idx="146">
                  <c:v>97.33487230679647</c:v>
                </c:pt>
                <c:pt idx="147">
                  <c:v>97.382705265784907</c:v>
                </c:pt>
                <c:pt idx="148">
                  <c:v>97.160178021795232</c:v>
                </c:pt>
                <c:pt idx="149">
                  <c:v>96.730721237833833</c:v>
                </c:pt>
                <c:pt idx="150">
                  <c:v>97.060352716080232</c:v>
                </c:pt>
                <c:pt idx="151">
                  <c:v>97.253764245903056</c:v>
                </c:pt>
                <c:pt idx="152">
                  <c:v>97.119623991348519</c:v>
                </c:pt>
                <c:pt idx="153">
                  <c:v>96.570584809916042</c:v>
                </c:pt>
                <c:pt idx="154">
                  <c:v>96.485317361284487</c:v>
                </c:pt>
                <c:pt idx="155">
                  <c:v>97.154978787122616</c:v>
                </c:pt>
                <c:pt idx="156">
                  <c:v>97.323433990516662</c:v>
                </c:pt>
                <c:pt idx="157">
                  <c:v>97.355669245487135</c:v>
                </c:pt>
                <c:pt idx="158">
                  <c:v>97.156018634057148</c:v>
                </c:pt>
                <c:pt idx="159">
                  <c:v>97.061392563014806</c:v>
                </c:pt>
                <c:pt idx="160">
                  <c:v>96.820148074203544</c:v>
                </c:pt>
                <c:pt idx="161">
                  <c:v>96.572664503785106</c:v>
                </c:pt>
                <c:pt idx="162">
                  <c:v>95.96331420014981</c:v>
                </c:pt>
                <c:pt idx="163">
                  <c:v>96.612178687297302</c:v>
                </c:pt>
                <c:pt idx="164">
                  <c:v>96.506114299975124</c:v>
                </c:pt>
                <c:pt idx="165">
                  <c:v>96.986523583728541</c:v>
                </c:pt>
                <c:pt idx="166">
                  <c:v>97.037476083520573</c:v>
                </c:pt>
                <c:pt idx="167">
                  <c:v>96.756717411197158</c:v>
                </c:pt>
                <c:pt idx="168">
                  <c:v>96.732800931702926</c:v>
                </c:pt>
                <c:pt idx="169">
                  <c:v>96.712003993012303</c:v>
                </c:pt>
                <c:pt idx="170">
                  <c:v>96.07041843440652</c:v>
                </c:pt>
                <c:pt idx="171">
                  <c:v>95.812536394642777</c:v>
                </c:pt>
                <c:pt idx="172">
                  <c:v>96.021545628483565</c:v>
                </c:pt>
                <c:pt idx="173">
                  <c:v>96.538349554945597</c:v>
                </c:pt>
                <c:pt idx="174">
                  <c:v>96.430205473754356</c:v>
                </c:pt>
                <c:pt idx="175">
                  <c:v>96.403169453456542</c:v>
                </c:pt>
                <c:pt idx="176">
                  <c:v>96.403169453456542</c:v>
                </c:pt>
                <c:pt idx="177">
                  <c:v>97.147699858580893</c:v>
                </c:pt>
                <c:pt idx="178">
                  <c:v>96.959487563430741</c:v>
                </c:pt>
                <c:pt idx="179">
                  <c:v>97.034356542716992</c:v>
                </c:pt>
                <c:pt idx="180">
                  <c:v>97.057233175276664</c:v>
                </c:pt>
                <c:pt idx="181">
                  <c:v>96.768155727476994</c:v>
                </c:pt>
                <c:pt idx="182">
                  <c:v>96.731761084768408</c:v>
                </c:pt>
                <c:pt idx="183">
                  <c:v>96.883578737209973</c:v>
                </c:pt>
                <c:pt idx="184">
                  <c:v>96.621537309708089</c:v>
                </c:pt>
                <c:pt idx="185">
                  <c:v>96.609059146493706</c:v>
                </c:pt>
                <c:pt idx="186">
                  <c:v>97.370227102570581</c:v>
                </c:pt>
                <c:pt idx="187">
                  <c:v>97.72273521337668</c:v>
                </c:pt>
                <c:pt idx="188">
                  <c:v>98.159470925879802</c:v>
                </c:pt>
                <c:pt idx="189">
                  <c:v>98.117877048498556</c:v>
                </c:pt>
                <c:pt idx="190">
                  <c:v>98.418392812578091</c:v>
                </c:pt>
                <c:pt idx="191">
                  <c:v>98.025330671325293</c:v>
                </c:pt>
                <c:pt idx="192">
                  <c:v>97.636427917810593</c:v>
                </c:pt>
                <c:pt idx="193">
                  <c:v>97.638507611679671</c:v>
                </c:pt>
                <c:pt idx="194">
                  <c:v>97.459653938940292</c:v>
                </c:pt>
                <c:pt idx="195">
                  <c:v>97.614591132185453</c:v>
                </c:pt>
                <c:pt idx="196">
                  <c:v>97.256883786706709</c:v>
                </c:pt>
                <c:pt idx="197">
                  <c:v>97.453414857333115</c:v>
                </c:pt>
                <c:pt idx="198">
                  <c:v>97.38478495965407</c:v>
                </c:pt>
                <c:pt idx="199">
                  <c:v>97.353589551618128</c:v>
                </c:pt>
                <c:pt idx="200">
                  <c:v>96.747358788786414</c:v>
                </c:pt>
                <c:pt idx="201">
                  <c:v>96.774394809084228</c:v>
                </c:pt>
                <c:pt idx="202">
                  <c:v>97.226728225605314</c:v>
                </c:pt>
                <c:pt idx="203">
                  <c:v>97.065551950752976</c:v>
                </c:pt>
                <c:pt idx="204">
                  <c:v>97.567798020131562</c:v>
                </c:pt>
                <c:pt idx="205">
                  <c:v>97.375426337243297</c:v>
                </c:pt>
                <c:pt idx="206">
                  <c:v>97.115464603610491</c:v>
                </c:pt>
                <c:pt idx="207">
                  <c:v>96.722402462357692</c:v>
                </c:pt>
                <c:pt idx="208">
                  <c:v>96.252391647949565</c:v>
                </c:pt>
                <c:pt idx="209">
                  <c:v>96.631935779053464</c:v>
                </c:pt>
                <c:pt idx="210">
                  <c:v>96.425006239081753</c:v>
                </c:pt>
                <c:pt idx="211">
                  <c:v>96.715123533815969</c:v>
                </c:pt>
                <c:pt idx="212">
                  <c:v>96.598660677148473</c:v>
                </c:pt>
                <c:pt idx="213">
                  <c:v>97.099866899592527</c:v>
                </c:pt>
                <c:pt idx="214">
                  <c:v>97.68530072373359</c:v>
                </c:pt>
                <c:pt idx="215">
                  <c:v>97.752890774478146</c:v>
                </c:pt>
                <c:pt idx="216">
                  <c:v>97.854795774062197</c:v>
                </c:pt>
                <c:pt idx="217">
                  <c:v>97.256883786706737</c:v>
                </c:pt>
                <c:pt idx="218">
                  <c:v>97.101946593461591</c:v>
                </c:pt>
                <c:pt idx="219">
                  <c:v>96.171283587056152</c:v>
                </c:pt>
                <c:pt idx="220">
                  <c:v>95.868688129107554</c:v>
                </c:pt>
                <c:pt idx="221">
                  <c:v>96.378213127027877</c:v>
                </c:pt>
                <c:pt idx="222">
                  <c:v>96.400049912653046</c:v>
                </c:pt>
                <c:pt idx="223">
                  <c:v>96.699525829798048</c:v>
                </c:pt>
                <c:pt idx="224">
                  <c:v>96.617377921970075</c:v>
                </c:pt>
                <c:pt idx="225">
                  <c:v>96.402129606522109</c:v>
                </c:pt>
                <c:pt idx="226">
                  <c:v>96.269029198902118</c:v>
                </c:pt>
                <c:pt idx="227">
                  <c:v>96.02778471009087</c:v>
                </c:pt>
                <c:pt idx="228">
                  <c:v>95.937318026786656</c:v>
                </c:pt>
                <c:pt idx="229">
                  <c:v>95.90924215955431</c:v>
                </c:pt>
                <c:pt idx="230">
                  <c:v>96.01426669994197</c:v>
                </c:pt>
                <c:pt idx="231">
                  <c:v>96.117211546460553</c:v>
                </c:pt>
                <c:pt idx="232">
                  <c:v>95.837492721071669</c:v>
                </c:pt>
                <c:pt idx="233">
                  <c:v>95.56817236502809</c:v>
                </c:pt>
                <c:pt idx="234">
                  <c:v>95.56817236502809</c:v>
                </c:pt>
                <c:pt idx="235">
                  <c:v>95.39659762083042</c:v>
                </c:pt>
                <c:pt idx="236">
                  <c:v>95.449629814491516</c:v>
                </c:pt>
                <c:pt idx="237">
                  <c:v>94.862116296481375</c:v>
                </c:pt>
                <c:pt idx="238">
                  <c:v>94.680143082938415</c:v>
                </c:pt>
                <c:pt idx="239">
                  <c:v>94.256925380584178</c:v>
                </c:pt>
                <c:pt idx="240">
                  <c:v>94.219490890941046</c:v>
                </c:pt>
                <c:pt idx="241">
                  <c:v>94.316196655852451</c:v>
                </c:pt>
                <c:pt idx="242">
                  <c:v>94.501289410199007</c:v>
                </c:pt>
                <c:pt idx="243">
                  <c:v>94.637509358622594</c:v>
                </c:pt>
                <c:pt idx="244">
                  <c:v>94.367149155644469</c:v>
                </c:pt>
                <c:pt idx="245">
                  <c:v>94.54704267531838</c:v>
                </c:pt>
                <c:pt idx="246">
                  <c:v>94.267323849929468</c:v>
                </c:pt>
                <c:pt idx="247">
                  <c:v>93.969927626653529</c:v>
                </c:pt>
                <c:pt idx="248">
                  <c:v>93.92625405540322</c:v>
                </c:pt>
                <c:pt idx="249">
                  <c:v>93.280509109059338</c:v>
                </c:pt>
                <c:pt idx="250">
                  <c:v>93.503036353049012</c:v>
                </c:pt>
                <c:pt idx="251">
                  <c:v>93.496797271441821</c:v>
                </c:pt>
                <c:pt idx="252">
                  <c:v>94.117585891356967</c:v>
                </c:pt>
                <c:pt idx="253">
                  <c:v>93.904417269778065</c:v>
                </c:pt>
                <c:pt idx="254">
                  <c:v>93.809791198735738</c:v>
                </c:pt>
                <c:pt idx="255">
                  <c:v>93.835787372099006</c:v>
                </c:pt>
                <c:pt idx="256">
                  <c:v>93.464562016471348</c:v>
                </c:pt>
                <c:pt idx="257">
                  <c:v>93.184843191082464</c:v>
                </c:pt>
                <c:pt idx="258">
                  <c:v>93.439605690042598</c:v>
                </c:pt>
                <c:pt idx="259">
                  <c:v>93.398011812661366</c:v>
                </c:pt>
                <c:pt idx="260">
                  <c:v>92.950877630812926</c:v>
                </c:pt>
                <c:pt idx="261">
                  <c:v>93.047583395724331</c:v>
                </c:pt>
                <c:pt idx="262">
                  <c:v>93.348099159803851</c:v>
                </c:pt>
                <c:pt idx="263">
                  <c:v>93.63613676066899</c:v>
                </c:pt>
                <c:pt idx="264">
                  <c:v>94.025039514183675</c:v>
                </c:pt>
                <c:pt idx="265">
                  <c:v>93.631977372930862</c:v>
                </c:pt>
                <c:pt idx="266">
                  <c:v>93.912736045254292</c:v>
                </c:pt>
                <c:pt idx="267">
                  <c:v>93.782755178437881</c:v>
                </c:pt>
                <c:pt idx="268">
                  <c:v>94.342192829215705</c:v>
                </c:pt>
                <c:pt idx="269">
                  <c:v>94.342192829215705</c:v>
                </c:pt>
                <c:pt idx="270">
                  <c:v>94.049995840612425</c:v>
                </c:pt>
                <c:pt idx="271">
                  <c:v>94.042716912070702</c:v>
                </c:pt>
                <c:pt idx="272">
                  <c:v>93.687089260461008</c:v>
                </c:pt>
                <c:pt idx="273">
                  <c:v>93.775476249896158</c:v>
                </c:pt>
                <c:pt idx="274">
                  <c:v>93.942891606355687</c:v>
                </c:pt>
                <c:pt idx="275">
                  <c:v>93.708926046086148</c:v>
                </c:pt>
                <c:pt idx="276">
                  <c:v>94.215331503202876</c:v>
                </c:pt>
                <c:pt idx="277">
                  <c:v>94.004242575493024</c:v>
                </c:pt>
                <c:pt idx="278">
                  <c:v>94.147741452458348</c:v>
                </c:pt>
                <c:pt idx="279">
                  <c:v>94.563680226270833</c:v>
                </c:pt>
                <c:pt idx="280">
                  <c:v>94.787247317195039</c:v>
                </c:pt>
                <c:pt idx="281">
                  <c:v>94.753972215290048</c:v>
                </c:pt>
                <c:pt idx="282">
                  <c:v>95.14079527493567</c:v>
                </c:pt>
                <c:pt idx="283">
                  <c:v>94.633349970884424</c:v>
                </c:pt>
                <c:pt idx="284">
                  <c:v>94.515847267282396</c:v>
                </c:pt>
                <c:pt idx="285">
                  <c:v>94.001123034689428</c:v>
                </c:pt>
                <c:pt idx="286">
                  <c:v>93.927293902337723</c:v>
                </c:pt>
                <c:pt idx="287">
                  <c:v>93.979286249064288</c:v>
                </c:pt>
                <c:pt idx="288">
                  <c:v>94.03855752433256</c:v>
                </c:pt>
                <c:pt idx="289">
                  <c:v>94.038557524332575</c:v>
                </c:pt>
                <c:pt idx="290">
                  <c:v>94.078071707844771</c:v>
                </c:pt>
                <c:pt idx="291">
                  <c:v>94.541843440645707</c:v>
                </c:pt>
                <c:pt idx="292">
                  <c:v>94.178936860494289</c:v>
                </c:pt>
                <c:pt idx="293">
                  <c:v>93.942891606355701</c:v>
                </c:pt>
                <c:pt idx="294">
                  <c:v>93.564387322186334</c:v>
                </c:pt>
                <c:pt idx="295">
                  <c:v>93.733882372514927</c:v>
                </c:pt>
                <c:pt idx="296">
                  <c:v>93.737001913318508</c:v>
                </c:pt>
                <c:pt idx="297">
                  <c:v>93.711005739955226</c:v>
                </c:pt>
                <c:pt idx="298">
                  <c:v>94.482572165377391</c:v>
                </c:pt>
                <c:pt idx="299">
                  <c:v>94.644788287164275</c:v>
                </c:pt>
                <c:pt idx="300">
                  <c:v>94.39730471674585</c:v>
                </c:pt>
                <c:pt idx="301">
                  <c:v>94.550162216121947</c:v>
                </c:pt>
                <c:pt idx="302">
                  <c:v>95.274935529490207</c:v>
                </c:pt>
                <c:pt idx="303">
                  <c:v>95.654479660594106</c:v>
                </c:pt>
                <c:pt idx="304">
                  <c:v>96.023625322352686</c:v>
                </c:pt>
                <c:pt idx="305">
                  <c:v>95.624324099492696</c:v>
                </c:pt>
                <c:pt idx="306">
                  <c:v>95.487064304134577</c:v>
                </c:pt>
                <c:pt idx="307">
                  <c:v>95.057607520173178</c:v>
                </c:pt>
                <c:pt idx="308">
                  <c:v>95.330047417020367</c:v>
                </c:pt>
                <c:pt idx="309">
                  <c:v>95.491223691872705</c:v>
                </c:pt>
                <c:pt idx="310">
                  <c:v>95.520339406039582</c:v>
                </c:pt>
                <c:pt idx="311">
                  <c:v>95.055527826304129</c:v>
                </c:pt>
                <c:pt idx="312">
                  <c:v>95.504741702021633</c:v>
                </c:pt>
                <c:pt idx="313">
                  <c:v>95.567132518093516</c:v>
                </c:pt>
                <c:pt idx="314">
                  <c:v>95.375800682139754</c:v>
                </c:pt>
                <c:pt idx="315">
                  <c:v>96.006987771400219</c:v>
                </c:pt>
                <c:pt idx="316">
                  <c:v>96.196239913484902</c:v>
                </c:pt>
                <c:pt idx="317">
                  <c:v>96.504034606106146</c:v>
                </c:pt>
                <c:pt idx="318">
                  <c:v>96.451002412445064</c:v>
                </c:pt>
                <c:pt idx="319">
                  <c:v>96.639214707595244</c:v>
                </c:pt>
                <c:pt idx="320">
                  <c:v>97.018758838699128</c:v>
                </c:pt>
                <c:pt idx="321">
                  <c:v>96.935571083936637</c:v>
                </c:pt>
                <c:pt idx="322">
                  <c:v>96.635055319857102</c:v>
                </c:pt>
                <c:pt idx="323">
                  <c:v>96.743199401048344</c:v>
                </c:pt>
                <c:pt idx="324">
                  <c:v>96.274228433574748</c:v>
                </c:pt>
                <c:pt idx="325">
                  <c:v>96.012187006072878</c:v>
                </c:pt>
                <c:pt idx="326">
                  <c:v>96.141128025954742</c:v>
                </c:pt>
                <c:pt idx="327">
                  <c:v>95.722069711338676</c:v>
                </c:pt>
                <c:pt idx="328">
                  <c:v>95.821895017053677</c:v>
                </c:pt>
                <c:pt idx="329">
                  <c:v>95.800058231428523</c:v>
                </c:pt>
                <c:pt idx="330">
                  <c:v>95.493303385741811</c:v>
                </c:pt>
                <c:pt idx="331">
                  <c:v>95.316529406871496</c:v>
                </c:pt>
                <c:pt idx="332">
                  <c:v>95.253098743865095</c:v>
                </c:pt>
                <c:pt idx="333">
                  <c:v>95.176150070709781</c:v>
                </c:pt>
                <c:pt idx="334">
                  <c:v>94.667664919724004</c:v>
                </c:pt>
                <c:pt idx="335">
                  <c:v>94.846518592463369</c:v>
                </c:pt>
                <c:pt idx="336">
                  <c:v>94.748772980617431</c:v>
                </c:pt>
                <c:pt idx="337">
                  <c:v>94.944264204309292</c:v>
                </c:pt>
                <c:pt idx="338">
                  <c:v>94.448257216537883</c:v>
                </c:pt>
                <c:pt idx="339">
                  <c:v>94.376507778055242</c:v>
                </c:pt>
                <c:pt idx="340">
                  <c:v>94.492970634722738</c:v>
                </c:pt>
                <c:pt idx="341">
                  <c:v>94.182056401297899</c:v>
                </c:pt>
                <c:pt idx="342">
                  <c:v>94.182056401297899</c:v>
                </c:pt>
                <c:pt idx="343">
                  <c:v>94.87979369436836</c:v>
                </c:pt>
                <c:pt idx="344">
                  <c:v>94.527285583562261</c:v>
                </c:pt>
                <c:pt idx="345">
                  <c:v>94.882913235171955</c:v>
                </c:pt>
                <c:pt idx="346">
                  <c:v>94.899550786124465</c:v>
                </c:pt>
                <c:pt idx="347">
                  <c:v>94.533524665169466</c:v>
                </c:pt>
                <c:pt idx="348">
                  <c:v>93.795233341652292</c:v>
                </c:pt>
                <c:pt idx="349">
                  <c:v>93.762998086681833</c:v>
                </c:pt>
                <c:pt idx="350">
                  <c:v>93.699567423675433</c:v>
                </c:pt>
                <c:pt idx="351">
                  <c:v>94.283961400882006</c:v>
                </c:pt>
                <c:pt idx="352">
                  <c:v>94.366109308709966</c:v>
                </c:pt>
                <c:pt idx="353">
                  <c:v>93.936652524748567</c:v>
                </c:pt>
                <c:pt idx="354">
                  <c:v>93.744280841860288</c:v>
                </c:pt>
                <c:pt idx="355">
                  <c:v>93.325222527244193</c:v>
                </c:pt>
                <c:pt idx="356">
                  <c:v>93.795233341652306</c:v>
                </c:pt>
                <c:pt idx="357">
                  <c:v>93.383453955577963</c:v>
                </c:pt>
                <c:pt idx="358">
                  <c:v>93.59974211796046</c:v>
                </c:pt>
                <c:pt idx="359">
                  <c:v>93.433366608435449</c:v>
                </c:pt>
                <c:pt idx="360">
                  <c:v>93.20460028283857</c:v>
                </c:pt>
                <c:pt idx="361">
                  <c:v>93.617419515847473</c:v>
                </c:pt>
                <c:pt idx="362">
                  <c:v>93.543590383495768</c:v>
                </c:pt>
                <c:pt idx="363">
                  <c:v>93.584144413942482</c:v>
                </c:pt>
                <c:pt idx="364">
                  <c:v>93.584144413942482</c:v>
                </c:pt>
                <c:pt idx="365">
                  <c:v>93.393852424923267</c:v>
                </c:pt>
                <c:pt idx="366">
                  <c:v>93.488478495965609</c:v>
                </c:pt>
                <c:pt idx="367">
                  <c:v>94.111346809749818</c:v>
                </c:pt>
                <c:pt idx="368">
                  <c:v>93.731802678645934</c:v>
                </c:pt>
                <c:pt idx="369">
                  <c:v>93.496797271441878</c:v>
                </c:pt>
                <c:pt idx="370">
                  <c:v>93.618459362782048</c:v>
                </c:pt>
                <c:pt idx="371">
                  <c:v>93.68292987272298</c:v>
                </c:pt>
                <c:pt idx="372">
                  <c:v>93.618459362782048</c:v>
                </c:pt>
                <c:pt idx="373">
                  <c:v>94.134223442309533</c:v>
                </c:pt>
                <c:pt idx="374">
                  <c:v>94.093669411862805</c:v>
                </c:pt>
                <c:pt idx="375">
                  <c:v>94.092629564928274</c:v>
                </c:pt>
                <c:pt idx="376">
                  <c:v>94.815323184427484</c:v>
                </c:pt>
                <c:pt idx="377">
                  <c:v>95.507861242825285</c:v>
                </c:pt>
                <c:pt idx="378">
                  <c:v>95.862449047500434</c:v>
                </c:pt>
                <c:pt idx="379">
                  <c:v>95.521379252974199</c:v>
                </c:pt>
                <c:pt idx="380">
                  <c:v>95.38619915148513</c:v>
                </c:pt>
                <c:pt idx="381">
                  <c:v>95.426753181931858</c:v>
                </c:pt>
                <c:pt idx="382">
                  <c:v>95.437151651277162</c:v>
                </c:pt>
                <c:pt idx="383">
                  <c:v>95.48810415106918</c:v>
                </c:pt>
                <c:pt idx="384">
                  <c:v>95.51618001830154</c:v>
                </c:pt>
                <c:pt idx="385">
                  <c:v>95.687754762499196</c:v>
                </c:pt>
                <c:pt idx="386">
                  <c:v>96.103693536311695</c:v>
                </c:pt>
                <c:pt idx="387">
                  <c:v>96.272148739705742</c:v>
                </c:pt>
                <c:pt idx="388">
                  <c:v>96.074577822144818</c:v>
                </c:pt>
                <c:pt idx="389">
                  <c:v>96.074577822144818</c:v>
                </c:pt>
                <c:pt idx="390">
                  <c:v>96.204558688961228</c:v>
                </c:pt>
                <c:pt idx="391">
                  <c:v>96.315822310956065</c:v>
                </c:pt>
                <c:pt idx="392">
                  <c:v>96.076657516013867</c:v>
                </c:pt>
                <c:pt idx="393">
                  <c:v>95.773022211130737</c:v>
                </c:pt>
                <c:pt idx="394">
                  <c:v>95.911321853423388</c:v>
                </c:pt>
                <c:pt idx="395">
                  <c:v>96.429165626819938</c:v>
                </c:pt>
                <c:pt idx="396">
                  <c:v>96.066259046668534</c:v>
                </c:pt>
                <c:pt idx="397">
                  <c:v>96.296065219199932</c:v>
                </c:pt>
                <c:pt idx="398">
                  <c:v>96.359495882206332</c:v>
                </c:pt>
                <c:pt idx="399">
                  <c:v>96.580983279261474</c:v>
                </c:pt>
                <c:pt idx="400">
                  <c:v>96.663131187089462</c:v>
                </c:pt>
                <c:pt idx="401">
                  <c:v>96.440603943099788</c:v>
                </c:pt>
                <c:pt idx="402">
                  <c:v>96.508193993844316</c:v>
                </c:pt>
                <c:pt idx="403">
                  <c:v>96.610098993428366</c:v>
                </c:pt>
                <c:pt idx="404">
                  <c:v>96.322061392563214</c:v>
                </c:pt>
                <c:pt idx="405">
                  <c:v>96.093295066966334</c:v>
                </c:pt>
                <c:pt idx="406">
                  <c:v>95.969553281757115</c:v>
                </c:pt>
                <c:pt idx="407">
                  <c:v>95.510980783628838</c:v>
                </c:pt>
                <c:pt idx="408">
                  <c:v>95.840612261875251</c:v>
                </c:pt>
                <c:pt idx="409">
                  <c:v>95.707511854255259</c:v>
                </c:pt>
                <c:pt idx="410">
                  <c:v>95.731428333749477</c:v>
                </c:pt>
                <c:pt idx="411">
                  <c:v>95.935238332917592</c:v>
                </c:pt>
                <c:pt idx="412">
                  <c:v>95.914441394226969</c:v>
                </c:pt>
                <c:pt idx="413">
                  <c:v>96.476998585808374</c:v>
                </c:pt>
                <c:pt idx="414">
                  <c:v>96.617377921970089</c:v>
                </c:pt>
                <c:pt idx="415">
                  <c:v>96.731761084768536</c:v>
                </c:pt>
                <c:pt idx="416">
                  <c:v>96.599700524083062</c:v>
                </c:pt>
                <c:pt idx="417">
                  <c:v>96.719282921554168</c:v>
                </c:pt>
                <c:pt idx="418">
                  <c:v>96.186881291074172</c:v>
                </c:pt>
                <c:pt idx="419">
                  <c:v>96.288786290658223</c:v>
                </c:pt>
                <c:pt idx="420">
                  <c:v>96.830546543548991</c:v>
                </c:pt>
                <c:pt idx="421">
                  <c:v>96.834705931287118</c:v>
                </c:pt>
                <c:pt idx="422">
                  <c:v>97.29639797021899</c:v>
                </c:pt>
                <c:pt idx="423">
                  <c:v>97.218409450129144</c:v>
                </c:pt>
                <c:pt idx="424">
                  <c:v>96.654812411613207</c:v>
                </c:pt>
                <c:pt idx="425">
                  <c:v>96.58722236086868</c:v>
                </c:pt>
                <c:pt idx="426">
                  <c:v>96.518592463189606</c:v>
                </c:pt>
                <c:pt idx="427">
                  <c:v>96.776474502953349</c:v>
                </c:pt>
                <c:pt idx="428">
                  <c:v>96.388611596373195</c:v>
                </c:pt>
                <c:pt idx="429">
                  <c:v>96.349097412861013</c:v>
                </c:pt>
                <c:pt idx="430">
                  <c:v>96.326220780301341</c:v>
                </c:pt>
                <c:pt idx="431">
                  <c:v>96.138008485151175</c:v>
                </c:pt>
                <c:pt idx="432">
                  <c:v>95.908202312619792</c:v>
                </c:pt>
                <c:pt idx="433">
                  <c:v>95.685675068630104</c:v>
                </c:pt>
                <c:pt idx="434">
                  <c:v>95.685675068630104</c:v>
                </c:pt>
                <c:pt idx="435">
                  <c:v>96.195200066550399</c:v>
                </c:pt>
                <c:pt idx="436">
                  <c:v>96.335579402712128</c:v>
                </c:pt>
                <c:pt idx="437">
                  <c:v>96.158805423841827</c:v>
                </c:pt>
                <c:pt idx="438">
                  <c:v>96.262790117294941</c:v>
                </c:pt>
                <c:pt idx="439">
                  <c:v>96.341818484319319</c:v>
                </c:pt>
                <c:pt idx="440">
                  <c:v>96.236793943931673</c:v>
                </c:pt>
                <c:pt idx="441">
                  <c:v>96.158805423841812</c:v>
                </c:pt>
                <c:pt idx="442">
                  <c:v>96.559146493636334</c:v>
                </c:pt>
                <c:pt idx="443">
                  <c:v>96.831586390483508</c:v>
                </c:pt>
                <c:pt idx="444">
                  <c:v>96.914774145246014</c:v>
                </c:pt>
                <c:pt idx="445">
                  <c:v>96.856542716912273</c:v>
                </c:pt>
                <c:pt idx="446">
                  <c:v>97.11130521587242</c:v>
                </c:pt>
                <c:pt idx="447">
                  <c:v>96.674569503369298</c:v>
                </c:pt>
                <c:pt idx="448">
                  <c:v>96.991722818401328</c:v>
                </c:pt>
                <c:pt idx="449">
                  <c:v>97.039555777389751</c:v>
                </c:pt>
                <c:pt idx="450">
                  <c:v>97.444056234922414</c:v>
                </c:pt>
                <c:pt idx="451">
                  <c:v>98.050286997754128</c:v>
                </c:pt>
                <c:pt idx="452">
                  <c:v>97.932784294152086</c:v>
                </c:pt>
                <c:pt idx="453">
                  <c:v>97.732093835787552</c:v>
                </c:pt>
                <c:pt idx="454">
                  <c:v>97.459653938940377</c:v>
                </c:pt>
                <c:pt idx="455">
                  <c:v>97.65410531569772</c:v>
                </c:pt>
                <c:pt idx="456">
                  <c:v>97.976457865402395</c:v>
                </c:pt>
                <c:pt idx="457">
                  <c:v>97.913027202395995</c:v>
                </c:pt>
                <c:pt idx="458">
                  <c:v>97.760169703019898</c:v>
                </c:pt>
                <c:pt idx="459">
                  <c:v>98.027410365194427</c:v>
                </c:pt>
                <c:pt idx="460">
                  <c:v>98.228100823558947</c:v>
                </c:pt>
                <c:pt idx="461">
                  <c:v>97.771608019299748</c:v>
                </c:pt>
                <c:pt idx="462">
                  <c:v>97.653065468763174</c:v>
                </c:pt>
                <c:pt idx="463">
                  <c:v>97.623949754596296</c:v>
                </c:pt>
                <c:pt idx="464">
                  <c:v>97.631228683138019</c:v>
                </c:pt>
                <c:pt idx="465">
                  <c:v>97.410781133017394</c:v>
                </c:pt>
                <c:pt idx="466">
                  <c:v>97.210090674652875</c:v>
                </c:pt>
                <c:pt idx="467">
                  <c:v>97.441976541053336</c:v>
                </c:pt>
                <c:pt idx="468">
                  <c:v>97.303676898760699</c:v>
                </c:pt>
                <c:pt idx="469">
                  <c:v>97.489809500041787</c:v>
                </c:pt>
                <c:pt idx="470">
                  <c:v>97.616670826054602</c:v>
                </c:pt>
                <c:pt idx="471">
                  <c:v>97.478371183761922</c:v>
                </c:pt>
                <c:pt idx="472">
                  <c:v>96.982364195990527</c:v>
                </c:pt>
                <c:pt idx="473">
                  <c:v>97.809042508942866</c:v>
                </c:pt>
                <c:pt idx="474">
                  <c:v>97.56259878545896</c:v>
                </c:pt>
                <c:pt idx="475">
                  <c:v>97.770568172365216</c:v>
                </c:pt>
                <c:pt idx="476">
                  <c:v>97.540761999833805</c:v>
                </c:pt>
                <c:pt idx="477">
                  <c:v>98.037808834539746</c:v>
                </c:pt>
                <c:pt idx="478">
                  <c:v>98.007653273438322</c:v>
                </c:pt>
                <c:pt idx="479">
                  <c:v>97.726894601114907</c:v>
                </c:pt>
                <c:pt idx="480">
                  <c:v>97.637467764745224</c:v>
                </c:pt>
                <c:pt idx="481">
                  <c:v>98.549413526329118</c:v>
                </c:pt>
                <c:pt idx="482">
                  <c:v>98.905041177938813</c:v>
                </c:pt>
                <c:pt idx="483">
                  <c:v>98.850969137343199</c:v>
                </c:pt>
                <c:pt idx="484">
                  <c:v>99.139006738208352</c:v>
                </c:pt>
                <c:pt idx="485">
                  <c:v>99.670368521753815</c:v>
                </c:pt>
                <c:pt idx="486">
                  <c:v>99.579901838449601</c:v>
                </c:pt>
                <c:pt idx="487">
                  <c:v>99.281465768239144</c:v>
                </c:pt>
                <c:pt idx="488">
                  <c:v>99.781632143748666</c:v>
                </c:pt>
                <c:pt idx="489">
                  <c:v>100.31819316196679</c:v>
                </c:pt>
                <c:pt idx="490">
                  <c:v>100.26620081524024</c:v>
                </c:pt>
                <c:pt idx="491">
                  <c:v>100.65926295649304</c:v>
                </c:pt>
                <c:pt idx="492">
                  <c:v>100.65926295649305</c:v>
                </c:pt>
                <c:pt idx="493">
                  <c:v>99.860660510773059</c:v>
                </c:pt>
                <c:pt idx="494">
                  <c:v>100.10398469345336</c:v>
                </c:pt>
                <c:pt idx="495">
                  <c:v>99.759795358123512</c:v>
                </c:pt>
                <c:pt idx="496">
                  <c:v>99.787871225355858</c:v>
                </c:pt>
                <c:pt idx="497">
                  <c:v>99.937609183928359</c:v>
                </c:pt>
                <c:pt idx="498">
                  <c:v>99.90225438815429</c:v>
                </c:pt>
                <c:pt idx="499">
                  <c:v>100.14245903003102</c:v>
                </c:pt>
                <c:pt idx="500">
                  <c:v>100.18405290741225</c:v>
                </c:pt>
                <c:pt idx="501">
                  <c:v>99.684926378837247</c:v>
                </c:pt>
                <c:pt idx="502">
                  <c:v>100.06655020381022</c:v>
                </c:pt>
                <c:pt idx="503">
                  <c:v>99.90225438815429</c:v>
                </c:pt>
                <c:pt idx="504">
                  <c:v>100.10814408119148</c:v>
                </c:pt>
                <c:pt idx="505">
                  <c:v>100.35874719241352</c:v>
                </c:pt>
                <c:pt idx="506">
                  <c:v>100.31091423342507</c:v>
                </c:pt>
                <c:pt idx="507">
                  <c:v>99.804508776308367</c:v>
                </c:pt>
                <c:pt idx="508">
                  <c:v>100.35874719241352</c:v>
                </c:pt>
                <c:pt idx="509">
                  <c:v>100.36082688628257</c:v>
                </c:pt>
                <c:pt idx="510">
                  <c:v>100.29739622327615</c:v>
                </c:pt>
                <c:pt idx="511">
                  <c:v>99.865859745445704</c:v>
                </c:pt>
                <c:pt idx="512">
                  <c:v>99.778512602945071</c:v>
                </c:pt>
                <c:pt idx="513">
                  <c:v>99.878337908660072</c:v>
                </c:pt>
                <c:pt idx="514">
                  <c:v>100.00000000000023</c:v>
                </c:pt>
                <c:pt idx="515">
                  <c:v>99.706763164462416</c:v>
                </c:pt>
                <c:pt idx="516">
                  <c:v>99.741078113301953</c:v>
                </c:pt>
                <c:pt idx="517">
                  <c:v>99.360494135263522</c:v>
                </c:pt>
                <c:pt idx="518">
                  <c:v>99.997920306131164</c:v>
                </c:pt>
                <c:pt idx="519">
                  <c:v>100.06343066300663</c:v>
                </c:pt>
                <c:pt idx="520">
                  <c:v>99.957366275684436</c:v>
                </c:pt>
                <c:pt idx="521">
                  <c:v>100.11750270360226</c:v>
                </c:pt>
                <c:pt idx="522">
                  <c:v>99.484235920472713</c:v>
                </c:pt>
                <c:pt idx="523">
                  <c:v>99.757715664254448</c:v>
                </c:pt>
                <c:pt idx="524">
                  <c:v>99.37297229847789</c:v>
                </c:pt>
                <c:pt idx="525">
                  <c:v>98.625322352549944</c:v>
                </c:pt>
                <c:pt idx="526">
                  <c:v>98.489102404126356</c:v>
                </c:pt>
                <c:pt idx="527">
                  <c:v>98.895682555528055</c:v>
                </c:pt>
                <c:pt idx="528">
                  <c:v>98.895682555528055</c:v>
                </c:pt>
                <c:pt idx="529">
                  <c:v>99.46967806338931</c:v>
                </c:pt>
                <c:pt idx="530">
                  <c:v>99.242991431661494</c:v>
                </c:pt>
                <c:pt idx="531">
                  <c:v>99.466558522585728</c:v>
                </c:pt>
                <c:pt idx="532">
                  <c:v>99.374012145412465</c:v>
                </c:pt>
                <c:pt idx="533">
                  <c:v>99.654770817735908</c:v>
                </c:pt>
                <c:pt idx="534">
                  <c:v>99.682846684968254</c:v>
                </c:pt>
                <c:pt idx="535">
                  <c:v>100.173654438067</c:v>
                </c:pt>
                <c:pt idx="536">
                  <c:v>101.02840861825169</c:v>
                </c:pt>
                <c:pt idx="537">
                  <c:v>101.04816571000779</c:v>
                </c:pt>
                <c:pt idx="538">
                  <c:v>100.30571499875249</c:v>
                </c:pt>
                <c:pt idx="539">
                  <c:v>100.14245903003109</c:v>
                </c:pt>
                <c:pt idx="540">
                  <c:v>99.674527909492028</c:v>
                </c:pt>
                <c:pt idx="541">
                  <c:v>99.122369187255941</c:v>
                </c:pt>
                <c:pt idx="542">
                  <c:v>99.211796023625638</c:v>
                </c:pt>
                <c:pt idx="543">
                  <c:v>99.125488728059537</c:v>
                </c:pt>
                <c:pt idx="544">
                  <c:v>99.374012145412493</c:v>
                </c:pt>
                <c:pt idx="545">
                  <c:v>99.22635388070907</c:v>
                </c:pt>
                <c:pt idx="546">
                  <c:v>99.261708676483124</c:v>
                </c:pt>
                <c:pt idx="547">
                  <c:v>99.823226021130012</c:v>
                </c:pt>
                <c:pt idx="548">
                  <c:v>100.12790117294765</c:v>
                </c:pt>
                <c:pt idx="549">
                  <c:v>99.745237501040151</c:v>
                </c:pt>
                <c:pt idx="550">
                  <c:v>99.437442808418893</c:v>
                </c:pt>
                <c:pt idx="551">
                  <c:v>99.537268114133894</c:v>
                </c:pt>
                <c:pt idx="552">
                  <c:v>99.775393062141546</c:v>
                </c:pt>
                <c:pt idx="553">
                  <c:v>99.783711837617787</c:v>
                </c:pt>
                <c:pt idx="554">
                  <c:v>99.758755511189065</c:v>
                </c:pt>
                <c:pt idx="555">
                  <c:v>99.927210714583126</c:v>
                </c:pt>
                <c:pt idx="556">
                  <c:v>100.90986606771514</c:v>
                </c:pt>
                <c:pt idx="557">
                  <c:v>100.39098244738405</c:v>
                </c:pt>
                <c:pt idx="558">
                  <c:v>100.46897096747388</c:v>
                </c:pt>
                <c:pt idx="559">
                  <c:v>101.25405540304496</c:v>
                </c:pt>
                <c:pt idx="560">
                  <c:v>101.28525081108089</c:v>
                </c:pt>
                <c:pt idx="561">
                  <c:v>101.68975126861355</c:v>
                </c:pt>
                <c:pt idx="562">
                  <c:v>102.60273687713199</c:v>
                </c:pt>
                <c:pt idx="563">
                  <c:v>103.3982197820484</c:v>
                </c:pt>
                <c:pt idx="564">
                  <c:v>103.2256051909162</c:v>
                </c:pt>
                <c:pt idx="565">
                  <c:v>101.9767490225442</c:v>
                </c:pt>
                <c:pt idx="566">
                  <c:v>102.48419432659544</c:v>
                </c:pt>
                <c:pt idx="567">
                  <c:v>103.135138507612</c:v>
                </c:pt>
                <c:pt idx="568">
                  <c:v>102.96980284502152</c:v>
                </c:pt>
                <c:pt idx="569">
                  <c:v>102.82422427418715</c:v>
                </c:pt>
                <c:pt idx="570">
                  <c:v>102.3167789701359</c:v>
                </c:pt>
                <c:pt idx="571">
                  <c:v>101.6606355544467</c:v>
                </c:pt>
                <c:pt idx="572">
                  <c:v>101.93307545129389</c:v>
                </c:pt>
                <c:pt idx="573">
                  <c:v>102.20031611346842</c:v>
                </c:pt>
                <c:pt idx="574">
                  <c:v>102.21487397055185</c:v>
                </c:pt>
                <c:pt idx="575">
                  <c:v>102.3001414191834</c:v>
                </c:pt>
                <c:pt idx="576">
                  <c:v>102.49251310207168</c:v>
                </c:pt>
                <c:pt idx="577">
                  <c:v>102.51019049995871</c:v>
                </c:pt>
                <c:pt idx="578">
                  <c:v>102.74727560103184</c:v>
                </c:pt>
                <c:pt idx="579">
                  <c:v>102.10880958322966</c:v>
                </c:pt>
                <c:pt idx="580">
                  <c:v>101.52025621828497</c:v>
                </c:pt>
                <c:pt idx="581">
                  <c:v>102.02458198153261</c:v>
                </c:pt>
                <c:pt idx="582">
                  <c:v>102.29702187837978</c:v>
                </c:pt>
                <c:pt idx="583">
                  <c:v>102.66304799933478</c:v>
                </c:pt>
                <c:pt idx="584">
                  <c:v>103.12474003826665</c:v>
                </c:pt>
                <c:pt idx="585">
                  <c:v>103.27759753764272</c:v>
                </c:pt>
                <c:pt idx="586">
                  <c:v>103.469969220531</c:v>
                </c:pt>
                <c:pt idx="587">
                  <c:v>103.45437151651304</c:v>
                </c:pt>
                <c:pt idx="588">
                  <c:v>103.63530488312148</c:v>
                </c:pt>
                <c:pt idx="589">
                  <c:v>104.02836702437429</c:v>
                </c:pt>
                <c:pt idx="590">
                  <c:v>103.63426503618695</c:v>
                </c:pt>
                <c:pt idx="591">
                  <c:v>104.0481241161304</c:v>
                </c:pt>
                <c:pt idx="592">
                  <c:v>104.51085600199679</c:v>
                </c:pt>
                <c:pt idx="593">
                  <c:v>104.70634722568866</c:v>
                </c:pt>
                <c:pt idx="594">
                  <c:v>104.1323517178274</c:v>
                </c:pt>
                <c:pt idx="595">
                  <c:v>104.33720156393007</c:v>
                </c:pt>
                <c:pt idx="596">
                  <c:v>104.96006987771428</c:v>
                </c:pt>
                <c:pt idx="597">
                  <c:v>105.53822477331363</c:v>
                </c:pt>
                <c:pt idx="598">
                  <c:v>106.14029614840722</c:v>
                </c:pt>
                <c:pt idx="599">
                  <c:v>106.7850012478166</c:v>
                </c:pt>
                <c:pt idx="600">
                  <c:v>107.50873471425034</c:v>
                </c:pt>
                <c:pt idx="601">
                  <c:v>106.80059895183456</c:v>
                </c:pt>
                <c:pt idx="602">
                  <c:v>107.6511937442811</c:v>
                </c:pt>
                <c:pt idx="603">
                  <c:v>107.33923966392173</c:v>
                </c:pt>
                <c:pt idx="604">
                  <c:v>106.4324931370105</c:v>
                </c:pt>
                <c:pt idx="605">
                  <c:v>107.68862823392423</c:v>
                </c:pt>
                <c:pt idx="606">
                  <c:v>107.61271940770347</c:v>
                </c:pt>
                <c:pt idx="607">
                  <c:v>107.62831711172144</c:v>
                </c:pt>
                <c:pt idx="608">
                  <c:v>107.88723899841972</c:v>
                </c:pt>
                <c:pt idx="609">
                  <c:v>107.78429415190112</c:v>
                </c:pt>
                <c:pt idx="610">
                  <c:v>108.85325680059924</c:v>
                </c:pt>
                <c:pt idx="611">
                  <c:v>108.5558605773233</c:v>
                </c:pt>
                <c:pt idx="612">
                  <c:v>108.16487812993955</c:v>
                </c:pt>
                <c:pt idx="613">
                  <c:v>107.29348639880239</c:v>
                </c:pt>
                <c:pt idx="614">
                  <c:v>107.81340986606801</c:v>
                </c:pt>
                <c:pt idx="615">
                  <c:v>106.66853839114913</c:v>
                </c:pt>
                <c:pt idx="616">
                  <c:v>107.11255303219396</c:v>
                </c:pt>
                <c:pt idx="617">
                  <c:v>105.97288079194773</c:v>
                </c:pt>
                <c:pt idx="618">
                  <c:v>105.71083936444586</c:v>
                </c:pt>
                <c:pt idx="619">
                  <c:v>105.9416853839118</c:v>
                </c:pt>
                <c:pt idx="620">
                  <c:v>105.71915813992211</c:v>
                </c:pt>
                <c:pt idx="621">
                  <c:v>105.54758339572444</c:v>
                </c:pt>
                <c:pt idx="622">
                  <c:v>105.10772814241773</c:v>
                </c:pt>
                <c:pt idx="623">
                  <c:v>105.61309375259992</c:v>
                </c:pt>
                <c:pt idx="624">
                  <c:v>106.38050079028397</c:v>
                </c:pt>
                <c:pt idx="625">
                  <c:v>105.66612594626102</c:v>
                </c:pt>
                <c:pt idx="626">
                  <c:v>106.01343482239444</c:v>
                </c:pt>
                <c:pt idx="627">
                  <c:v>106.3711421678732</c:v>
                </c:pt>
                <c:pt idx="628">
                  <c:v>106.24636053572945</c:v>
                </c:pt>
                <c:pt idx="629">
                  <c:v>106.48656517760618</c:v>
                </c:pt>
                <c:pt idx="630">
                  <c:v>107.18846185841477</c:v>
                </c:pt>
                <c:pt idx="631">
                  <c:v>108.15759920139787</c:v>
                </c:pt>
                <c:pt idx="632">
                  <c:v>109.14857333000614</c:v>
                </c:pt>
                <c:pt idx="633">
                  <c:v>109.17560935030397</c:v>
                </c:pt>
                <c:pt idx="634">
                  <c:v>108.77318858664039</c:v>
                </c:pt>
                <c:pt idx="635">
                  <c:v>107.19470094002196</c:v>
                </c:pt>
                <c:pt idx="636">
                  <c:v>108.32397471092288</c:v>
                </c:pt>
                <c:pt idx="637">
                  <c:v>108.32397471092288</c:v>
                </c:pt>
                <c:pt idx="638">
                  <c:v>108.02033940603975</c:v>
                </c:pt>
                <c:pt idx="639">
                  <c:v>107.76037767240695</c:v>
                </c:pt>
                <c:pt idx="640">
                  <c:v>107.96938690624771</c:v>
                </c:pt>
                <c:pt idx="641">
                  <c:v>107.72710257050194</c:v>
                </c:pt>
                <c:pt idx="642">
                  <c:v>107.43490558189866</c:v>
                </c:pt>
                <c:pt idx="643">
                  <c:v>108.02033940603975</c:v>
                </c:pt>
                <c:pt idx="644">
                  <c:v>108.64736710756208</c:v>
                </c:pt>
                <c:pt idx="645">
                  <c:v>108.23142833374959</c:v>
                </c:pt>
                <c:pt idx="646">
                  <c:v>108.71495715830662</c:v>
                </c:pt>
                <c:pt idx="647">
                  <c:v>108.7149571583066</c:v>
                </c:pt>
                <c:pt idx="648">
                  <c:v>110.17178271358486</c:v>
                </c:pt>
                <c:pt idx="649">
                  <c:v>110.80920888445252</c:v>
                </c:pt>
                <c:pt idx="650">
                  <c:v>110.84144413942298</c:v>
                </c:pt>
                <c:pt idx="651">
                  <c:v>110.6823475584397</c:v>
                </c:pt>
                <c:pt idx="652">
                  <c:v>111.75650944181046</c:v>
                </c:pt>
                <c:pt idx="653">
                  <c:v>111.85321520672186</c:v>
                </c:pt>
                <c:pt idx="654">
                  <c:v>111.6650029115717</c:v>
                </c:pt>
                <c:pt idx="655">
                  <c:v>112.3367440312789</c:v>
                </c:pt>
                <c:pt idx="656">
                  <c:v>111.87297229847796</c:v>
                </c:pt>
                <c:pt idx="657">
                  <c:v>111.15547791365141</c:v>
                </c:pt>
                <c:pt idx="658">
                  <c:v>110.48373679394422</c:v>
                </c:pt>
                <c:pt idx="659">
                  <c:v>110.85600199650641</c:v>
                </c:pt>
                <c:pt idx="660">
                  <c:v>110.72186174195187</c:v>
                </c:pt>
                <c:pt idx="661">
                  <c:v>110.55236669162328</c:v>
                </c:pt>
                <c:pt idx="662">
                  <c:v>110.26536893769266</c:v>
                </c:pt>
                <c:pt idx="663">
                  <c:v>110.9662257715667</c:v>
                </c:pt>
                <c:pt idx="664">
                  <c:v>110.24041261126391</c:v>
                </c:pt>
                <c:pt idx="665">
                  <c:v>110.14162715248344</c:v>
                </c:pt>
                <c:pt idx="666">
                  <c:v>109.67681557274797</c:v>
                </c:pt>
                <c:pt idx="667">
                  <c:v>109.20056567673267</c:v>
                </c:pt>
                <c:pt idx="668">
                  <c:v>109.97837118376204</c:v>
                </c:pt>
                <c:pt idx="669">
                  <c:v>110.26224939688908</c:v>
                </c:pt>
                <c:pt idx="670">
                  <c:v>109.46052741036549</c:v>
                </c:pt>
                <c:pt idx="671">
                  <c:v>110.35895516180047</c:v>
                </c:pt>
                <c:pt idx="672">
                  <c:v>110.19049995840641</c:v>
                </c:pt>
                <c:pt idx="673">
                  <c:v>110.12187006072733</c:v>
                </c:pt>
                <c:pt idx="674">
                  <c:v>108.90316945345671</c:v>
                </c:pt>
                <c:pt idx="675">
                  <c:v>108.81374261708703</c:v>
                </c:pt>
                <c:pt idx="676">
                  <c:v>109.33470593128717</c:v>
                </c:pt>
                <c:pt idx="677">
                  <c:v>110.29448465185952</c:v>
                </c:pt>
                <c:pt idx="678">
                  <c:v>110.26848847849624</c:v>
                </c:pt>
                <c:pt idx="679">
                  <c:v>110.39119041677093</c:v>
                </c:pt>
                <c:pt idx="680">
                  <c:v>111.37280592296841</c:v>
                </c:pt>
                <c:pt idx="681">
                  <c:v>112.09861908327122</c:v>
                </c:pt>
                <c:pt idx="682">
                  <c:v>113.01160469178964</c:v>
                </c:pt>
                <c:pt idx="683">
                  <c:v>112.57278928541746</c:v>
                </c:pt>
                <c:pt idx="684">
                  <c:v>112.64245903003103</c:v>
                </c:pt>
                <c:pt idx="685">
                  <c:v>112.44176857166651</c:v>
                </c:pt>
                <c:pt idx="686">
                  <c:v>112.77243989684746</c:v>
                </c:pt>
                <c:pt idx="687">
                  <c:v>112.86498627402075</c:v>
                </c:pt>
                <c:pt idx="688">
                  <c:v>112.79635637634169</c:v>
                </c:pt>
                <c:pt idx="689">
                  <c:v>112.71940770318639</c:v>
                </c:pt>
                <c:pt idx="690">
                  <c:v>113.76237417852123</c:v>
                </c:pt>
                <c:pt idx="691">
                  <c:v>113.6084768322106</c:v>
                </c:pt>
                <c:pt idx="692">
                  <c:v>113.6084768322106</c:v>
                </c:pt>
                <c:pt idx="693">
                  <c:v>114.29893519673934</c:v>
                </c:pt>
                <c:pt idx="694">
                  <c:v>113.93290907578434</c:v>
                </c:pt>
                <c:pt idx="695">
                  <c:v>113.81956575992044</c:v>
                </c:pt>
                <c:pt idx="696">
                  <c:v>113.06463688545077</c:v>
                </c:pt>
                <c:pt idx="697">
                  <c:v>112.40329423508889</c:v>
                </c:pt>
                <c:pt idx="698">
                  <c:v>113.89235504533762</c:v>
                </c:pt>
                <c:pt idx="699">
                  <c:v>113.72909907661621</c:v>
                </c:pt>
                <c:pt idx="700">
                  <c:v>113.81332667831325</c:v>
                </c:pt>
                <c:pt idx="701">
                  <c:v>113.86947841277794</c:v>
                </c:pt>
                <c:pt idx="702">
                  <c:v>113.68958489310404</c:v>
                </c:pt>
                <c:pt idx="703">
                  <c:v>114.32285167623357</c:v>
                </c:pt>
                <c:pt idx="704">
                  <c:v>114.74294983778421</c:v>
                </c:pt>
                <c:pt idx="705">
                  <c:v>115.53219366109342</c:v>
                </c:pt>
                <c:pt idx="706">
                  <c:v>117.46318941851794</c:v>
                </c:pt>
                <c:pt idx="707">
                  <c:v>118.56334747525199</c:v>
                </c:pt>
                <c:pt idx="708">
                  <c:v>118.59142334248433</c:v>
                </c:pt>
                <c:pt idx="709">
                  <c:v>116.99109891024077</c:v>
                </c:pt>
                <c:pt idx="710">
                  <c:v>116.6729057482742</c:v>
                </c:pt>
                <c:pt idx="711">
                  <c:v>116.55020380999953</c:v>
                </c:pt>
                <c:pt idx="712">
                  <c:v>116.10514932202017</c:v>
                </c:pt>
                <c:pt idx="713">
                  <c:v>114.36340570668033</c:v>
                </c:pt>
                <c:pt idx="714">
                  <c:v>115.43444804924751</c:v>
                </c:pt>
                <c:pt idx="715">
                  <c:v>116.65314865651813</c:v>
                </c:pt>
                <c:pt idx="716">
                  <c:v>117.17307212378375</c:v>
                </c:pt>
                <c:pt idx="717">
                  <c:v>117.57653273438187</c:v>
                </c:pt>
                <c:pt idx="718">
                  <c:v>117.63580400965016</c:v>
                </c:pt>
                <c:pt idx="719">
                  <c:v>117.73562931536517</c:v>
                </c:pt>
                <c:pt idx="720">
                  <c:v>116.72593794193534</c:v>
                </c:pt>
                <c:pt idx="721">
                  <c:v>117.71275268280549</c:v>
                </c:pt>
                <c:pt idx="722">
                  <c:v>116.36719074952207</c:v>
                </c:pt>
                <c:pt idx="723">
                  <c:v>116.45661758589175</c:v>
                </c:pt>
                <c:pt idx="724">
                  <c:v>117.3768821229519</c:v>
                </c:pt>
                <c:pt idx="725">
                  <c:v>117.3134514599455</c:v>
                </c:pt>
                <c:pt idx="726">
                  <c:v>116.44205972880832</c:v>
                </c:pt>
                <c:pt idx="727">
                  <c:v>116.3682305964566</c:v>
                </c:pt>
                <c:pt idx="728">
                  <c:v>115.24623575409738</c:v>
                </c:pt>
                <c:pt idx="729">
                  <c:v>113.91731137176646</c:v>
                </c:pt>
                <c:pt idx="730">
                  <c:v>114.8542134597791</c:v>
                </c:pt>
                <c:pt idx="731">
                  <c:v>115.01331004076238</c:v>
                </c:pt>
                <c:pt idx="732">
                  <c:v>115.85974544547082</c:v>
                </c:pt>
                <c:pt idx="733">
                  <c:v>115.79631478246441</c:v>
                </c:pt>
                <c:pt idx="734">
                  <c:v>115.65801514017176</c:v>
                </c:pt>
                <c:pt idx="735">
                  <c:v>117.29889360286205</c:v>
                </c:pt>
                <c:pt idx="736">
                  <c:v>115.18800432576364</c:v>
                </c:pt>
                <c:pt idx="737">
                  <c:v>114.37588386989474</c:v>
                </c:pt>
                <c:pt idx="738">
                  <c:v>113.90691290242114</c:v>
                </c:pt>
                <c:pt idx="739">
                  <c:v>114.86149238832081</c:v>
                </c:pt>
                <c:pt idx="740">
                  <c:v>112.39913484735084</c:v>
                </c:pt>
                <c:pt idx="741">
                  <c:v>110.39430995757461</c:v>
                </c:pt>
                <c:pt idx="742">
                  <c:v>110.77593378254757</c:v>
                </c:pt>
                <c:pt idx="743">
                  <c:v>110.53052990599818</c:v>
                </c:pt>
                <c:pt idx="744">
                  <c:v>110.38183179436022</c:v>
                </c:pt>
                <c:pt idx="745">
                  <c:v>110.83936444555397</c:v>
                </c:pt>
                <c:pt idx="746">
                  <c:v>111.08268862823428</c:v>
                </c:pt>
                <c:pt idx="747">
                  <c:v>112.0247899509196</c:v>
                </c:pt>
                <c:pt idx="748">
                  <c:v>111.38320439231381</c:v>
                </c:pt>
                <c:pt idx="749">
                  <c:v>110.18946011147194</c:v>
                </c:pt>
                <c:pt idx="750">
                  <c:v>110.18946011147194</c:v>
                </c:pt>
                <c:pt idx="751">
                  <c:v>110.13746776474538</c:v>
                </c:pt>
                <c:pt idx="752">
                  <c:v>110.88095832293521</c:v>
                </c:pt>
                <c:pt idx="753">
                  <c:v>111.02237750603146</c:v>
                </c:pt>
                <c:pt idx="754">
                  <c:v>110.11667082605476</c:v>
                </c:pt>
                <c:pt idx="755">
                  <c:v>108.86053572914101</c:v>
                </c:pt>
                <c:pt idx="756">
                  <c:v>108.66400465851461</c:v>
                </c:pt>
                <c:pt idx="757">
                  <c:v>109.4324515431332</c:v>
                </c:pt>
                <c:pt idx="758">
                  <c:v>109.74752516429616</c:v>
                </c:pt>
                <c:pt idx="759">
                  <c:v>109.24215955411398</c:v>
                </c:pt>
                <c:pt idx="760">
                  <c:v>108.93020547375461</c:v>
                </c:pt>
                <c:pt idx="761">
                  <c:v>108.97491889193947</c:v>
                </c:pt>
                <c:pt idx="762">
                  <c:v>109.2920722069715</c:v>
                </c:pt>
                <c:pt idx="763">
                  <c:v>108.08480991598073</c:v>
                </c:pt>
                <c:pt idx="764">
                  <c:v>107.87268114133636</c:v>
                </c:pt>
                <c:pt idx="765">
                  <c:v>108.69727976041962</c:v>
                </c:pt>
                <c:pt idx="766">
                  <c:v>108.83142001497416</c:v>
                </c:pt>
                <c:pt idx="767">
                  <c:v>108.76279011729508</c:v>
                </c:pt>
                <c:pt idx="768">
                  <c:v>107.73438149904369</c:v>
                </c:pt>
                <c:pt idx="769">
                  <c:v>107.98498461026571</c:v>
                </c:pt>
                <c:pt idx="770">
                  <c:v>108.27614175193446</c:v>
                </c:pt>
                <c:pt idx="771">
                  <c:v>108.15447966059432</c:v>
                </c:pt>
                <c:pt idx="772">
                  <c:v>108.03281756925415</c:v>
                </c:pt>
                <c:pt idx="773">
                  <c:v>108.33333333333367</c:v>
                </c:pt>
                <c:pt idx="774">
                  <c:v>107.71358456035306</c:v>
                </c:pt>
                <c:pt idx="775">
                  <c:v>107.38395308210667</c:v>
                </c:pt>
                <c:pt idx="776">
                  <c:v>108.46851343482275</c:v>
                </c:pt>
                <c:pt idx="777">
                  <c:v>108.16591797687417</c:v>
                </c:pt>
                <c:pt idx="778">
                  <c:v>109.00507445304089</c:v>
                </c:pt>
                <c:pt idx="779">
                  <c:v>107.77597537642495</c:v>
                </c:pt>
                <c:pt idx="780">
                  <c:v>106.83699359454324</c:v>
                </c:pt>
                <c:pt idx="781">
                  <c:v>107.08343731802717</c:v>
                </c:pt>
                <c:pt idx="782">
                  <c:v>107.02936527743152</c:v>
                </c:pt>
                <c:pt idx="783">
                  <c:v>106.05918808751387</c:v>
                </c:pt>
                <c:pt idx="784">
                  <c:v>106.00823558772184</c:v>
                </c:pt>
                <c:pt idx="785">
                  <c:v>106.00823558772184</c:v>
                </c:pt>
                <c:pt idx="786">
                  <c:v>106.21100573995544</c:v>
                </c:pt>
                <c:pt idx="787">
                  <c:v>106.17565094418137</c:v>
                </c:pt>
                <c:pt idx="788">
                  <c:v>105.88865319025076</c:v>
                </c:pt>
                <c:pt idx="789">
                  <c:v>105.83666084352421</c:v>
                </c:pt>
                <c:pt idx="790">
                  <c:v>105.97704017968593</c:v>
                </c:pt>
                <c:pt idx="791">
                  <c:v>105.72643706846389</c:v>
                </c:pt>
                <c:pt idx="792">
                  <c:v>105.4571167124203</c:v>
                </c:pt>
                <c:pt idx="793">
                  <c:v>105.68796273188623</c:v>
                </c:pt>
                <c:pt idx="794">
                  <c:v>105.77427002745232</c:v>
                </c:pt>
                <c:pt idx="795">
                  <c:v>106.15381415855622</c:v>
                </c:pt>
                <c:pt idx="796">
                  <c:v>105.97600033275138</c:v>
                </c:pt>
                <c:pt idx="797">
                  <c:v>105.05365610182217</c:v>
                </c:pt>
                <c:pt idx="798">
                  <c:v>105.62245237501075</c:v>
                </c:pt>
                <c:pt idx="799">
                  <c:v>106.84947175775761</c:v>
                </c:pt>
                <c:pt idx="800">
                  <c:v>107.62207803011434</c:v>
                </c:pt>
                <c:pt idx="801">
                  <c:v>107.4141086432081</c:v>
                </c:pt>
                <c:pt idx="802">
                  <c:v>107.38707262291028</c:v>
                </c:pt>
                <c:pt idx="803">
                  <c:v>107.21445803177808</c:v>
                </c:pt>
                <c:pt idx="804">
                  <c:v>107.66055236669199</c:v>
                </c:pt>
                <c:pt idx="805">
                  <c:v>107.36211629648153</c:v>
                </c:pt>
                <c:pt idx="806">
                  <c:v>107.23213542966514</c:v>
                </c:pt>
                <c:pt idx="807">
                  <c:v>107.97666583478949</c:v>
                </c:pt>
                <c:pt idx="808">
                  <c:v>107.92675318193199</c:v>
                </c:pt>
                <c:pt idx="809">
                  <c:v>107.91531486565215</c:v>
                </c:pt>
                <c:pt idx="810">
                  <c:v>107.91531486565215</c:v>
                </c:pt>
                <c:pt idx="811">
                  <c:v>108.26054404791651</c:v>
                </c:pt>
                <c:pt idx="812">
                  <c:v>108.68792113800886</c:v>
                </c:pt>
                <c:pt idx="813">
                  <c:v>108.70455868896137</c:v>
                </c:pt>
                <c:pt idx="814">
                  <c:v>109.3482239414362</c:v>
                </c:pt>
                <c:pt idx="815">
                  <c:v>108.79294567839652</c:v>
                </c:pt>
                <c:pt idx="816">
                  <c:v>109.00195491223731</c:v>
                </c:pt>
                <c:pt idx="817">
                  <c:v>108.59329506696653</c:v>
                </c:pt>
                <c:pt idx="818">
                  <c:v>109.17872889110761</c:v>
                </c:pt>
                <c:pt idx="819">
                  <c:v>108.65152649530027</c:v>
                </c:pt>
                <c:pt idx="820">
                  <c:v>108.4820314449717</c:v>
                </c:pt>
                <c:pt idx="821">
                  <c:v>109.79951751102278</c:v>
                </c:pt>
                <c:pt idx="822">
                  <c:v>109.84319108227309</c:v>
                </c:pt>
                <c:pt idx="823">
                  <c:v>109.50108144081231</c:v>
                </c:pt>
                <c:pt idx="824">
                  <c:v>108.71807669911028</c:v>
                </c:pt>
                <c:pt idx="825">
                  <c:v>107.84564512103856</c:v>
                </c:pt>
                <c:pt idx="826">
                  <c:v>107.32780134764201</c:v>
                </c:pt>
                <c:pt idx="827">
                  <c:v>108.43107894517965</c:v>
                </c:pt>
                <c:pt idx="828">
                  <c:v>108.2397471092259</c:v>
                </c:pt>
                <c:pt idx="829">
                  <c:v>107.47857915314903</c:v>
                </c:pt>
                <c:pt idx="830">
                  <c:v>107.0345645121042</c:v>
                </c:pt>
                <c:pt idx="831">
                  <c:v>106.99713002246108</c:v>
                </c:pt>
                <c:pt idx="832">
                  <c:v>106.03527160801967</c:v>
                </c:pt>
                <c:pt idx="833">
                  <c:v>106.27963563763451</c:v>
                </c:pt>
                <c:pt idx="834">
                  <c:v>106.85883038016841</c:v>
                </c:pt>
                <c:pt idx="835">
                  <c:v>106.60302803427373</c:v>
                </c:pt>
                <c:pt idx="836">
                  <c:v>106.17461109724685</c:v>
                </c:pt>
                <c:pt idx="837">
                  <c:v>106.37426170867685</c:v>
                </c:pt>
                <c:pt idx="838">
                  <c:v>105.87825472090546</c:v>
                </c:pt>
                <c:pt idx="839">
                  <c:v>106.25779885200937</c:v>
                </c:pt>
                <c:pt idx="840">
                  <c:v>105.84289992513141</c:v>
                </c:pt>
                <c:pt idx="841">
                  <c:v>105.30217951917516</c:v>
                </c:pt>
                <c:pt idx="842">
                  <c:v>105.59125696697484</c:v>
                </c:pt>
                <c:pt idx="843">
                  <c:v>105.56422094667703</c:v>
                </c:pt>
                <c:pt idx="844">
                  <c:v>105.79090757840481</c:v>
                </c:pt>
                <c:pt idx="845">
                  <c:v>106.32330920888481</c:v>
                </c:pt>
                <c:pt idx="846">
                  <c:v>105.94376507778091</c:v>
                </c:pt>
                <c:pt idx="847">
                  <c:v>105.20235421346014</c:v>
                </c:pt>
                <c:pt idx="848">
                  <c:v>104.71258630729592</c:v>
                </c:pt>
                <c:pt idx="849">
                  <c:v>105.27930288661544</c:v>
                </c:pt>
                <c:pt idx="850">
                  <c:v>105.85225854754216</c:v>
                </c:pt>
                <c:pt idx="851">
                  <c:v>105.49039181432528</c:v>
                </c:pt>
                <c:pt idx="852">
                  <c:v>105.71915813992216</c:v>
                </c:pt>
                <c:pt idx="853">
                  <c:v>105.61309375259997</c:v>
                </c:pt>
                <c:pt idx="854">
                  <c:v>105.59853589551653</c:v>
                </c:pt>
                <c:pt idx="855">
                  <c:v>105.10044921387605</c:v>
                </c:pt>
                <c:pt idx="856">
                  <c:v>105.64012977289777</c:v>
                </c:pt>
                <c:pt idx="857">
                  <c:v>105.23770900923418</c:v>
                </c:pt>
                <c:pt idx="858">
                  <c:v>105.28658181515715</c:v>
                </c:pt>
                <c:pt idx="859">
                  <c:v>105.44359870227137</c:v>
                </c:pt>
                <c:pt idx="860">
                  <c:v>105.98119956742401</c:v>
                </c:pt>
                <c:pt idx="861">
                  <c:v>105.77842941519042</c:v>
                </c:pt>
                <c:pt idx="862">
                  <c:v>105.14412278512636</c:v>
                </c:pt>
                <c:pt idx="863">
                  <c:v>105.21587222360901</c:v>
                </c:pt>
                <c:pt idx="864">
                  <c:v>105.02350054072073</c:v>
                </c:pt>
                <c:pt idx="865">
                  <c:v>105.18571666250762</c:v>
                </c:pt>
                <c:pt idx="866">
                  <c:v>105.43943931453325</c:v>
                </c:pt>
                <c:pt idx="867">
                  <c:v>105.30425921304419</c:v>
                </c:pt>
                <c:pt idx="868">
                  <c:v>105.93232676150106</c:v>
                </c:pt>
                <c:pt idx="869">
                  <c:v>106.59366941186293</c:v>
                </c:pt>
                <c:pt idx="870">
                  <c:v>106.34618584144449</c:v>
                </c:pt>
                <c:pt idx="871">
                  <c:v>106.48448548373715</c:v>
                </c:pt>
                <c:pt idx="872">
                  <c:v>106.8193161966562</c:v>
                </c:pt>
                <c:pt idx="873">
                  <c:v>107.57736461192948</c:v>
                </c:pt>
                <c:pt idx="874">
                  <c:v>107.18638216454573</c:v>
                </c:pt>
                <c:pt idx="875">
                  <c:v>107.18638216454573</c:v>
                </c:pt>
                <c:pt idx="876">
                  <c:v>107.5045753265123</c:v>
                </c:pt>
                <c:pt idx="877">
                  <c:v>107.93507195740823</c:v>
                </c:pt>
                <c:pt idx="878">
                  <c:v>108.32605440479196</c:v>
                </c:pt>
                <c:pt idx="879">
                  <c:v>108.28550037434525</c:v>
                </c:pt>
                <c:pt idx="880">
                  <c:v>108.28550037434525</c:v>
                </c:pt>
                <c:pt idx="881">
                  <c:v>108.22518925214243</c:v>
                </c:pt>
                <c:pt idx="882">
                  <c:v>108.39884369020915</c:v>
                </c:pt>
                <c:pt idx="883">
                  <c:v>107.62623741785244</c:v>
                </c:pt>
                <c:pt idx="884">
                  <c:v>108.0941685383915</c:v>
                </c:pt>
                <c:pt idx="885">
                  <c:v>108.077530987439</c:v>
                </c:pt>
                <c:pt idx="886">
                  <c:v>108.22102986440431</c:v>
                </c:pt>
                <c:pt idx="887">
                  <c:v>108.20127277264824</c:v>
                </c:pt>
                <c:pt idx="888">
                  <c:v>107.43282588802965</c:v>
                </c:pt>
                <c:pt idx="889">
                  <c:v>107.65847267282292</c:v>
                </c:pt>
                <c:pt idx="890">
                  <c:v>107.76037767240699</c:v>
                </c:pt>
                <c:pt idx="891">
                  <c:v>107.43490558189872</c:v>
                </c:pt>
                <c:pt idx="892">
                  <c:v>107.01688711421717</c:v>
                </c:pt>
                <c:pt idx="893">
                  <c:v>106.17669079111593</c:v>
                </c:pt>
                <c:pt idx="894">
                  <c:v>106.33266783129562</c:v>
                </c:pt>
                <c:pt idx="895">
                  <c:v>105.8959321187925</c:v>
                </c:pt>
                <c:pt idx="896">
                  <c:v>106.19436818900297</c:v>
                </c:pt>
                <c:pt idx="897">
                  <c:v>105.72747691539844</c:v>
                </c:pt>
                <c:pt idx="898">
                  <c:v>106.05814824057938</c:v>
                </c:pt>
                <c:pt idx="899">
                  <c:v>106.6279843607025</c:v>
                </c:pt>
                <c:pt idx="900">
                  <c:v>106.41169619832</c:v>
                </c:pt>
                <c:pt idx="901">
                  <c:v>106.19644788287204</c:v>
                </c:pt>
                <c:pt idx="902">
                  <c:v>106.6342234423097</c:v>
                </c:pt>
                <c:pt idx="903">
                  <c:v>107.11255303219407</c:v>
                </c:pt>
                <c:pt idx="904">
                  <c:v>106.67477747275643</c:v>
                </c:pt>
                <c:pt idx="905">
                  <c:v>106.74444721737002</c:v>
                </c:pt>
                <c:pt idx="906">
                  <c:v>106.74444721737004</c:v>
                </c:pt>
                <c:pt idx="907">
                  <c:v>107.14062889942645</c:v>
                </c:pt>
                <c:pt idx="908">
                  <c:v>106.96593461442521</c:v>
                </c:pt>
                <c:pt idx="909">
                  <c:v>106.01239497546005</c:v>
                </c:pt>
                <c:pt idx="910">
                  <c:v>105.69212211962441</c:v>
                </c:pt>
                <c:pt idx="911">
                  <c:v>105.44359870227146</c:v>
                </c:pt>
                <c:pt idx="912">
                  <c:v>104.18538391148864</c:v>
                </c:pt>
                <c:pt idx="913">
                  <c:v>103.41901672073912</c:v>
                </c:pt>
                <c:pt idx="914">
                  <c:v>103.57395391398427</c:v>
                </c:pt>
                <c:pt idx="915">
                  <c:v>103.49492554695989</c:v>
                </c:pt>
                <c:pt idx="916">
                  <c:v>103.59475085267489</c:v>
                </c:pt>
                <c:pt idx="917">
                  <c:v>103.97221528990973</c:v>
                </c:pt>
                <c:pt idx="918">
                  <c:v>104.60548207303925</c:v>
                </c:pt>
                <c:pt idx="919">
                  <c:v>104.81449130688004</c:v>
                </c:pt>
                <c:pt idx="920">
                  <c:v>105.11084768322144</c:v>
                </c:pt>
                <c:pt idx="921">
                  <c:v>105.12436569337035</c:v>
                </c:pt>
                <c:pt idx="922">
                  <c:v>104.64603610348597</c:v>
                </c:pt>
                <c:pt idx="923">
                  <c:v>105.59021712004034</c:v>
                </c:pt>
                <c:pt idx="924">
                  <c:v>105.43943931453332</c:v>
                </c:pt>
                <c:pt idx="925">
                  <c:v>105.67548456867192</c:v>
                </c:pt>
                <c:pt idx="926">
                  <c:v>106.15277431162174</c:v>
                </c:pt>
                <c:pt idx="927">
                  <c:v>106.46888777971924</c:v>
                </c:pt>
                <c:pt idx="928">
                  <c:v>106.42833374927251</c:v>
                </c:pt>
                <c:pt idx="929">
                  <c:v>105.89385242492345</c:v>
                </c:pt>
                <c:pt idx="930">
                  <c:v>105.91984859828673</c:v>
                </c:pt>
                <c:pt idx="931">
                  <c:v>106.41793527992719</c:v>
                </c:pt>
                <c:pt idx="932">
                  <c:v>106.38881956576031</c:v>
                </c:pt>
                <c:pt idx="933">
                  <c:v>106.44601114715954</c:v>
                </c:pt>
                <c:pt idx="934">
                  <c:v>106.78084186007858</c:v>
                </c:pt>
                <c:pt idx="935">
                  <c:v>107.16454537892064</c:v>
                </c:pt>
                <c:pt idx="936">
                  <c:v>107.20301971549827</c:v>
                </c:pt>
                <c:pt idx="937">
                  <c:v>107.43594542883328</c:v>
                </c:pt>
                <c:pt idx="938">
                  <c:v>107.59296231594749</c:v>
                </c:pt>
                <c:pt idx="939">
                  <c:v>107.39123201064844</c:v>
                </c:pt>
                <c:pt idx="940">
                  <c:v>107.31844272523126</c:v>
                </c:pt>
                <c:pt idx="941">
                  <c:v>107.5960818567511</c:v>
                </c:pt>
                <c:pt idx="942">
                  <c:v>107.45050328591672</c:v>
                </c:pt>
                <c:pt idx="943">
                  <c:v>108.05985358955202</c:v>
                </c:pt>
                <c:pt idx="944">
                  <c:v>108.15759920139797</c:v>
                </c:pt>
                <c:pt idx="945">
                  <c:v>108.13576241577282</c:v>
                </c:pt>
                <c:pt idx="946">
                  <c:v>107.59400216288205</c:v>
                </c:pt>
                <c:pt idx="947">
                  <c:v>107.20094002162924</c:v>
                </c:pt>
                <c:pt idx="948">
                  <c:v>107.71462440728767</c:v>
                </c:pt>
                <c:pt idx="949">
                  <c:v>108.34269195574454</c:v>
                </c:pt>
                <c:pt idx="950">
                  <c:v>108.34269195574454</c:v>
                </c:pt>
                <c:pt idx="951">
                  <c:v>108.93748440229642</c:v>
                </c:pt>
                <c:pt idx="952">
                  <c:v>108.99779552449922</c:v>
                </c:pt>
                <c:pt idx="953">
                  <c:v>109.21304383994719</c:v>
                </c:pt>
                <c:pt idx="954">
                  <c:v>109.25255802345937</c:v>
                </c:pt>
                <c:pt idx="955">
                  <c:v>108.70455868896141</c:v>
                </c:pt>
              </c:numCache>
            </c:numRef>
          </c:val>
          <c:smooth val="0"/>
          <c:extLst>
            <c:ext xmlns:c16="http://schemas.microsoft.com/office/drawing/2014/chart" uri="{C3380CC4-5D6E-409C-BE32-E72D297353CC}">
              <c16:uniqueId val="{00000003-3681-4EBC-BDC7-036968F800BB}"/>
            </c:ext>
          </c:extLst>
        </c:ser>
        <c:dLbls>
          <c:showLegendKey val="0"/>
          <c:showVal val="0"/>
          <c:showCatName val="0"/>
          <c:showSerName val="0"/>
          <c:showPercent val="0"/>
          <c:showBubbleSize val="0"/>
        </c:dLbls>
        <c:smooth val="0"/>
        <c:axId val="1701959712"/>
        <c:axId val="1701944480"/>
      </c:lineChart>
      <c:dateAx>
        <c:axId val="1701959712"/>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01944480"/>
        <c:crosses val="autoZero"/>
        <c:auto val="1"/>
        <c:lblOffset val="100"/>
        <c:baseTimeUnit val="days"/>
      </c:dateAx>
      <c:valAx>
        <c:axId val="1701944480"/>
        <c:scaling>
          <c:orientation val="minMax"/>
          <c:max val="230"/>
          <c:min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baseline="0">
                    <a:effectLst/>
                  </a:rPr>
                  <a:t>Ինդեքս՝ </a:t>
                </a:r>
                <a:r>
                  <a:rPr lang="en-US" sz="800" b="0" i="0" u="none" strike="noStrike" baseline="0">
                    <a:effectLst/>
                  </a:rPr>
                  <a:t>2020</a:t>
                </a:r>
                <a:r>
                  <a:rPr lang="hy-AM" sz="800" b="0" i="0" u="none" strike="noStrike" baseline="0">
                    <a:effectLst/>
                  </a:rPr>
                  <a:t> թ. հունվարի </a:t>
                </a:r>
                <a:r>
                  <a:rPr lang="en-US" sz="800" b="0" i="0" u="none" strike="noStrike" baseline="0">
                    <a:effectLst/>
                  </a:rPr>
                  <a:t>2</a:t>
                </a:r>
                <a:r>
                  <a:rPr lang="hy-AM" sz="800" b="0" i="0" u="none" strike="noStrike" baseline="0">
                    <a:effectLst/>
                  </a:rPr>
                  <a:t>=100</a:t>
                </a:r>
                <a:endParaRPr lang="en-US" sz="800"/>
              </a:p>
            </c:rich>
          </c:tx>
          <c:layout>
            <c:manualLayout>
              <c:xMode val="edge"/>
              <c:yMode val="edge"/>
              <c:x val="7.751937984496143E-3"/>
              <c:y val="8.4670206921809224E-2"/>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1959712"/>
        <c:crosses val="autoZero"/>
        <c:crossBetween val="between"/>
      </c:valAx>
      <c:spPr>
        <a:noFill/>
        <a:ln>
          <a:noFill/>
        </a:ln>
        <a:effectLst/>
      </c:spPr>
    </c:plotArea>
    <c:legend>
      <c:legendPos val="b"/>
      <c:layout>
        <c:manualLayout>
          <c:xMode val="edge"/>
          <c:yMode val="edge"/>
          <c:x val="0"/>
          <c:y val="0.8741543909882078"/>
          <c:w val="1"/>
          <c:h val="0.125845609011792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5792361102607"/>
          <c:y val="5.299927728258251E-2"/>
          <c:w val="0.81060411772012164"/>
          <c:h val="0.59003737665703171"/>
        </c:manualLayout>
      </c:layout>
      <c:lineChart>
        <c:grouping val="standard"/>
        <c:varyColors val="0"/>
        <c:ser>
          <c:idx val="0"/>
          <c:order val="0"/>
          <c:tx>
            <c:strRef>
              <c:f>Sheet1!$D$1</c:f>
              <c:strCache>
                <c:ptCount val="1"/>
                <c:pt idx="0">
                  <c:v>DAX (Գերմանիա)</c:v>
                </c:pt>
              </c:strCache>
            </c:strRef>
          </c:tx>
          <c:spPr>
            <a:ln w="28575" cap="rnd">
              <a:solidFill>
                <a:schemeClr val="accent1"/>
              </a:solidFill>
              <a:round/>
            </a:ln>
            <a:effectLst/>
          </c:spPr>
          <c:marker>
            <c:symbol val="none"/>
          </c:marker>
          <c:cat>
            <c:multiLvlStrRef>
              <c:f>Sheet1!$A$2:$B$57</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Sheet1!$D$2:$D$57</c:f>
              <c:numCache>
                <c:formatCode>0.0</c:formatCode>
                <c:ptCount val="56"/>
                <c:pt idx="0" formatCode="General">
                  <c:v>100</c:v>
                </c:pt>
                <c:pt idx="1">
                  <c:v>103.06575614645891</c:v>
                </c:pt>
                <c:pt idx="2">
                  <c:v>103.15883684921822</c:v>
                </c:pt>
                <c:pt idx="3">
                  <c:v>110.48035012664344</c:v>
                </c:pt>
                <c:pt idx="4">
                  <c:v>104.95601041787864</c:v>
                </c:pt>
                <c:pt idx="5">
                  <c:v>110.97009782423855</c:v>
                </c:pt>
                <c:pt idx="6">
                  <c:v>109.09273165012395</c:v>
                </c:pt>
                <c:pt idx="7">
                  <c:v>106.85736277308894</c:v>
                </c:pt>
                <c:pt idx="8">
                  <c:v>111.2321558027763</c:v>
                </c:pt>
                <c:pt idx="9">
                  <c:v>115.1586399477316</c:v>
                </c:pt>
                <c:pt idx="10">
                  <c:v>118.46649542204042</c:v>
                </c:pt>
                <c:pt idx="11">
                  <c:v>118.57953477548756</c:v>
                </c:pt>
                <c:pt idx="12">
                  <c:v>116.18950873079092</c:v>
                </c:pt>
                <c:pt idx="13">
                  <c:v>106.41943596674156</c:v>
                </c:pt>
                <c:pt idx="14">
                  <c:v>88.926439394617447</c:v>
                </c:pt>
                <c:pt idx="15">
                  <c:v>97.212411953710259</c:v>
                </c:pt>
                <c:pt idx="16">
                  <c:v>103.70309045833297</c:v>
                </c:pt>
                <c:pt idx="17">
                  <c:v>110.18365538659816</c:v>
                </c:pt>
                <c:pt idx="18">
                  <c:v>110.20540405080058</c:v>
                </c:pt>
                <c:pt idx="19">
                  <c:v>115.86202575829446</c:v>
                </c:pt>
                <c:pt idx="20">
                  <c:v>114.20939578093814</c:v>
                </c:pt>
                <c:pt idx="21">
                  <c:v>103.43127690614064</c:v>
                </c:pt>
                <c:pt idx="22">
                  <c:v>118.95678012368992</c:v>
                </c:pt>
                <c:pt idx="23">
                  <c:v>122.78400801926054</c:v>
                </c:pt>
                <c:pt idx="24">
                  <c:v>120.2250941994612</c:v>
                </c:pt>
                <c:pt idx="25">
                  <c:v>123.38822708111447</c:v>
                </c:pt>
                <c:pt idx="26">
                  <c:v>134.32565715871152</c:v>
                </c:pt>
                <c:pt idx="27">
                  <c:v>135.46741727900041</c:v>
                </c:pt>
                <c:pt idx="28">
                  <c:v>138.02015555217437</c:v>
                </c:pt>
                <c:pt idx="29">
                  <c:v>139.00385747912395</c:v>
                </c:pt>
                <c:pt idx="30">
                  <c:v>139.12334088122364</c:v>
                </c:pt>
                <c:pt idx="31">
                  <c:v>141.72512552469772</c:v>
                </c:pt>
                <c:pt idx="32">
                  <c:v>136.5842067107607</c:v>
                </c:pt>
                <c:pt idx="33">
                  <c:v>140.41555163741489</c:v>
                </c:pt>
                <c:pt idx="34">
                  <c:v>135.14718386123818</c:v>
                </c:pt>
                <c:pt idx="35">
                  <c:v>142.17057038780646</c:v>
                </c:pt>
                <c:pt idx="36">
                  <c:v>138.46828543555506</c:v>
                </c:pt>
                <c:pt idx="37">
                  <c:v>129.42710617465164</c:v>
                </c:pt>
                <c:pt idx="38">
                  <c:v>129.01298654804847</c:v>
                </c:pt>
                <c:pt idx="39">
                  <c:v>126.17697863618874</c:v>
                </c:pt>
                <c:pt idx="40">
                  <c:v>128.77670476412101</c:v>
                </c:pt>
                <c:pt idx="41">
                  <c:v>114.41560533782032</c:v>
                </c:pt>
                <c:pt idx="42">
                  <c:v>120.68315865784788</c:v>
                </c:pt>
                <c:pt idx="43">
                  <c:v>114.87375929688271</c:v>
                </c:pt>
                <c:pt idx="44">
                  <c:v>108.42434060377158</c:v>
                </c:pt>
                <c:pt idx="45">
                  <c:v>118.62186859510791</c:v>
                </c:pt>
                <c:pt idx="46">
                  <c:v>128.85448085133046</c:v>
                </c:pt>
                <c:pt idx="47">
                  <c:v>124.61707135888879</c:v>
                </c:pt>
                <c:pt idx="48">
                  <c:v>135.39903876274269</c:v>
                </c:pt>
                <c:pt idx="49">
                  <c:v>137.51904126876158</c:v>
                </c:pt>
                <c:pt idx="50">
                  <c:v>139.87917408776437</c:v>
                </c:pt>
                <c:pt idx="51">
                  <c:v>142.50637692314575</c:v>
                </c:pt>
                <c:pt idx="52">
                  <c:v>140.19403746498284</c:v>
                </c:pt>
                <c:pt idx="53">
                  <c:v>144.524796162211</c:v>
                </c:pt>
                <c:pt idx="54">
                  <c:v>147.20023986181096</c:v>
                </c:pt>
                <c:pt idx="55">
                  <c:v>142.72744359219911</c:v>
                </c:pt>
              </c:numCache>
            </c:numRef>
          </c:val>
          <c:smooth val="0"/>
          <c:extLst>
            <c:ext xmlns:c16="http://schemas.microsoft.com/office/drawing/2014/chart" uri="{C3380CC4-5D6E-409C-BE32-E72D297353CC}">
              <c16:uniqueId val="{00000000-29D7-4ED3-8E48-7ECB88D7A4DD}"/>
            </c:ext>
          </c:extLst>
        </c:ser>
        <c:ser>
          <c:idx val="1"/>
          <c:order val="1"/>
          <c:tx>
            <c:strRef>
              <c:f>Sheet1!$E$1</c:f>
              <c:strCache>
                <c:ptCount val="1"/>
                <c:pt idx="0">
                  <c:v>MOEX (ՌԴ)</c:v>
                </c:pt>
              </c:strCache>
            </c:strRef>
          </c:tx>
          <c:spPr>
            <a:ln w="28575" cap="rnd">
              <a:solidFill>
                <a:schemeClr val="accent2"/>
              </a:solidFill>
              <a:round/>
            </a:ln>
            <a:effectLst/>
          </c:spPr>
          <c:marker>
            <c:symbol val="none"/>
          </c:marker>
          <c:cat>
            <c:multiLvlStrRef>
              <c:f>Sheet1!$A$2:$B$57</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Sheet1!$E$2:$E$57</c:f>
              <c:numCache>
                <c:formatCode>0.0</c:formatCode>
                <c:ptCount val="56"/>
                <c:pt idx="0" formatCode="General">
                  <c:v>100</c:v>
                </c:pt>
                <c:pt idx="1">
                  <c:v>98.578794970449408</c:v>
                </c:pt>
                <c:pt idx="2">
                  <c:v>99.048034588076632</c:v>
                </c:pt>
                <c:pt idx="3">
                  <c:v>101.51600491848797</c:v>
                </c:pt>
                <c:pt idx="4">
                  <c:v>105.72091547340446</c:v>
                </c:pt>
                <c:pt idx="5">
                  <c:v>109.70806394034351</c:v>
                </c:pt>
                <c:pt idx="6">
                  <c:v>108.66288524850265</c:v>
                </c:pt>
                <c:pt idx="7">
                  <c:v>108.68430447027093</c:v>
                </c:pt>
                <c:pt idx="8">
                  <c:v>108.96751418031812</c:v>
                </c:pt>
                <c:pt idx="9">
                  <c:v>114.79036928324939</c:v>
                </c:pt>
                <c:pt idx="10">
                  <c:v>116.43211296656223</c:v>
                </c:pt>
                <c:pt idx="11">
                  <c:v>120.8151203839594</c:v>
                </c:pt>
                <c:pt idx="12">
                  <c:v>122.03601602475112</c:v>
                </c:pt>
                <c:pt idx="13">
                  <c:v>110.47082622664711</c:v>
                </c:pt>
                <c:pt idx="14">
                  <c:v>99.512514378644241</c:v>
                </c:pt>
                <c:pt idx="15">
                  <c:v>105.13506009281662</c:v>
                </c:pt>
                <c:pt idx="16">
                  <c:v>108.47764864543252</c:v>
                </c:pt>
                <c:pt idx="17">
                  <c:v>108.80964658284078</c:v>
                </c:pt>
                <c:pt idx="18">
                  <c:v>115.48808059973817</c:v>
                </c:pt>
                <c:pt idx="19">
                  <c:v>117.65499186862871</c:v>
                </c:pt>
                <c:pt idx="20">
                  <c:v>115.25960890087654</c:v>
                </c:pt>
                <c:pt idx="21">
                  <c:v>106.72285906945376</c:v>
                </c:pt>
                <c:pt idx="22">
                  <c:v>123.26286144936728</c:v>
                </c:pt>
                <c:pt idx="23">
                  <c:v>130.45971996350792</c:v>
                </c:pt>
                <c:pt idx="24">
                  <c:v>129.98611717107605</c:v>
                </c:pt>
                <c:pt idx="25">
                  <c:v>132.74523025663393</c:v>
                </c:pt>
                <c:pt idx="26">
                  <c:v>140.48312244655102</c:v>
                </c:pt>
                <c:pt idx="27">
                  <c:v>140.57355916068374</c:v>
                </c:pt>
                <c:pt idx="28">
                  <c:v>147.61929316568157</c:v>
                </c:pt>
                <c:pt idx="29">
                  <c:v>152.38784657490768</c:v>
                </c:pt>
                <c:pt idx="30">
                  <c:v>149.60057117924705</c:v>
                </c:pt>
                <c:pt idx="31">
                  <c:v>155.44643211296645</c:v>
                </c:pt>
                <c:pt idx="32">
                  <c:v>162.76704613065715</c:v>
                </c:pt>
                <c:pt idx="33">
                  <c:v>164.61068581174871</c:v>
                </c:pt>
                <c:pt idx="34">
                  <c:v>154.32112966562204</c:v>
                </c:pt>
                <c:pt idx="35">
                  <c:v>150.22252191503699</c:v>
                </c:pt>
                <c:pt idx="36">
                  <c:v>140.03331878941722</c:v>
                </c:pt>
                <c:pt idx="37">
                  <c:v>97.992146285351566</c:v>
                </c:pt>
                <c:pt idx="38">
                  <c:v>107.2353337828725</c:v>
                </c:pt>
                <c:pt idx="39">
                  <c:v>96.988219428027406</c:v>
                </c:pt>
                <c:pt idx="40">
                  <c:v>93.441354964102928</c:v>
                </c:pt>
                <c:pt idx="41">
                  <c:v>87.455872436634763</c:v>
                </c:pt>
                <c:pt idx="42">
                  <c:v>87.811272857086152</c:v>
                </c:pt>
                <c:pt idx="43">
                  <c:v>95.199714410376373</c:v>
                </c:pt>
                <c:pt idx="44">
                  <c:v>77.637142517155169</c:v>
                </c:pt>
                <c:pt idx="45">
                  <c:v>85.939074213636857</c:v>
                </c:pt>
                <c:pt idx="46">
                  <c:v>86.253222799571574</c:v>
                </c:pt>
                <c:pt idx="47">
                  <c:v>85.443655547181734</c:v>
                </c:pt>
                <c:pt idx="48">
                  <c:v>88.278925865693495</c:v>
                </c:pt>
                <c:pt idx="49">
                  <c:v>89.372099480385486</c:v>
                </c:pt>
                <c:pt idx="50">
                  <c:v>97.206378168259832</c:v>
                </c:pt>
                <c:pt idx="51">
                  <c:v>104.51548927055644</c:v>
                </c:pt>
                <c:pt idx="52">
                  <c:v>107.79580341914236</c:v>
                </c:pt>
                <c:pt idx="53">
                  <c:v>110.95831184800278</c:v>
                </c:pt>
                <c:pt idx="54">
                  <c:v>121.91107056443607</c:v>
                </c:pt>
                <c:pt idx="55">
                  <c:v>128.03895125143777</c:v>
                </c:pt>
              </c:numCache>
            </c:numRef>
          </c:val>
          <c:smooth val="0"/>
          <c:extLst>
            <c:ext xmlns:c16="http://schemas.microsoft.com/office/drawing/2014/chart" uri="{C3380CC4-5D6E-409C-BE32-E72D297353CC}">
              <c16:uniqueId val="{00000001-29D7-4ED3-8E48-7ECB88D7A4DD}"/>
            </c:ext>
          </c:extLst>
        </c:ser>
        <c:ser>
          <c:idx val="2"/>
          <c:order val="2"/>
          <c:tx>
            <c:strRef>
              <c:f>Sheet1!$C$1</c:f>
              <c:strCache>
                <c:ptCount val="1"/>
                <c:pt idx="0">
                  <c:v>S&amp;P 500 (ԱՄՆ)</c:v>
                </c:pt>
              </c:strCache>
            </c:strRef>
          </c:tx>
          <c:spPr>
            <a:ln w="28575" cap="rnd">
              <a:solidFill>
                <a:schemeClr val="accent5">
                  <a:lumMod val="75000"/>
                </a:schemeClr>
              </a:solidFill>
              <a:round/>
            </a:ln>
            <a:effectLst/>
          </c:spPr>
          <c:marker>
            <c:symbol val="none"/>
          </c:marker>
          <c:cat>
            <c:multiLvlStrRef>
              <c:f>Sheet1!$A$2:$B$57</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Sheet1!$C$2:$C$57</c:f>
              <c:numCache>
                <c:formatCode>0.0</c:formatCode>
                <c:ptCount val="56"/>
                <c:pt idx="0" formatCode="General">
                  <c:v>100</c:v>
                </c:pt>
                <c:pt idx="1">
                  <c:v>102.97289301431161</c:v>
                </c:pt>
                <c:pt idx="2">
                  <c:v>104.81860877926114</c:v>
                </c:pt>
                <c:pt idx="3">
                  <c:v>108.93938833623017</c:v>
                </c:pt>
                <c:pt idx="4">
                  <c:v>101.77360304722457</c:v>
                </c:pt>
                <c:pt idx="5">
                  <c:v>108.78887615102991</c:v>
                </c:pt>
                <c:pt idx="6">
                  <c:v>110.21707777079249</c:v>
                </c:pt>
                <c:pt idx="7">
                  <c:v>108.22306867349579</c:v>
                </c:pt>
                <c:pt idx="8">
                  <c:v>110.08246736437259</c:v>
                </c:pt>
                <c:pt idx="9">
                  <c:v>112.33164453977291</c:v>
                </c:pt>
                <c:pt idx="10">
                  <c:v>116.15620724085645</c:v>
                </c:pt>
                <c:pt idx="11">
                  <c:v>119.47709034429198</c:v>
                </c:pt>
                <c:pt idx="12">
                  <c:v>119.28257091083906</c:v>
                </c:pt>
                <c:pt idx="13">
                  <c:v>109.24965792685178</c:v>
                </c:pt>
                <c:pt idx="14">
                  <c:v>95.580414925483495</c:v>
                </c:pt>
                <c:pt idx="15">
                  <c:v>107.70422691468507</c:v>
                </c:pt>
                <c:pt idx="16">
                  <c:v>112.58126548574383</c:v>
                </c:pt>
                <c:pt idx="17">
                  <c:v>114.65145519766277</c:v>
                </c:pt>
                <c:pt idx="18">
                  <c:v>120.96889907917601</c:v>
                </c:pt>
                <c:pt idx="19">
                  <c:v>129.44454716911352</c:v>
                </c:pt>
                <c:pt idx="20">
                  <c:v>124.36670241485147</c:v>
                </c:pt>
                <c:pt idx="21">
                  <c:v>120.92600125734991</c:v>
                </c:pt>
                <c:pt idx="22">
                  <c:v>133.9310676380311</c:v>
                </c:pt>
                <c:pt idx="23">
                  <c:v>138.90277726415439</c:v>
                </c:pt>
                <c:pt idx="24">
                  <c:v>137.35586701675228</c:v>
                </c:pt>
                <c:pt idx="25">
                  <c:v>140.93968418327719</c:v>
                </c:pt>
                <c:pt idx="26">
                  <c:v>146.92097185754957</c:v>
                </c:pt>
                <c:pt idx="27">
                  <c:v>154.62334972819045</c:v>
                </c:pt>
                <c:pt idx="28">
                  <c:v>155.47169113568276</c:v>
                </c:pt>
                <c:pt idx="29">
                  <c:v>158.92533560149394</c:v>
                </c:pt>
                <c:pt idx="30">
                  <c:v>162.54058651677076</c:v>
                </c:pt>
                <c:pt idx="31">
                  <c:v>167.25269035908428</c:v>
                </c:pt>
                <c:pt idx="32">
                  <c:v>159.29662364557515</c:v>
                </c:pt>
                <c:pt idx="33">
                  <c:v>170.31100920823926</c:v>
                </c:pt>
                <c:pt idx="34">
                  <c:v>168.89168299988896</c:v>
                </c:pt>
                <c:pt idx="35">
                  <c:v>176.25753485448016</c:v>
                </c:pt>
                <c:pt idx="36">
                  <c:v>166.9890166783772</c:v>
                </c:pt>
                <c:pt idx="37">
                  <c:v>161.74660700417874</c:v>
                </c:pt>
                <c:pt idx="38">
                  <c:v>167.53855256832207</c:v>
                </c:pt>
                <c:pt idx="39">
                  <c:v>152.80241115343358</c:v>
                </c:pt>
                <c:pt idx="40">
                  <c:v>152.81054694722818</c:v>
                </c:pt>
                <c:pt idx="41">
                  <c:v>139.98668688288149</c:v>
                </c:pt>
                <c:pt idx="42">
                  <c:v>152.7417625087829</c:v>
                </c:pt>
                <c:pt idx="43">
                  <c:v>146.25938389852442</c:v>
                </c:pt>
                <c:pt idx="44">
                  <c:v>132.59938611737726</c:v>
                </c:pt>
                <c:pt idx="45">
                  <c:v>143.18923116748635</c:v>
                </c:pt>
                <c:pt idx="46">
                  <c:v>150.88606190599452</c:v>
                </c:pt>
                <c:pt idx="47">
                  <c:v>141.98809215635509</c:v>
                </c:pt>
                <c:pt idx="48">
                  <c:v>150.75625901408964</c:v>
                </c:pt>
                <c:pt idx="49">
                  <c:v>146.81964424392581</c:v>
                </c:pt>
                <c:pt idx="50">
                  <c:v>151.96590362782433</c:v>
                </c:pt>
                <c:pt idx="51">
                  <c:v>154.19104323064963</c:v>
                </c:pt>
                <c:pt idx="52">
                  <c:v>154.57379534780506</c:v>
                </c:pt>
                <c:pt idx="53">
                  <c:v>164.57897267112889</c:v>
                </c:pt>
                <c:pt idx="54">
                  <c:v>169.70378314411437</c:v>
                </c:pt>
                <c:pt idx="55">
                  <c:v>166.6972375281978</c:v>
                </c:pt>
              </c:numCache>
            </c:numRef>
          </c:val>
          <c:smooth val="0"/>
          <c:extLst>
            <c:ext xmlns:c16="http://schemas.microsoft.com/office/drawing/2014/chart" uri="{C3380CC4-5D6E-409C-BE32-E72D297353CC}">
              <c16:uniqueId val="{00000002-29D7-4ED3-8E48-7ECB88D7A4DD}"/>
            </c:ext>
          </c:extLst>
        </c:ser>
        <c:dLbls>
          <c:showLegendKey val="0"/>
          <c:showVal val="0"/>
          <c:showCatName val="0"/>
          <c:showSerName val="0"/>
          <c:showPercent val="0"/>
          <c:showBubbleSize val="0"/>
        </c:dLbls>
        <c:smooth val="0"/>
        <c:axId val="1701939584"/>
        <c:axId val="1701940672"/>
      </c:lineChart>
      <c:catAx>
        <c:axId val="170193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1940672"/>
        <c:crosses val="autoZero"/>
        <c:auto val="1"/>
        <c:lblAlgn val="ctr"/>
        <c:lblOffset val="10"/>
        <c:noMultiLvlLbl val="0"/>
      </c:catAx>
      <c:valAx>
        <c:axId val="1701940672"/>
        <c:scaling>
          <c:orientation val="minMax"/>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sz="900"/>
                  <a:t>Ինդեքս՝ 2019թ. հունվար</a:t>
                </a:r>
                <a:r>
                  <a:rPr lang="en-US" sz="900"/>
                  <a:t>=100</a:t>
                </a:r>
              </a:p>
            </c:rich>
          </c:tx>
          <c:layout>
            <c:manualLayout>
              <c:xMode val="edge"/>
              <c:yMode val="edge"/>
              <c:x val="5.822678075038442E-3"/>
              <c:y val="9.9954846172578923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1939584"/>
        <c:crosses val="autoZero"/>
        <c:crossBetween val="between"/>
      </c:valAx>
      <c:spPr>
        <a:noFill/>
        <a:ln>
          <a:noFill/>
        </a:ln>
        <a:effectLst/>
      </c:spPr>
    </c:plotArea>
    <c:legend>
      <c:legendPos val="b"/>
      <c:layout>
        <c:manualLayout>
          <c:xMode val="edge"/>
          <c:yMode val="edge"/>
          <c:x val="0"/>
          <c:y val="0.86106420975728537"/>
          <c:w val="1"/>
          <c:h val="0.138935799422487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23488154920764"/>
          <c:y val="3.2484228945066071E-2"/>
          <c:w val="0.70554658359487443"/>
          <c:h val="0.53236284075152962"/>
        </c:manualLayout>
      </c:layout>
      <c:lineChart>
        <c:grouping val="standard"/>
        <c:varyColors val="0"/>
        <c:ser>
          <c:idx val="0"/>
          <c:order val="0"/>
          <c:tx>
            <c:strRef>
              <c:f>Sheet1!$B$1</c:f>
              <c:strCache>
                <c:ptCount val="1"/>
                <c:pt idx="0">
                  <c:v>Հայաստան (2025թ.)</c:v>
                </c:pt>
              </c:strCache>
            </c:strRef>
          </c:tx>
          <c:spPr>
            <a:ln w="19050" cap="rnd">
              <a:solidFill>
                <a:schemeClr val="accent1"/>
              </a:solidFill>
              <a:round/>
            </a:ln>
            <a:effectLst/>
          </c:spPr>
          <c:marker>
            <c:symbol val="none"/>
          </c:marker>
          <c:cat>
            <c:numRef>
              <c:f>Sheet1!$A$2:$A$1226</c:f>
              <c:numCache>
                <c:formatCode>m\/d\/yyyy</c:formatCode>
                <c:ptCount val="964"/>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pt idx="708">
                  <c:v>44823</c:v>
                </c:pt>
                <c:pt idx="709">
                  <c:v>44824</c:v>
                </c:pt>
                <c:pt idx="710">
                  <c:v>44825</c:v>
                </c:pt>
                <c:pt idx="711">
                  <c:v>44826</c:v>
                </c:pt>
                <c:pt idx="712">
                  <c:v>44827</c:v>
                </c:pt>
                <c:pt idx="713">
                  <c:v>44830</c:v>
                </c:pt>
                <c:pt idx="714">
                  <c:v>44831</c:v>
                </c:pt>
                <c:pt idx="715">
                  <c:v>44832</c:v>
                </c:pt>
                <c:pt idx="716">
                  <c:v>44833</c:v>
                </c:pt>
                <c:pt idx="717">
                  <c:v>44834</c:v>
                </c:pt>
                <c:pt idx="718">
                  <c:v>44837</c:v>
                </c:pt>
                <c:pt idx="719">
                  <c:v>44838</c:v>
                </c:pt>
                <c:pt idx="720">
                  <c:v>44839</c:v>
                </c:pt>
                <c:pt idx="721">
                  <c:v>44840</c:v>
                </c:pt>
                <c:pt idx="722">
                  <c:v>44841</c:v>
                </c:pt>
                <c:pt idx="723">
                  <c:v>44844</c:v>
                </c:pt>
                <c:pt idx="724">
                  <c:v>44845</c:v>
                </c:pt>
                <c:pt idx="725">
                  <c:v>44846</c:v>
                </c:pt>
                <c:pt idx="726">
                  <c:v>44847</c:v>
                </c:pt>
                <c:pt idx="727">
                  <c:v>44848</c:v>
                </c:pt>
                <c:pt idx="728">
                  <c:v>44851</c:v>
                </c:pt>
                <c:pt idx="729">
                  <c:v>44852</c:v>
                </c:pt>
                <c:pt idx="730">
                  <c:v>44853</c:v>
                </c:pt>
                <c:pt idx="731">
                  <c:v>44854</c:v>
                </c:pt>
                <c:pt idx="732">
                  <c:v>44855</c:v>
                </c:pt>
                <c:pt idx="733">
                  <c:v>44858</c:v>
                </c:pt>
                <c:pt idx="734">
                  <c:v>44859</c:v>
                </c:pt>
                <c:pt idx="735">
                  <c:v>44860</c:v>
                </c:pt>
                <c:pt idx="736">
                  <c:v>44861</c:v>
                </c:pt>
                <c:pt idx="737">
                  <c:v>44862</c:v>
                </c:pt>
                <c:pt idx="738">
                  <c:v>44865</c:v>
                </c:pt>
                <c:pt idx="739">
                  <c:v>44866</c:v>
                </c:pt>
                <c:pt idx="740">
                  <c:v>44867</c:v>
                </c:pt>
                <c:pt idx="741">
                  <c:v>44868</c:v>
                </c:pt>
                <c:pt idx="742">
                  <c:v>44869</c:v>
                </c:pt>
                <c:pt idx="743">
                  <c:v>44872</c:v>
                </c:pt>
                <c:pt idx="744">
                  <c:v>44873</c:v>
                </c:pt>
                <c:pt idx="745">
                  <c:v>44874</c:v>
                </c:pt>
                <c:pt idx="746">
                  <c:v>44875</c:v>
                </c:pt>
                <c:pt idx="747">
                  <c:v>44876</c:v>
                </c:pt>
                <c:pt idx="748">
                  <c:v>44879</c:v>
                </c:pt>
                <c:pt idx="749">
                  <c:v>44880</c:v>
                </c:pt>
                <c:pt idx="750">
                  <c:v>44881</c:v>
                </c:pt>
                <c:pt idx="751">
                  <c:v>44882</c:v>
                </c:pt>
                <c:pt idx="752">
                  <c:v>44883</c:v>
                </c:pt>
                <c:pt idx="753">
                  <c:v>44886</c:v>
                </c:pt>
                <c:pt idx="754">
                  <c:v>44887</c:v>
                </c:pt>
                <c:pt idx="755">
                  <c:v>44888</c:v>
                </c:pt>
                <c:pt idx="756">
                  <c:v>44889</c:v>
                </c:pt>
                <c:pt idx="757">
                  <c:v>44890</c:v>
                </c:pt>
                <c:pt idx="758">
                  <c:v>44893</c:v>
                </c:pt>
                <c:pt idx="759">
                  <c:v>44894</c:v>
                </c:pt>
                <c:pt idx="760">
                  <c:v>44895</c:v>
                </c:pt>
                <c:pt idx="761">
                  <c:v>44896</c:v>
                </c:pt>
                <c:pt idx="762">
                  <c:v>44897</c:v>
                </c:pt>
                <c:pt idx="763">
                  <c:v>44900</c:v>
                </c:pt>
                <c:pt idx="764">
                  <c:v>44901</c:v>
                </c:pt>
                <c:pt idx="765">
                  <c:v>44902</c:v>
                </c:pt>
                <c:pt idx="766">
                  <c:v>44903</c:v>
                </c:pt>
                <c:pt idx="767">
                  <c:v>44904</c:v>
                </c:pt>
                <c:pt idx="768">
                  <c:v>44907</c:v>
                </c:pt>
                <c:pt idx="769">
                  <c:v>44908</c:v>
                </c:pt>
                <c:pt idx="770">
                  <c:v>44909</c:v>
                </c:pt>
                <c:pt idx="771">
                  <c:v>44910</c:v>
                </c:pt>
                <c:pt idx="772">
                  <c:v>44911</c:v>
                </c:pt>
                <c:pt idx="773">
                  <c:v>44914</c:v>
                </c:pt>
                <c:pt idx="774">
                  <c:v>44915</c:v>
                </c:pt>
                <c:pt idx="775">
                  <c:v>44916</c:v>
                </c:pt>
                <c:pt idx="776">
                  <c:v>44917</c:v>
                </c:pt>
                <c:pt idx="777">
                  <c:v>44918</c:v>
                </c:pt>
                <c:pt idx="778">
                  <c:v>44921</c:v>
                </c:pt>
                <c:pt idx="779">
                  <c:v>44922</c:v>
                </c:pt>
                <c:pt idx="780">
                  <c:v>44923</c:v>
                </c:pt>
                <c:pt idx="781">
                  <c:v>44924</c:v>
                </c:pt>
                <c:pt idx="782">
                  <c:v>44925</c:v>
                </c:pt>
                <c:pt idx="783">
                  <c:v>44928</c:v>
                </c:pt>
                <c:pt idx="784">
                  <c:v>44929</c:v>
                </c:pt>
                <c:pt idx="785">
                  <c:v>44930</c:v>
                </c:pt>
                <c:pt idx="786">
                  <c:v>44931</c:v>
                </c:pt>
                <c:pt idx="787">
                  <c:v>44932</c:v>
                </c:pt>
                <c:pt idx="788">
                  <c:v>44935</c:v>
                </c:pt>
                <c:pt idx="789">
                  <c:v>44936</c:v>
                </c:pt>
                <c:pt idx="790">
                  <c:v>44937</c:v>
                </c:pt>
                <c:pt idx="791">
                  <c:v>44938</c:v>
                </c:pt>
                <c:pt idx="792">
                  <c:v>44939</c:v>
                </c:pt>
                <c:pt idx="793">
                  <c:v>44942</c:v>
                </c:pt>
                <c:pt idx="794">
                  <c:v>44943</c:v>
                </c:pt>
                <c:pt idx="795">
                  <c:v>44944</c:v>
                </c:pt>
                <c:pt idx="796">
                  <c:v>44945</c:v>
                </c:pt>
                <c:pt idx="797">
                  <c:v>44946</c:v>
                </c:pt>
                <c:pt idx="798">
                  <c:v>44949</c:v>
                </c:pt>
                <c:pt idx="799">
                  <c:v>44950</c:v>
                </c:pt>
                <c:pt idx="800">
                  <c:v>44951</c:v>
                </c:pt>
                <c:pt idx="801">
                  <c:v>44952</c:v>
                </c:pt>
                <c:pt idx="802">
                  <c:v>44953</c:v>
                </c:pt>
                <c:pt idx="803">
                  <c:v>44956</c:v>
                </c:pt>
                <c:pt idx="804">
                  <c:v>44957</c:v>
                </c:pt>
                <c:pt idx="805">
                  <c:v>44958</c:v>
                </c:pt>
                <c:pt idx="806">
                  <c:v>44959</c:v>
                </c:pt>
                <c:pt idx="807">
                  <c:v>44960</c:v>
                </c:pt>
                <c:pt idx="808">
                  <c:v>44963</c:v>
                </c:pt>
                <c:pt idx="809">
                  <c:v>44964</c:v>
                </c:pt>
                <c:pt idx="810">
                  <c:v>44965</c:v>
                </c:pt>
                <c:pt idx="811">
                  <c:v>44966</c:v>
                </c:pt>
                <c:pt idx="812">
                  <c:v>44967</c:v>
                </c:pt>
                <c:pt idx="813">
                  <c:v>44970</c:v>
                </c:pt>
                <c:pt idx="814">
                  <c:v>44971</c:v>
                </c:pt>
                <c:pt idx="815">
                  <c:v>44972</c:v>
                </c:pt>
                <c:pt idx="816">
                  <c:v>44973</c:v>
                </c:pt>
                <c:pt idx="817">
                  <c:v>44974</c:v>
                </c:pt>
                <c:pt idx="818">
                  <c:v>44977</c:v>
                </c:pt>
                <c:pt idx="819">
                  <c:v>44978</c:v>
                </c:pt>
                <c:pt idx="820">
                  <c:v>44979</c:v>
                </c:pt>
                <c:pt idx="821">
                  <c:v>44980</c:v>
                </c:pt>
                <c:pt idx="822">
                  <c:v>44981</c:v>
                </c:pt>
                <c:pt idx="823">
                  <c:v>44984</c:v>
                </c:pt>
                <c:pt idx="824">
                  <c:v>44985</c:v>
                </c:pt>
                <c:pt idx="825">
                  <c:v>44986</c:v>
                </c:pt>
                <c:pt idx="826">
                  <c:v>44987</c:v>
                </c:pt>
                <c:pt idx="827">
                  <c:v>44988</c:v>
                </c:pt>
                <c:pt idx="828">
                  <c:v>44991</c:v>
                </c:pt>
                <c:pt idx="829">
                  <c:v>44992</c:v>
                </c:pt>
                <c:pt idx="830">
                  <c:v>44993</c:v>
                </c:pt>
                <c:pt idx="831">
                  <c:v>44994</c:v>
                </c:pt>
                <c:pt idx="832">
                  <c:v>44995</c:v>
                </c:pt>
                <c:pt idx="833">
                  <c:v>44998</c:v>
                </c:pt>
                <c:pt idx="834">
                  <c:v>44999</c:v>
                </c:pt>
                <c:pt idx="835">
                  <c:v>45000</c:v>
                </c:pt>
                <c:pt idx="836">
                  <c:v>45001</c:v>
                </c:pt>
                <c:pt idx="837">
                  <c:v>45002</c:v>
                </c:pt>
                <c:pt idx="838">
                  <c:v>45005</c:v>
                </c:pt>
                <c:pt idx="839">
                  <c:v>45006</c:v>
                </c:pt>
                <c:pt idx="840">
                  <c:v>45007</c:v>
                </c:pt>
                <c:pt idx="841">
                  <c:v>45008</c:v>
                </c:pt>
                <c:pt idx="842">
                  <c:v>45009</c:v>
                </c:pt>
                <c:pt idx="843">
                  <c:v>45012</c:v>
                </c:pt>
                <c:pt idx="844">
                  <c:v>45013</c:v>
                </c:pt>
                <c:pt idx="845">
                  <c:v>45014</c:v>
                </c:pt>
                <c:pt idx="846">
                  <c:v>45015</c:v>
                </c:pt>
                <c:pt idx="847">
                  <c:v>45016</c:v>
                </c:pt>
                <c:pt idx="848">
                  <c:v>45019</c:v>
                </c:pt>
                <c:pt idx="849">
                  <c:v>45020</c:v>
                </c:pt>
                <c:pt idx="850">
                  <c:v>45021</c:v>
                </c:pt>
                <c:pt idx="851">
                  <c:v>45022</c:v>
                </c:pt>
                <c:pt idx="852">
                  <c:v>45023</c:v>
                </c:pt>
                <c:pt idx="853">
                  <c:v>45026</c:v>
                </c:pt>
                <c:pt idx="854">
                  <c:v>45027</c:v>
                </c:pt>
                <c:pt idx="855">
                  <c:v>45028</c:v>
                </c:pt>
                <c:pt idx="856">
                  <c:v>45029</c:v>
                </c:pt>
                <c:pt idx="857">
                  <c:v>45030</c:v>
                </c:pt>
                <c:pt idx="858">
                  <c:v>45033</c:v>
                </c:pt>
                <c:pt idx="859">
                  <c:v>45034</c:v>
                </c:pt>
                <c:pt idx="860">
                  <c:v>45035</c:v>
                </c:pt>
                <c:pt idx="861">
                  <c:v>45036</c:v>
                </c:pt>
                <c:pt idx="862">
                  <c:v>45037</c:v>
                </c:pt>
                <c:pt idx="863">
                  <c:v>45040</c:v>
                </c:pt>
                <c:pt idx="864">
                  <c:v>45041</c:v>
                </c:pt>
                <c:pt idx="865">
                  <c:v>45042</c:v>
                </c:pt>
                <c:pt idx="866">
                  <c:v>45043</c:v>
                </c:pt>
                <c:pt idx="867">
                  <c:v>45044</c:v>
                </c:pt>
                <c:pt idx="868">
                  <c:v>45047</c:v>
                </c:pt>
                <c:pt idx="869">
                  <c:v>45048</c:v>
                </c:pt>
                <c:pt idx="870">
                  <c:v>45049</c:v>
                </c:pt>
                <c:pt idx="871">
                  <c:v>45050</c:v>
                </c:pt>
                <c:pt idx="872">
                  <c:v>45051</c:v>
                </c:pt>
                <c:pt idx="873">
                  <c:v>45054</c:v>
                </c:pt>
                <c:pt idx="874">
                  <c:v>45055</c:v>
                </c:pt>
                <c:pt idx="875">
                  <c:v>45056</c:v>
                </c:pt>
                <c:pt idx="876">
                  <c:v>45057</c:v>
                </c:pt>
                <c:pt idx="877">
                  <c:v>45058</c:v>
                </c:pt>
                <c:pt idx="878">
                  <c:v>45061</c:v>
                </c:pt>
                <c:pt idx="879">
                  <c:v>45062</c:v>
                </c:pt>
                <c:pt idx="880">
                  <c:v>45063</c:v>
                </c:pt>
                <c:pt idx="881">
                  <c:v>45064</c:v>
                </c:pt>
                <c:pt idx="882">
                  <c:v>45065</c:v>
                </c:pt>
                <c:pt idx="883">
                  <c:v>45068</c:v>
                </c:pt>
                <c:pt idx="884">
                  <c:v>45069</c:v>
                </c:pt>
                <c:pt idx="885">
                  <c:v>45070</c:v>
                </c:pt>
                <c:pt idx="886">
                  <c:v>45071</c:v>
                </c:pt>
                <c:pt idx="887">
                  <c:v>45072</c:v>
                </c:pt>
                <c:pt idx="888">
                  <c:v>45075</c:v>
                </c:pt>
                <c:pt idx="889">
                  <c:v>45076</c:v>
                </c:pt>
                <c:pt idx="890">
                  <c:v>45077</c:v>
                </c:pt>
                <c:pt idx="891">
                  <c:v>45078</c:v>
                </c:pt>
                <c:pt idx="892">
                  <c:v>45079</c:v>
                </c:pt>
                <c:pt idx="893">
                  <c:v>45082</c:v>
                </c:pt>
                <c:pt idx="894">
                  <c:v>45083</c:v>
                </c:pt>
                <c:pt idx="895">
                  <c:v>45084</c:v>
                </c:pt>
                <c:pt idx="896">
                  <c:v>45085</c:v>
                </c:pt>
                <c:pt idx="897">
                  <c:v>45086</c:v>
                </c:pt>
                <c:pt idx="898">
                  <c:v>45089</c:v>
                </c:pt>
                <c:pt idx="899">
                  <c:v>45090</c:v>
                </c:pt>
                <c:pt idx="900">
                  <c:v>45091</c:v>
                </c:pt>
                <c:pt idx="901">
                  <c:v>45092</c:v>
                </c:pt>
                <c:pt idx="902">
                  <c:v>45093</c:v>
                </c:pt>
                <c:pt idx="903">
                  <c:v>45096</c:v>
                </c:pt>
                <c:pt idx="904">
                  <c:v>45097</c:v>
                </c:pt>
                <c:pt idx="905">
                  <c:v>45098</c:v>
                </c:pt>
                <c:pt idx="906">
                  <c:v>45099</c:v>
                </c:pt>
                <c:pt idx="907">
                  <c:v>45100</c:v>
                </c:pt>
                <c:pt idx="908">
                  <c:v>45103</c:v>
                </c:pt>
                <c:pt idx="909">
                  <c:v>45104</c:v>
                </c:pt>
                <c:pt idx="910">
                  <c:v>45105</c:v>
                </c:pt>
                <c:pt idx="911">
                  <c:v>45106</c:v>
                </c:pt>
                <c:pt idx="912">
                  <c:v>45107</c:v>
                </c:pt>
                <c:pt idx="913">
                  <c:v>45110</c:v>
                </c:pt>
                <c:pt idx="914">
                  <c:v>45111</c:v>
                </c:pt>
                <c:pt idx="915">
                  <c:v>45112</c:v>
                </c:pt>
                <c:pt idx="916">
                  <c:v>45113</c:v>
                </c:pt>
                <c:pt idx="917">
                  <c:v>45114</c:v>
                </c:pt>
                <c:pt idx="918">
                  <c:v>45117</c:v>
                </c:pt>
                <c:pt idx="919">
                  <c:v>45118</c:v>
                </c:pt>
                <c:pt idx="920">
                  <c:v>45119</c:v>
                </c:pt>
                <c:pt idx="921">
                  <c:v>45120</c:v>
                </c:pt>
                <c:pt idx="922">
                  <c:v>45121</c:v>
                </c:pt>
                <c:pt idx="923">
                  <c:v>45124</c:v>
                </c:pt>
                <c:pt idx="924">
                  <c:v>45125</c:v>
                </c:pt>
                <c:pt idx="925">
                  <c:v>45126</c:v>
                </c:pt>
                <c:pt idx="926">
                  <c:v>45127</c:v>
                </c:pt>
                <c:pt idx="927">
                  <c:v>45128</c:v>
                </c:pt>
                <c:pt idx="928">
                  <c:v>45131</c:v>
                </c:pt>
                <c:pt idx="929">
                  <c:v>45132</c:v>
                </c:pt>
                <c:pt idx="930">
                  <c:v>45133</c:v>
                </c:pt>
                <c:pt idx="931">
                  <c:v>45134</c:v>
                </c:pt>
                <c:pt idx="932">
                  <c:v>45135</c:v>
                </c:pt>
                <c:pt idx="933">
                  <c:v>45138</c:v>
                </c:pt>
                <c:pt idx="934">
                  <c:v>45139</c:v>
                </c:pt>
                <c:pt idx="935">
                  <c:v>45140</c:v>
                </c:pt>
                <c:pt idx="936">
                  <c:v>45141</c:v>
                </c:pt>
                <c:pt idx="937">
                  <c:v>45142</c:v>
                </c:pt>
                <c:pt idx="938">
                  <c:v>45145</c:v>
                </c:pt>
                <c:pt idx="939">
                  <c:v>45146</c:v>
                </c:pt>
                <c:pt idx="940">
                  <c:v>45147</c:v>
                </c:pt>
                <c:pt idx="941">
                  <c:v>45148</c:v>
                </c:pt>
                <c:pt idx="942">
                  <c:v>45149</c:v>
                </c:pt>
                <c:pt idx="943">
                  <c:v>45152</c:v>
                </c:pt>
                <c:pt idx="944">
                  <c:v>45153</c:v>
                </c:pt>
                <c:pt idx="945">
                  <c:v>45154</c:v>
                </c:pt>
                <c:pt idx="946">
                  <c:v>45155</c:v>
                </c:pt>
                <c:pt idx="947">
                  <c:v>45156</c:v>
                </c:pt>
                <c:pt idx="948">
                  <c:v>45159</c:v>
                </c:pt>
                <c:pt idx="949">
                  <c:v>45160</c:v>
                </c:pt>
                <c:pt idx="950">
                  <c:v>45161</c:v>
                </c:pt>
                <c:pt idx="951">
                  <c:v>45162</c:v>
                </c:pt>
                <c:pt idx="952">
                  <c:v>45163</c:v>
                </c:pt>
                <c:pt idx="953">
                  <c:v>45166</c:v>
                </c:pt>
                <c:pt idx="954">
                  <c:v>45167</c:v>
                </c:pt>
                <c:pt idx="955">
                  <c:v>45168</c:v>
                </c:pt>
                <c:pt idx="956">
                  <c:v>45169</c:v>
                </c:pt>
                <c:pt idx="957">
                  <c:v>45170</c:v>
                </c:pt>
                <c:pt idx="958">
                  <c:v>45173</c:v>
                </c:pt>
                <c:pt idx="959">
                  <c:v>45174</c:v>
                </c:pt>
                <c:pt idx="960">
                  <c:v>45175</c:v>
                </c:pt>
                <c:pt idx="961">
                  <c:v>45176</c:v>
                </c:pt>
                <c:pt idx="962">
                  <c:v>45177</c:v>
                </c:pt>
                <c:pt idx="963">
                  <c:v>45180</c:v>
                </c:pt>
              </c:numCache>
            </c:numRef>
          </c:cat>
          <c:val>
            <c:numRef>
              <c:f>Sheet1!$B$2:$B$1226</c:f>
              <c:numCache>
                <c:formatCode>0</c:formatCode>
                <c:ptCount val="964"/>
                <c:pt idx="0">
                  <c:v>1.7363900000000001</c:v>
                </c:pt>
                <c:pt idx="1">
                  <c:v>1.78189</c:v>
                </c:pt>
                <c:pt idx="2">
                  <c:v>1.8520699999999999</c:v>
                </c:pt>
                <c:pt idx="3">
                  <c:v>1.8480300000000001</c:v>
                </c:pt>
                <c:pt idx="4">
                  <c:v>1.8575299999999999</c:v>
                </c:pt>
                <c:pt idx="5">
                  <c:v>1.7668799999999998</c:v>
                </c:pt>
                <c:pt idx="6">
                  <c:v>1.7166300000000001</c:v>
                </c:pt>
                <c:pt idx="7">
                  <c:v>1.6982400000000002</c:v>
                </c:pt>
                <c:pt idx="8">
                  <c:v>1.6835499999999999</c:v>
                </c:pt>
                <c:pt idx="9">
                  <c:v>1.6552199999999999</c:v>
                </c:pt>
                <c:pt idx="10">
                  <c:v>1.6752400000000001</c:v>
                </c:pt>
                <c:pt idx="11">
                  <c:v>1.61792</c:v>
                </c:pt>
                <c:pt idx="12">
                  <c:v>1.6393500000000001</c:v>
                </c:pt>
                <c:pt idx="13">
                  <c:v>1.62825</c:v>
                </c:pt>
                <c:pt idx="14">
                  <c:v>1.67648</c:v>
                </c:pt>
                <c:pt idx="15">
                  <c:v>1.6821299999999999</c:v>
                </c:pt>
                <c:pt idx="16">
                  <c:v>1.73034</c:v>
                </c:pt>
                <c:pt idx="17">
                  <c:v>1.75119</c:v>
                </c:pt>
                <c:pt idx="18">
                  <c:v>1.8262299999999998</c:v>
                </c:pt>
                <c:pt idx="19">
                  <c:v>1.78573</c:v>
                </c:pt>
                <c:pt idx="20">
                  <c:v>1.8404199999999999</c:v>
                </c:pt>
                <c:pt idx="21">
                  <c:v>1.85995</c:v>
                </c:pt>
                <c:pt idx="22">
                  <c:v>1.85808</c:v>
                </c:pt>
                <c:pt idx="23">
                  <c:v>1.8296999999999999</c:v>
                </c:pt>
                <c:pt idx="24">
                  <c:v>1.8093700000000001</c:v>
                </c:pt>
                <c:pt idx="25">
                  <c:v>1.77155</c:v>
                </c:pt>
                <c:pt idx="26">
                  <c:v>1.7235</c:v>
                </c:pt>
                <c:pt idx="27">
                  <c:v>1.79684</c:v>
                </c:pt>
                <c:pt idx="28">
                  <c:v>1.8176499999999998</c:v>
                </c:pt>
                <c:pt idx="29">
                  <c:v>1.7914599999999998</c:v>
                </c:pt>
                <c:pt idx="30">
                  <c:v>1.77417</c:v>
                </c:pt>
                <c:pt idx="31">
                  <c:v>1.7558</c:v>
                </c:pt>
                <c:pt idx="32">
                  <c:v>1.7746999999999999</c:v>
                </c:pt>
                <c:pt idx="33">
                  <c:v>1.75267</c:v>
                </c:pt>
                <c:pt idx="34">
                  <c:v>1.7710599999999999</c:v>
                </c:pt>
                <c:pt idx="35">
                  <c:v>1.7523599999999999</c:v>
                </c:pt>
                <c:pt idx="36">
                  <c:v>1.7475399999999999</c:v>
                </c:pt>
                <c:pt idx="37">
                  <c:v>1.7945500000000001</c:v>
                </c:pt>
                <c:pt idx="38">
                  <c:v>1.8802000000000001</c:v>
                </c:pt>
                <c:pt idx="39">
                  <c:v>1.9615799999999999</c:v>
                </c:pt>
                <c:pt idx="40">
                  <c:v>1.96654</c:v>
                </c:pt>
                <c:pt idx="41">
                  <c:v>2.1098500000000002</c:v>
                </c:pt>
                <c:pt idx="42">
                  <c:v>2.3438099999999999</c:v>
                </c:pt>
                <c:pt idx="43">
                  <c:v>2.3085300000000002</c:v>
                </c:pt>
                <c:pt idx="44">
                  <c:v>2.2575099999999999</c:v>
                </c:pt>
                <c:pt idx="45">
                  <c:v>2.4010699999999998</c:v>
                </c:pt>
                <c:pt idx="46">
                  <c:v>2.4489700000000001</c:v>
                </c:pt>
                <c:pt idx="47">
                  <c:v>2.57192</c:v>
                </c:pt>
                <c:pt idx="48">
                  <c:v>3.3681299999999998</c:v>
                </c:pt>
                <c:pt idx="49">
                  <c:v>3.29461</c:v>
                </c:pt>
                <c:pt idx="50">
                  <c:v>3.3781499999999998</c:v>
                </c:pt>
                <c:pt idx="51">
                  <c:v>4.0818200000000004</c:v>
                </c:pt>
                <c:pt idx="52">
                  <c:v>4.0964900000000002</c:v>
                </c:pt>
                <c:pt idx="53">
                  <c:v>4.29115</c:v>
                </c:pt>
                <c:pt idx="54">
                  <c:v>4.4605500000000005</c:v>
                </c:pt>
                <c:pt idx="55">
                  <c:v>5.0475099999999999</c:v>
                </c:pt>
                <c:pt idx="56">
                  <c:v>5.7666099999999991</c:v>
                </c:pt>
                <c:pt idx="57">
                  <c:v>6.2334199999999997</c:v>
                </c:pt>
                <c:pt idx="58">
                  <c:v>6.8207699999999996</c:v>
                </c:pt>
                <c:pt idx="59">
                  <c:v>6.6840999999999999</c:v>
                </c:pt>
                <c:pt idx="60">
                  <c:v>6.3724499999999997</c:v>
                </c:pt>
                <c:pt idx="61">
                  <c:v>6.2413199999999991</c:v>
                </c:pt>
                <c:pt idx="62">
                  <c:v>6.2163000000000004</c:v>
                </c:pt>
                <c:pt idx="63">
                  <c:v>6.2312099999999999</c:v>
                </c:pt>
                <c:pt idx="64">
                  <c:v>6.2416499999999999</c:v>
                </c:pt>
                <c:pt idx="65">
                  <c:v>6.2218899999999993</c:v>
                </c:pt>
                <c:pt idx="66">
                  <c:v>6.1579600000000001</c:v>
                </c:pt>
                <c:pt idx="67">
                  <c:v>5.9767999999999999</c:v>
                </c:pt>
                <c:pt idx="68">
                  <c:v>5.8394200000000005</c:v>
                </c:pt>
                <c:pt idx="69">
                  <c:v>5.8199500000000004</c:v>
                </c:pt>
                <c:pt idx="70">
                  <c:v>5.8534100000000002</c:v>
                </c:pt>
                <c:pt idx="71">
                  <c:v>5.5377200000000002</c:v>
                </c:pt>
                <c:pt idx="72">
                  <c:v>5.5377200000000002</c:v>
                </c:pt>
                <c:pt idx="73">
                  <c:v>5.5377200000000002</c:v>
                </c:pt>
                <c:pt idx="74">
                  <c:v>5.3122400000000001</c:v>
                </c:pt>
                <c:pt idx="75">
                  <c:v>5.3883100000000006</c:v>
                </c:pt>
                <c:pt idx="76">
                  <c:v>5.3957600000000001</c:v>
                </c:pt>
                <c:pt idx="77">
                  <c:v>5.3039499999999995</c:v>
                </c:pt>
                <c:pt idx="78">
                  <c:v>5.3371199999999996</c:v>
                </c:pt>
                <c:pt idx="79">
                  <c:v>5.4261699999999999</c:v>
                </c:pt>
                <c:pt idx="80">
                  <c:v>5.4218100000000007</c:v>
                </c:pt>
                <c:pt idx="81">
                  <c:v>5.3878599999999999</c:v>
                </c:pt>
                <c:pt idx="82">
                  <c:v>5.3713699999999998</c:v>
                </c:pt>
                <c:pt idx="83">
                  <c:v>5.3795299999999999</c:v>
                </c:pt>
                <c:pt idx="84">
                  <c:v>5.4208299999999996</c:v>
                </c:pt>
                <c:pt idx="85">
                  <c:v>5.4206200000000004</c:v>
                </c:pt>
                <c:pt idx="86">
                  <c:v>5.2873099999999997</c:v>
                </c:pt>
                <c:pt idx="87">
                  <c:v>5.3007899999999992</c:v>
                </c:pt>
                <c:pt idx="88">
                  <c:v>5.2291999999999996</c:v>
                </c:pt>
                <c:pt idx="89">
                  <c:v>4.8987699999999998</c:v>
                </c:pt>
                <c:pt idx="90">
                  <c:v>4.8389499999999996</c:v>
                </c:pt>
                <c:pt idx="91">
                  <c:v>4.7902999999999993</c:v>
                </c:pt>
                <c:pt idx="92">
                  <c:v>4.7902999999999993</c:v>
                </c:pt>
                <c:pt idx="93">
                  <c:v>4.3407299999999998</c:v>
                </c:pt>
                <c:pt idx="94">
                  <c:v>4.3659400000000002</c:v>
                </c:pt>
                <c:pt idx="95">
                  <c:v>3.92456</c:v>
                </c:pt>
                <c:pt idx="96">
                  <c:v>3.7565599999999999</c:v>
                </c:pt>
                <c:pt idx="97">
                  <c:v>3.6614999999999998</c:v>
                </c:pt>
                <c:pt idx="98">
                  <c:v>3.5234699999999997</c:v>
                </c:pt>
                <c:pt idx="99">
                  <c:v>3.5111399999999997</c:v>
                </c:pt>
                <c:pt idx="100">
                  <c:v>3.4656500000000001</c:v>
                </c:pt>
                <c:pt idx="101">
                  <c:v>3.4431799999999999</c:v>
                </c:pt>
                <c:pt idx="102">
                  <c:v>3.4334899999999999</c:v>
                </c:pt>
                <c:pt idx="103">
                  <c:v>3.4334899999999999</c:v>
                </c:pt>
                <c:pt idx="104">
                  <c:v>3.4462900000000003</c:v>
                </c:pt>
                <c:pt idx="105">
                  <c:v>3.4242399999999997</c:v>
                </c:pt>
                <c:pt idx="106">
                  <c:v>3.4202900000000001</c:v>
                </c:pt>
                <c:pt idx="107">
                  <c:v>3.4429500000000002</c:v>
                </c:pt>
                <c:pt idx="108">
                  <c:v>3.4256099999999998</c:v>
                </c:pt>
                <c:pt idx="109">
                  <c:v>3.3997899999999999</c:v>
                </c:pt>
                <c:pt idx="110">
                  <c:v>3.37039</c:v>
                </c:pt>
                <c:pt idx="111">
                  <c:v>3.34673</c:v>
                </c:pt>
                <c:pt idx="112">
                  <c:v>3.2236599999999997</c:v>
                </c:pt>
                <c:pt idx="113">
                  <c:v>3.2968700000000002</c:v>
                </c:pt>
                <c:pt idx="114">
                  <c:v>3.4345400000000001</c:v>
                </c:pt>
                <c:pt idx="115">
                  <c:v>3.35101</c:v>
                </c:pt>
                <c:pt idx="116">
                  <c:v>3.5507999999999997</c:v>
                </c:pt>
                <c:pt idx="117">
                  <c:v>3.6457899999999999</c:v>
                </c:pt>
                <c:pt idx="118">
                  <c:v>3.96271</c:v>
                </c:pt>
                <c:pt idx="119">
                  <c:v>3.9336200000000003</c:v>
                </c:pt>
                <c:pt idx="120">
                  <c:v>3.9383600000000003</c:v>
                </c:pt>
                <c:pt idx="121">
                  <c:v>3.93391</c:v>
                </c:pt>
                <c:pt idx="122">
                  <c:v>3.8374799999999998</c:v>
                </c:pt>
                <c:pt idx="123">
                  <c:v>3.9015</c:v>
                </c:pt>
                <c:pt idx="124">
                  <c:v>3.90001</c:v>
                </c:pt>
                <c:pt idx="125">
                  <c:v>3.8919700000000002</c:v>
                </c:pt>
                <c:pt idx="126">
                  <c:v>3.9880599999999999</c:v>
                </c:pt>
                <c:pt idx="127">
                  <c:v>3.9624999999999999</c:v>
                </c:pt>
                <c:pt idx="128">
                  <c:v>4.0005699999999997</c:v>
                </c:pt>
                <c:pt idx="129">
                  <c:v>3.9650499999999997</c:v>
                </c:pt>
                <c:pt idx="130">
                  <c:v>3.8603399999999999</c:v>
                </c:pt>
                <c:pt idx="131">
                  <c:v>3.61937</c:v>
                </c:pt>
                <c:pt idx="132">
                  <c:v>3.5287799999999998</c:v>
                </c:pt>
                <c:pt idx="133">
                  <c:v>3.5539999999999998</c:v>
                </c:pt>
                <c:pt idx="134">
                  <c:v>3.5553699999999999</c:v>
                </c:pt>
                <c:pt idx="135">
                  <c:v>3.5792899999999999</c:v>
                </c:pt>
                <c:pt idx="136">
                  <c:v>3.5980500000000002</c:v>
                </c:pt>
                <c:pt idx="137">
                  <c:v>3.59979</c:v>
                </c:pt>
                <c:pt idx="138">
                  <c:v>3.6027199999999997</c:v>
                </c:pt>
                <c:pt idx="139">
                  <c:v>3.5821399999999999</c:v>
                </c:pt>
                <c:pt idx="140">
                  <c:v>3.5893799999999998</c:v>
                </c:pt>
                <c:pt idx="141">
                  <c:v>3.5935100000000002</c:v>
                </c:pt>
                <c:pt idx="142">
                  <c:v>3.6319900000000001</c:v>
                </c:pt>
                <c:pt idx="143">
                  <c:v>3.6670999999999996</c:v>
                </c:pt>
                <c:pt idx="144">
                  <c:v>3.6825400000000004</c:v>
                </c:pt>
                <c:pt idx="145">
                  <c:v>3.64445</c:v>
                </c:pt>
                <c:pt idx="146">
                  <c:v>3.5911599999999999</c:v>
                </c:pt>
                <c:pt idx="147">
                  <c:v>3.6309399999999998</c:v>
                </c:pt>
                <c:pt idx="148">
                  <c:v>3.5488499999999998</c:v>
                </c:pt>
                <c:pt idx="149">
                  <c:v>3.6082000000000001</c:v>
                </c:pt>
                <c:pt idx="150">
                  <c:v>3.62513</c:v>
                </c:pt>
                <c:pt idx="151">
                  <c:v>3.6390400000000001</c:v>
                </c:pt>
                <c:pt idx="152">
                  <c:v>3.63036</c:v>
                </c:pt>
                <c:pt idx="153">
                  <c:v>3.6068099999999998</c:v>
                </c:pt>
                <c:pt idx="154">
                  <c:v>3.5644200000000001</c:v>
                </c:pt>
                <c:pt idx="155">
                  <c:v>3.5126999999999997</c:v>
                </c:pt>
                <c:pt idx="156">
                  <c:v>3.4589800000000004</c:v>
                </c:pt>
                <c:pt idx="157">
                  <c:v>3.4546600000000001</c:v>
                </c:pt>
                <c:pt idx="158">
                  <c:v>3.4656799999999999</c:v>
                </c:pt>
                <c:pt idx="159">
                  <c:v>3.3431299999999999</c:v>
                </c:pt>
                <c:pt idx="160">
                  <c:v>3.2711200000000002</c:v>
                </c:pt>
                <c:pt idx="161">
                  <c:v>3.17849</c:v>
                </c:pt>
                <c:pt idx="162">
                  <c:v>3.2134199999999997</c:v>
                </c:pt>
                <c:pt idx="163">
                  <c:v>3.31664</c:v>
                </c:pt>
                <c:pt idx="164">
                  <c:v>3.2951999999999999</c:v>
                </c:pt>
                <c:pt idx="165">
                  <c:v>3.2981400000000001</c:v>
                </c:pt>
                <c:pt idx="166">
                  <c:v>3.30728</c:v>
                </c:pt>
                <c:pt idx="167">
                  <c:v>3.2602999999999995</c:v>
                </c:pt>
                <c:pt idx="168">
                  <c:v>3.2972399999999999</c:v>
                </c:pt>
                <c:pt idx="169">
                  <c:v>3.2194799999999999</c:v>
                </c:pt>
                <c:pt idx="170">
                  <c:v>3.26613</c:v>
                </c:pt>
                <c:pt idx="171">
                  <c:v>3.1721599999999999</c:v>
                </c:pt>
                <c:pt idx="172">
                  <c:v>3.29332</c:v>
                </c:pt>
                <c:pt idx="173">
                  <c:v>3.29332</c:v>
                </c:pt>
                <c:pt idx="174">
                  <c:v>3.2331799999999999</c:v>
                </c:pt>
                <c:pt idx="175">
                  <c:v>3.2189899999999998</c:v>
                </c:pt>
                <c:pt idx="176">
                  <c:v>3.2304399999999998</c:v>
                </c:pt>
                <c:pt idx="177">
                  <c:v>3.17327</c:v>
                </c:pt>
                <c:pt idx="178">
                  <c:v>3.1342200000000005</c:v>
                </c:pt>
                <c:pt idx="179">
                  <c:v>3.28267</c:v>
                </c:pt>
                <c:pt idx="180">
                  <c:v>3.21848</c:v>
                </c:pt>
                <c:pt idx="181">
                  <c:v>3.2305099999999998</c:v>
                </c:pt>
                <c:pt idx="182">
                  <c:v>3.2290899999999998</c:v>
                </c:pt>
                <c:pt idx="183">
                  <c:v>3.2208699999999997</c:v>
                </c:pt>
                <c:pt idx="184">
                  <c:v>3.2126199999999998</c:v>
                </c:pt>
                <c:pt idx="185">
                  <c:v>3.1789199999999997</c:v>
                </c:pt>
                <c:pt idx="186">
                  <c:v>3.19923</c:v>
                </c:pt>
                <c:pt idx="187">
                  <c:v>3.1557499999999998</c:v>
                </c:pt>
                <c:pt idx="188">
                  <c:v>3.2448999999999999</c:v>
                </c:pt>
                <c:pt idx="189">
                  <c:v>3.2217599999999997</c:v>
                </c:pt>
                <c:pt idx="190">
                  <c:v>3.3617700000000004</c:v>
                </c:pt>
                <c:pt idx="191">
                  <c:v>3.4065699999999999</c:v>
                </c:pt>
                <c:pt idx="192">
                  <c:v>3.3928400000000001</c:v>
                </c:pt>
                <c:pt idx="193">
                  <c:v>4.3042400000000001</c:v>
                </c:pt>
                <c:pt idx="194">
                  <c:v>4.6249799999999999</c:v>
                </c:pt>
                <c:pt idx="195">
                  <c:v>4.5971700000000002</c:v>
                </c:pt>
                <c:pt idx="196">
                  <c:v>4.3040899999999995</c:v>
                </c:pt>
                <c:pt idx="197">
                  <c:v>4.1194299999999995</c:v>
                </c:pt>
                <c:pt idx="198">
                  <c:v>4.1542300000000001</c:v>
                </c:pt>
                <c:pt idx="199">
                  <c:v>4.1319299999999997</c:v>
                </c:pt>
                <c:pt idx="200">
                  <c:v>4.1326499999999999</c:v>
                </c:pt>
                <c:pt idx="201">
                  <c:v>4.12019</c:v>
                </c:pt>
                <c:pt idx="202">
                  <c:v>4.0574500000000002</c:v>
                </c:pt>
                <c:pt idx="203">
                  <c:v>4.0721499999999997</c:v>
                </c:pt>
                <c:pt idx="204">
                  <c:v>4.1034699999999997</c:v>
                </c:pt>
                <c:pt idx="205">
                  <c:v>4.2120699999999998</c:v>
                </c:pt>
                <c:pt idx="206">
                  <c:v>4.2347999999999999</c:v>
                </c:pt>
                <c:pt idx="207">
                  <c:v>4.20695</c:v>
                </c:pt>
                <c:pt idx="208">
                  <c:v>4.1501600000000005</c:v>
                </c:pt>
                <c:pt idx="209">
                  <c:v>4.2053699999999994</c:v>
                </c:pt>
                <c:pt idx="210">
                  <c:v>4.2730399999999999</c:v>
                </c:pt>
                <c:pt idx="211">
                  <c:v>4.3217999999999996</c:v>
                </c:pt>
                <c:pt idx="212">
                  <c:v>4.3247099999999996</c:v>
                </c:pt>
                <c:pt idx="213">
                  <c:v>4.4691700000000001</c:v>
                </c:pt>
                <c:pt idx="214">
                  <c:v>4.5228399999999995</c:v>
                </c:pt>
                <c:pt idx="215">
                  <c:v>4.5758900000000002</c:v>
                </c:pt>
                <c:pt idx="216">
                  <c:v>4.6467200000000002</c:v>
                </c:pt>
                <c:pt idx="217">
                  <c:v>4.7588299999999997</c:v>
                </c:pt>
                <c:pt idx="218">
                  <c:v>4.8208599999999997</c:v>
                </c:pt>
                <c:pt idx="219">
                  <c:v>4.5528899999999997</c:v>
                </c:pt>
                <c:pt idx="220">
                  <c:v>4.5327599999999997</c:v>
                </c:pt>
                <c:pt idx="221">
                  <c:v>4.4813600000000005</c:v>
                </c:pt>
                <c:pt idx="222">
                  <c:v>4.3659100000000004</c:v>
                </c:pt>
                <c:pt idx="223">
                  <c:v>3.9936500000000001</c:v>
                </c:pt>
                <c:pt idx="224">
                  <c:v>3.4702999999999999</c:v>
                </c:pt>
                <c:pt idx="225">
                  <c:v>3.4935700000000001</c:v>
                </c:pt>
                <c:pt idx="226">
                  <c:v>3.4884199999999996</c:v>
                </c:pt>
                <c:pt idx="227">
                  <c:v>3.52183</c:v>
                </c:pt>
                <c:pt idx="228">
                  <c:v>3.4179599999999999</c:v>
                </c:pt>
                <c:pt idx="229">
                  <c:v>3.5132100000000004</c:v>
                </c:pt>
                <c:pt idx="230">
                  <c:v>3.5017</c:v>
                </c:pt>
                <c:pt idx="231">
                  <c:v>3.5449999999999999</c:v>
                </c:pt>
                <c:pt idx="232">
                  <c:v>3.5680000000000001</c:v>
                </c:pt>
                <c:pt idx="233">
                  <c:v>3.6437400000000002</c:v>
                </c:pt>
                <c:pt idx="234">
                  <c:v>3.5514199999999998</c:v>
                </c:pt>
                <c:pt idx="235">
                  <c:v>3.5723500000000001</c:v>
                </c:pt>
                <c:pt idx="236">
                  <c:v>3.6395800000000005</c:v>
                </c:pt>
                <c:pt idx="237">
                  <c:v>3.5815100000000002</c:v>
                </c:pt>
                <c:pt idx="238">
                  <c:v>3.6077699999999999</c:v>
                </c:pt>
                <c:pt idx="239">
                  <c:v>3.5652600000000003</c:v>
                </c:pt>
                <c:pt idx="240">
                  <c:v>3.5849599999999997</c:v>
                </c:pt>
                <c:pt idx="241">
                  <c:v>3.4287000000000001</c:v>
                </c:pt>
                <c:pt idx="242">
                  <c:v>3.00034</c:v>
                </c:pt>
                <c:pt idx="243">
                  <c:v>3.0610000000000004</c:v>
                </c:pt>
                <c:pt idx="244">
                  <c:v>3.0694299999999997</c:v>
                </c:pt>
                <c:pt idx="245">
                  <c:v>3.0457400000000003</c:v>
                </c:pt>
                <c:pt idx="246">
                  <c:v>3.1460399999999997</c:v>
                </c:pt>
                <c:pt idx="247">
                  <c:v>3.1726399999999999</c:v>
                </c:pt>
                <c:pt idx="248">
                  <c:v>3.1973399999999996</c:v>
                </c:pt>
                <c:pt idx="249">
                  <c:v>3.0992999999999999</c:v>
                </c:pt>
                <c:pt idx="250">
                  <c:v>3.02657</c:v>
                </c:pt>
                <c:pt idx="251">
                  <c:v>2.9476999999999998</c:v>
                </c:pt>
                <c:pt idx="252">
                  <c:v>2.95709</c:v>
                </c:pt>
                <c:pt idx="253">
                  <c:v>3.0359800000000003</c:v>
                </c:pt>
                <c:pt idx="254">
                  <c:v>2.9912599999999996</c:v>
                </c:pt>
                <c:pt idx="255">
                  <c:v>2.9758499999999999</c:v>
                </c:pt>
                <c:pt idx="256">
                  <c:v>2.9051600000000004</c:v>
                </c:pt>
                <c:pt idx="257">
                  <c:v>2.9051600000000004</c:v>
                </c:pt>
                <c:pt idx="258">
                  <c:v>2.9051600000000004</c:v>
                </c:pt>
                <c:pt idx="259">
                  <c:v>2.86206</c:v>
                </c:pt>
                <c:pt idx="260">
                  <c:v>2.8364100000000003</c:v>
                </c:pt>
                <c:pt idx="261">
                  <c:v>2.8584500000000004</c:v>
                </c:pt>
                <c:pt idx="262">
                  <c:v>2.8584500000000004</c:v>
                </c:pt>
                <c:pt idx="263">
                  <c:v>2.8169299999999997</c:v>
                </c:pt>
                <c:pt idx="264">
                  <c:v>2.7524099999999998</c:v>
                </c:pt>
                <c:pt idx="265">
                  <c:v>2.68981</c:v>
                </c:pt>
                <c:pt idx="266">
                  <c:v>2.6709300000000002</c:v>
                </c:pt>
                <c:pt idx="267">
                  <c:v>2.6219099999999997</c:v>
                </c:pt>
                <c:pt idx="268">
                  <c:v>2.6010199999999997</c:v>
                </c:pt>
                <c:pt idx="269">
                  <c:v>2.59552</c:v>
                </c:pt>
                <c:pt idx="270">
                  <c:v>2.5579900000000002</c:v>
                </c:pt>
                <c:pt idx="271">
                  <c:v>2.4131</c:v>
                </c:pt>
                <c:pt idx="272">
                  <c:v>2.3556699999999999</c:v>
                </c:pt>
                <c:pt idx="273">
                  <c:v>2.3820399999999999</c:v>
                </c:pt>
                <c:pt idx="274">
                  <c:v>2.3827400000000001</c:v>
                </c:pt>
                <c:pt idx="275">
                  <c:v>2.4190899999999997</c:v>
                </c:pt>
                <c:pt idx="276">
                  <c:v>2.38836</c:v>
                </c:pt>
                <c:pt idx="277">
                  <c:v>2.4344100000000002</c:v>
                </c:pt>
                <c:pt idx="278">
                  <c:v>2.6081300000000001</c:v>
                </c:pt>
                <c:pt idx="279">
                  <c:v>2.5082100000000001</c:v>
                </c:pt>
                <c:pt idx="280">
                  <c:v>2.6385000000000001</c:v>
                </c:pt>
                <c:pt idx="281">
                  <c:v>2.5804300000000002</c:v>
                </c:pt>
                <c:pt idx="282">
                  <c:v>2.5819999999999999</c:v>
                </c:pt>
                <c:pt idx="283">
                  <c:v>2.6406999999999998</c:v>
                </c:pt>
                <c:pt idx="284">
                  <c:v>2.6360299999999999</c:v>
                </c:pt>
                <c:pt idx="285">
                  <c:v>2.5867100000000001</c:v>
                </c:pt>
                <c:pt idx="286">
                  <c:v>2.6601499999999998</c:v>
                </c:pt>
                <c:pt idx="287">
                  <c:v>2.6298899999999996</c:v>
                </c:pt>
                <c:pt idx="288">
                  <c:v>2.6354099999999998</c:v>
                </c:pt>
                <c:pt idx="289">
                  <c:v>2.7134300000000002</c:v>
                </c:pt>
                <c:pt idx="290">
                  <c:v>2.7214999999999998</c:v>
                </c:pt>
                <c:pt idx="291">
                  <c:v>2.7622500000000003</c:v>
                </c:pt>
                <c:pt idx="292">
                  <c:v>2.7557600000000004</c:v>
                </c:pt>
                <c:pt idx="293">
                  <c:v>2.7970999999999999</c:v>
                </c:pt>
                <c:pt idx="294">
                  <c:v>2.8182600000000004</c:v>
                </c:pt>
                <c:pt idx="295">
                  <c:v>2.8817399999999997</c:v>
                </c:pt>
                <c:pt idx="296">
                  <c:v>2.8945600000000002</c:v>
                </c:pt>
                <c:pt idx="297">
                  <c:v>2.8390599999999999</c:v>
                </c:pt>
                <c:pt idx="298">
                  <c:v>2.8846400000000001</c:v>
                </c:pt>
                <c:pt idx="299">
                  <c:v>2.8992500000000003</c:v>
                </c:pt>
                <c:pt idx="300">
                  <c:v>2.8491300000000002</c:v>
                </c:pt>
                <c:pt idx="301">
                  <c:v>3.1882299999999999</c:v>
                </c:pt>
                <c:pt idx="302">
                  <c:v>3.1135899999999999</c:v>
                </c:pt>
                <c:pt idx="303">
                  <c:v>3.1217200000000003</c:v>
                </c:pt>
                <c:pt idx="304">
                  <c:v>3.21644</c:v>
                </c:pt>
                <c:pt idx="305">
                  <c:v>3.0998600000000001</c:v>
                </c:pt>
                <c:pt idx="306">
                  <c:v>3.1214600000000003</c:v>
                </c:pt>
                <c:pt idx="307">
                  <c:v>3.2054500000000004</c:v>
                </c:pt>
                <c:pt idx="308">
                  <c:v>3.2382799999999996</c:v>
                </c:pt>
                <c:pt idx="309">
                  <c:v>3.1944099999999995</c:v>
                </c:pt>
                <c:pt idx="310">
                  <c:v>3.2335500000000001</c:v>
                </c:pt>
                <c:pt idx="311">
                  <c:v>3.1610399999999998</c:v>
                </c:pt>
                <c:pt idx="312">
                  <c:v>3.1209699999999998</c:v>
                </c:pt>
                <c:pt idx="313">
                  <c:v>3.1028800000000003</c:v>
                </c:pt>
                <c:pt idx="314">
                  <c:v>3.0680700000000001</c:v>
                </c:pt>
                <c:pt idx="315">
                  <c:v>3.27101</c:v>
                </c:pt>
                <c:pt idx="316">
                  <c:v>3.29372</c:v>
                </c:pt>
                <c:pt idx="317">
                  <c:v>3.2604099999999998</c:v>
                </c:pt>
                <c:pt idx="318">
                  <c:v>3.3307100000000003</c:v>
                </c:pt>
                <c:pt idx="319">
                  <c:v>3.35711</c:v>
                </c:pt>
                <c:pt idx="320">
                  <c:v>3.3750799999999996</c:v>
                </c:pt>
                <c:pt idx="321">
                  <c:v>3.3872500000000003</c:v>
                </c:pt>
                <c:pt idx="322">
                  <c:v>3.3202699999999998</c:v>
                </c:pt>
                <c:pt idx="323">
                  <c:v>3.2536299999999998</c:v>
                </c:pt>
                <c:pt idx="324">
                  <c:v>3.2598099999999999</c:v>
                </c:pt>
                <c:pt idx="325">
                  <c:v>3.2363</c:v>
                </c:pt>
                <c:pt idx="326">
                  <c:v>3.2511200000000002</c:v>
                </c:pt>
                <c:pt idx="327">
                  <c:v>3.2511200000000002</c:v>
                </c:pt>
                <c:pt idx="328">
                  <c:v>3.2511200000000002</c:v>
                </c:pt>
                <c:pt idx="329">
                  <c:v>3.1804700000000001</c:v>
                </c:pt>
                <c:pt idx="330">
                  <c:v>3.2015800000000003</c:v>
                </c:pt>
                <c:pt idx="331">
                  <c:v>3.2289699999999999</c:v>
                </c:pt>
                <c:pt idx="332">
                  <c:v>3.1660000000000004</c:v>
                </c:pt>
                <c:pt idx="333">
                  <c:v>3.1489699999999998</c:v>
                </c:pt>
                <c:pt idx="334">
                  <c:v>3.14229</c:v>
                </c:pt>
                <c:pt idx="335">
                  <c:v>3.1596800000000003</c:v>
                </c:pt>
                <c:pt idx="336">
                  <c:v>3.1951999999999998</c:v>
                </c:pt>
                <c:pt idx="337">
                  <c:v>3.1746099999999999</c:v>
                </c:pt>
                <c:pt idx="338">
                  <c:v>3.1339999999999999</c:v>
                </c:pt>
                <c:pt idx="339">
                  <c:v>3.1307299999999998</c:v>
                </c:pt>
                <c:pt idx="340">
                  <c:v>3.1317700000000004</c:v>
                </c:pt>
                <c:pt idx="341">
                  <c:v>3.1129799999999999</c:v>
                </c:pt>
                <c:pt idx="342">
                  <c:v>3.1275900000000001</c:v>
                </c:pt>
                <c:pt idx="343">
                  <c:v>3.0657399999999999</c:v>
                </c:pt>
                <c:pt idx="344">
                  <c:v>3.0293299999999999</c:v>
                </c:pt>
                <c:pt idx="345">
                  <c:v>3.11341</c:v>
                </c:pt>
                <c:pt idx="346">
                  <c:v>3.1249200000000004</c:v>
                </c:pt>
                <c:pt idx="347">
                  <c:v>3.1486499999999999</c:v>
                </c:pt>
                <c:pt idx="348">
                  <c:v>3.1486499999999999</c:v>
                </c:pt>
                <c:pt idx="349">
                  <c:v>3.1697500000000001</c:v>
                </c:pt>
                <c:pt idx="350">
                  <c:v>3.01153</c:v>
                </c:pt>
                <c:pt idx="351">
                  <c:v>2.89438</c:v>
                </c:pt>
                <c:pt idx="352">
                  <c:v>2.7231000000000001</c:v>
                </c:pt>
                <c:pt idx="353">
                  <c:v>2.6690699999999996</c:v>
                </c:pt>
                <c:pt idx="354">
                  <c:v>2.74838</c:v>
                </c:pt>
                <c:pt idx="355">
                  <c:v>2.7138</c:v>
                </c:pt>
                <c:pt idx="356">
                  <c:v>2.7319600000000004</c:v>
                </c:pt>
                <c:pt idx="357">
                  <c:v>2.7505700000000002</c:v>
                </c:pt>
                <c:pt idx="358">
                  <c:v>2.78498</c:v>
                </c:pt>
                <c:pt idx="359">
                  <c:v>2.76532</c:v>
                </c:pt>
                <c:pt idx="360">
                  <c:v>2.6859600000000001</c:v>
                </c:pt>
                <c:pt idx="361">
                  <c:v>2.7705799999999998</c:v>
                </c:pt>
                <c:pt idx="362">
                  <c:v>2.7601100000000001</c:v>
                </c:pt>
                <c:pt idx="363">
                  <c:v>2.7756500000000002</c:v>
                </c:pt>
                <c:pt idx="364">
                  <c:v>2.78451</c:v>
                </c:pt>
                <c:pt idx="365">
                  <c:v>2.7819699999999998</c:v>
                </c:pt>
                <c:pt idx="366">
                  <c:v>2.7735500000000002</c:v>
                </c:pt>
                <c:pt idx="367">
                  <c:v>2.7934300000000003</c:v>
                </c:pt>
                <c:pt idx="368">
                  <c:v>2.7934300000000003</c:v>
                </c:pt>
                <c:pt idx="369">
                  <c:v>2.7930700000000002</c:v>
                </c:pt>
                <c:pt idx="370">
                  <c:v>2.7725400000000002</c:v>
                </c:pt>
                <c:pt idx="371">
                  <c:v>2.7255700000000003</c:v>
                </c:pt>
                <c:pt idx="372">
                  <c:v>2.7801900000000002</c:v>
                </c:pt>
                <c:pt idx="373">
                  <c:v>2.7714600000000003</c:v>
                </c:pt>
                <c:pt idx="374">
                  <c:v>2.8251100000000005</c:v>
                </c:pt>
                <c:pt idx="375">
                  <c:v>2.78112</c:v>
                </c:pt>
                <c:pt idx="376">
                  <c:v>2.71855</c:v>
                </c:pt>
                <c:pt idx="377">
                  <c:v>2.6746099999999999</c:v>
                </c:pt>
                <c:pt idx="378">
                  <c:v>2.6599400000000002</c:v>
                </c:pt>
                <c:pt idx="379">
                  <c:v>2.6661700000000002</c:v>
                </c:pt>
                <c:pt idx="380">
                  <c:v>2.6424900000000004</c:v>
                </c:pt>
                <c:pt idx="381">
                  <c:v>2.6254500000000003</c:v>
                </c:pt>
                <c:pt idx="382">
                  <c:v>2.6519900000000001</c:v>
                </c:pt>
                <c:pt idx="383">
                  <c:v>2.5830399999999996</c:v>
                </c:pt>
                <c:pt idx="384">
                  <c:v>2.5165799999999998</c:v>
                </c:pt>
                <c:pt idx="385">
                  <c:v>2.5786399999999996</c:v>
                </c:pt>
                <c:pt idx="386">
                  <c:v>2.3880699999999999</c:v>
                </c:pt>
                <c:pt idx="387">
                  <c:v>2.4764300000000001</c:v>
                </c:pt>
                <c:pt idx="388">
                  <c:v>2.3830399999999998</c:v>
                </c:pt>
                <c:pt idx="389">
                  <c:v>2.3944800000000002</c:v>
                </c:pt>
                <c:pt idx="390">
                  <c:v>2.3820999999999999</c:v>
                </c:pt>
                <c:pt idx="391">
                  <c:v>2.2326800000000002</c:v>
                </c:pt>
                <c:pt idx="392">
                  <c:v>2.3109100000000002</c:v>
                </c:pt>
                <c:pt idx="393">
                  <c:v>2.2845800000000001</c:v>
                </c:pt>
                <c:pt idx="394">
                  <c:v>2.3690000000000002</c:v>
                </c:pt>
                <c:pt idx="395">
                  <c:v>2.4061000000000003</c:v>
                </c:pt>
                <c:pt idx="396">
                  <c:v>2.4350999999999998</c:v>
                </c:pt>
                <c:pt idx="397">
                  <c:v>2.3835500000000001</c:v>
                </c:pt>
                <c:pt idx="398">
                  <c:v>2.3857900000000001</c:v>
                </c:pt>
                <c:pt idx="399">
                  <c:v>2.2865500000000001</c:v>
                </c:pt>
                <c:pt idx="400">
                  <c:v>2.39331</c:v>
                </c:pt>
                <c:pt idx="401">
                  <c:v>2.3746999999999998</c:v>
                </c:pt>
                <c:pt idx="402">
                  <c:v>2.4171800000000001</c:v>
                </c:pt>
                <c:pt idx="403">
                  <c:v>2.4105699999999999</c:v>
                </c:pt>
                <c:pt idx="404">
                  <c:v>2.4668799999999997</c:v>
                </c:pt>
                <c:pt idx="405">
                  <c:v>2.3859300000000001</c:v>
                </c:pt>
                <c:pt idx="406">
                  <c:v>2.4104800000000002</c:v>
                </c:pt>
                <c:pt idx="407">
                  <c:v>2.4045299999999998</c:v>
                </c:pt>
                <c:pt idx="408">
                  <c:v>2.3964599999999998</c:v>
                </c:pt>
                <c:pt idx="409">
                  <c:v>2.3852099999999998</c:v>
                </c:pt>
                <c:pt idx="410">
                  <c:v>2.3753899999999999</c:v>
                </c:pt>
                <c:pt idx="411">
                  <c:v>2.3602500000000002</c:v>
                </c:pt>
                <c:pt idx="412">
                  <c:v>2.4104000000000001</c:v>
                </c:pt>
                <c:pt idx="413">
                  <c:v>2.4338700000000002</c:v>
                </c:pt>
                <c:pt idx="414">
                  <c:v>2.38218</c:v>
                </c:pt>
                <c:pt idx="415">
                  <c:v>2.3239800000000002</c:v>
                </c:pt>
                <c:pt idx="416">
                  <c:v>2.2754400000000001</c:v>
                </c:pt>
                <c:pt idx="417">
                  <c:v>2.21556</c:v>
                </c:pt>
                <c:pt idx="418">
                  <c:v>2.2137899999999999</c:v>
                </c:pt>
                <c:pt idx="419">
                  <c:v>2.2816200000000002</c:v>
                </c:pt>
                <c:pt idx="420">
                  <c:v>2.3033799999999998</c:v>
                </c:pt>
                <c:pt idx="421">
                  <c:v>2.2985500000000001</c:v>
                </c:pt>
                <c:pt idx="422">
                  <c:v>2.2721800000000001</c:v>
                </c:pt>
                <c:pt idx="423">
                  <c:v>2.32822</c:v>
                </c:pt>
                <c:pt idx="424">
                  <c:v>2.3217300000000001</c:v>
                </c:pt>
                <c:pt idx="425">
                  <c:v>2.2949199999999998</c:v>
                </c:pt>
                <c:pt idx="426">
                  <c:v>2.3236300000000001</c:v>
                </c:pt>
                <c:pt idx="427">
                  <c:v>2.2568199999999998</c:v>
                </c:pt>
                <c:pt idx="428">
                  <c:v>2.1535099999999998</c:v>
                </c:pt>
                <c:pt idx="429">
                  <c:v>2.11849</c:v>
                </c:pt>
                <c:pt idx="430">
                  <c:v>2.0618799999999999</c:v>
                </c:pt>
                <c:pt idx="431">
                  <c:v>2.0177700000000001</c:v>
                </c:pt>
                <c:pt idx="432">
                  <c:v>2.0275499999999997</c:v>
                </c:pt>
                <c:pt idx="433">
                  <c:v>2.0275499999999997</c:v>
                </c:pt>
                <c:pt idx="434">
                  <c:v>2.0174400000000001</c:v>
                </c:pt>
                <c:pt idx="435">
                  <c:v>1.95916</c:v>
                </c:pt>
                <c:pt idx="436">
                  <c:v>1.89893</c:v>
                </c:pt>
                <c:pt idx="437">
                  <c:v>1.8824000000000001</c:v>
                </c:pt>
                <c:pt idx="438">
                  <c:v>1.87636</c:v>
                </c:pt>
                <c:pt idx="439">
                  <c:v>1.8503299999999998</c:v>
                </c:pt>
                <c:pt idx="440">
                  <c:v>1.8619399999999999</c:v>
                </c:pt>
                <c:pt idx="441">
                  <c:v>1.8599399999999999</c:v>
                </c:pt>
                <c:pt idx="442">
                  <c:v>1.74136</c:v>
                </c:pt>
                <c:pt idx="443">
                  <c:v>1.8125100000000001</c:v>
                </c:pt>
                <c:pt idx="444">
                  <c:v>1.7771999999999999</c:v>
                </c:pt>
                <c:pt idx="445">
                  <c:v>1.73268</c:v>
                </c:pt>
                <c:pt idx="446">
                  <c:v>1.73031</c:v>
                </c:pt>
                <c:pt idx="447">
                  <c:v>1.67144</c:v>
                </c:pt>
                <c:pt idx="448">
                  <c:v>1.7238900000000001</c:v>
                </c:pt>
                <c:pt idx="449">
                  <c:v>1.7354700000000001</c:v>
                </c:pt>
                <c:pt idx="450">
                  <c:v>1.8027500000000001</c:v>
                </c:pt>
                <c:pt idx="451">
                  <c:v>1.63964</c:v>
                </c:pt>
                <c:pt idx="452">
                  <c:v>1.73305</c:v>
                </c:pt>
                <c:pt idx="453">
                  <c:v>1.7480600000000002</c:v>
                </c:pt>
                <c:pt idx="454">
                  <c:v>1.78383</c:v>
                </c:pt>
                <c:pt idx="455">
                  <c:v>1.83138</c:v>
                </c:pt>
                <c:pt idx="456">
                  <c:v>1.86781</c:v>
                </c:pt>
                <c:pt idx="457">
                  <c:v>1.9865299999999999</c:v>
                </c:pt>
                <c:pt idx="458">
                  <c:v>2.0230299999999999</c:v>
                </c:pt>
                <c:pt idx="459">
                  <c:v>2.0117699999999998</c:v>
                </c:pt>
                <c:pt idx="460">
                  <c:v>2.0216399999999997</c:v>
                </c:pt>
                <c:pt idx="461">
                  <c:v>1.97417</c:v>
                </c:pt>
                <c:pt idx="462">
                  <c:v>1.9535400000000001</c:v>
                </c:pt>
                <c:pt idx="463">
                  <c:v>1.9293199999999999</c:v>
                </c:pt>
                <c:pt idx="464">
                  <c:v>1.9213</c:v>
                </c:pt>
                <c:pt idx="465">
                  <c:v>1.8539599999999998</c:v>
                </c:pt>
                <c:pt idx="466">
                  <c:v>1.7210400000000001</c:v>
                </c:pt>
                <c:pt idx="467">
                  <c:v>1.58534</c:v>
                </c:pt>
                <c:pt idx="468">
                  <c:v>1.5723799999999999</c:v>
                </c:pt>
                <c:pt idx="469">
                  <c:v>1.56921</c:v>
                </c:pt>
                <c:pt idx="470">
                  <c:v>1.56549</c:v>
                </c:pt>
                <c:pt idx="471">
                  <c:v>1.55125</c:v>
                </c:pt>
                <c:pt idx="472">
                  <c:v>1.5527099999999998</c:v>
                </c:pt>
                <c:pt idx="473">
                  <c:v>1.5512100000000002</c:v>
                </c:pt>
                <c:pt idx="474">
                  <c:v>1.58385</c:v>
                </c:pt>
                <c:pt idx="475">
                  <c:v>1.60025</c:v>
                </c:pt>
                <c:pt idx="476">
                  <c:v>1.5697999999999999</c:v>
                </c:pt>
                <c:pt idx="477">
                  <c:v>1.58586</c:v>
                </c:pt>
                <c:pt idx="478">
                  <c:v>1.5596199999999998</c:v>
                </c:pt>
                <c:pt idx="479">
                  <c:v>1.6224100000000001</c:v>
                </c:pt>
                <c:pt idx="480">
                  <c:v>1.5786199999999999</c:v>
                </c:pt>
                <c:pt idx="481">
                  <c:v>1.69295</c:v>
                </c:pt>
                <c:pt idx="482">
                  <c:v>1.6453899999999999</c:v>
                </c:pt>
                <c:pt idx="483">
                  <c:v>1.58613</c:v>
                </c:pt>
                <c:pt idx="484">
                  <c:v>1.61802</c:v>
                </c:pt>
                <c:pt idx="485">
                  <c:v>1.5722999999999998</c:v>
                </c:pt>
                <c:pt idx="486">
                  <c:v>1.5270599999999999</c:v>
                </c:pt>
                <c:pt idx="487">
                  <c:v>1.5304599999999999</c:v>
                </c:pt>
                <c:pt idx="488">
                  <c:v>1.5378700000000001</c:v>
                </c:pt>
                <c:pt idx="489">
                  <c:v>1.58626</c:v>
                </c:pt>
                <c:pt idx="490">
                  <c:v>1.6421199999999998</c:v>
                </c:pt>
                <c:pt idx="491">
                  <c:v>1.6317300000000001</c:v>
                </c:pt>
                <c:pt idx="492">
                  <c:v>1.6428800000000001</c:v>
                </c:pt>
                <c:pt idx="493">
                  <c:v>1.5879099999999999</c:v>
                </c:pt>
                <c:pt idx="494">
                  <c:v>1.72862</c:v>
                </c:pt>
                <c:pt idx="495">
                  <c:v>1.7092099999999999</c:v>
                </c:pt>
                <c:pt idx="496">
                  <c:v>1.76251</c:v>
                </c:pt>
                <c:pt idx="497">
                  <c:v>1.96268</c:v>
                </c:pt>
                <c:pt idx="498">
                  <c:v>1.86493</c:v>
                </c:pt>
                <c:pt idx="499">
                  <c:v>1.98651</c:v>
                </c:pt>
                <c:pt idx="500">
                  <c:v>1.9546700000000001</c:v>
                </c:pt>
                <c:pt idx="501">
                  <c:v>1.9365299999999999</c:v>
                </c:pt>
                <c:pt idx="502">
                  <c:v>1.9661299999999999</c:v>
                </c:pt>
                <c:pt idx="503">
                  <c:v>1.9829400000000001</c:v>
                </c:pt>
                <c:pt idx="504">
                  <c:v>1.8964599999999998</c:v>
                </c:pt>
                <c:pt idx="505">
                  <c:v>1.85589</c:v>
                </c:pt>
                <c:pt idx="506">
                  <c:v>1.9124399999999999</c:v>
                </c:pt>
                <c:pt idx="507">
                  <c:v>1.93296</c:v>
                </c:pt>
                <c:pt idx="508">
                  <c:v>1.9490100000000001</c:v>
                </c:pt>
                <c:pt idx="509">
                  <c:v>1.89486</c:v>
                </c:pt>
                <c:pt idx="510">
                  <c:v>1.95886</c:v>
                </c:pt>
                <c:pt idx="511">
                  <c:v>1.9882400000000002</c:v>
                </c:pt>
                <c:pt idx="512">
                  <c:v>2.01044</c:v>
                </c:pt>
                <c:pt idx="513">
                  <c:v>2.0254499999999998</c:v>
                </c:pt>
                <c:pt idx="514">
                  <c:v>2.0045899999999999</c:v>
                </c:pt>
                <c:pt idx="515">
                  <c:v>1.9519399999999998</c:v>
                </c:pt>
                <c:pt idx="516">
                  <c:v>1.9881500000000001</c:v>
                </c:pt>
                <c:pt idx="517">
                  <c:v>1.92012</c:v>
                </c:pt>
                <c:pt idx="518">
                  <c:v>1.92012</c:v>
                </c:pt>
                <c:pt idx="519">
                  <c:v>1.92012</c:v>
                </c:pt>
                <c:pt idx="520">
                  <c:v>1.95221</c:v>
                </c:pt>
                <c:pt idx="521">
                  <c:v>1.9655600000000002</c:v>
                </c:pt>
                <c:pt idx="522">
                  <c:v>1.95347</c:v>
                </c:pt>
                <c:pt idx="523">
                  <c:v>1.95347</c:v>
                </c:pt>
                <c:pt idx="524">
                  <c:v>2.2616900000000002</c:v>
                </c:pt>
                <c:pt idx="525">
                  <c:v>2.2238199999999999</c:v>
                </c:pt>
                <c:pt idx="526">
                  <c:v>2.22201</c:v>
                </c:pt>
                <c:pt idx="527">
                  <c:v>2.3162400000000001</c:v>
                </c:pt>
                <c:pt idx="528">
                  <c:v>2.2362899999999999</c:v>
                </c:pt>
                <c:pt idx="529">
                  <c:v>2.22532</c:v>
                </c:pt>
                <c:pt idx="530">
                  <c:v>2.25441</c:v>
                </c:pt>
                <c:pt idx="531">
                  <c:v>2.25298</c:v>
                </c:pt>
                <c:pt idx="532">
                  <c:v>2.2262</c:v>
                </c:pt>
                <c:pt idx="533">
                  <c:v>2.1831399999999999</c:v>
                </c:pt>
                <c:pt idx="534">
                  <c:v>2.3396600000000003</c:v>
                </c:pt>
                <c:pt idx="535">
                  <c:v>2.3430200000000001</c:v>
                </c:pt>
                <c:pt idx="536">
                  <c:v>2.28132</c:v>
                </c:pt>
                <c:pt idx="537">
                  <c:v>2.3118700000000003</c:v>
                </c:pt>
                <c:pt idx="538">
                  <c:v>2.40178</c:v>
                </c:pt>
                <c:pt idx="539">
                  <c:v>2.3664900000000002</c:v>
                </c:pt>
                <c:pt idx="540">
                  <c:v>2.3636200000000001</c:v>
                </c:pt>
                <c:pt idx="541">
                  <c:v>2.4718800000000001</c:v>
                </c:pt>
                <c:pt idx="542">
                  <c:v>2.4485700000000001</c:v>
                </c:pt>
                <c:pt idx="543">
                  <c:v>2.4608400000000001</c:v>
                </c:pt>
                <c:pt idx="544">
                  <c:v>2.4673099999999999</c:v>
                </c:pt>
                <c:pt idx="545">
                  <c:v>2.47159</c:v>
                </c:pt>
                <c:pt idx="546">
                  <c:v>2.4491999999999998</c:v>
                </c:pt>
                <c:pt idx="547">
                  <c:v>2.3873699999999998</c:v>
                </c:pt>
                <c:pt idx="548">
                  <c:v>2.4576899999999999</c:v>
                </c:pt>
                <c:pt idx="549">
                  <c:v>2.4517899999999999</c:v>
                </c:pt>
                <c:pt idx="550">
                  <c:v>2.3800699999999999</c:v>
                </c:pt>
                <c:pt idx="551">
                  <c:v>2.3901499999999998</c:v>
                </c:pt>
                <c:pt idx="552">
                  <c:v>2.4582899999999999</c:v>
                </c:pt>
                <c:pt idx="553">
                  <c:v>2.50908</c:v>
                </c:pt>
                <c:pt idx="554">
                  <c:v>2.5200299999999998</c:v>
                </c:pt>
                <c:pt idx="555">
                  <c:v>2.5334599999999998</c:v>
                </c:pt>
                <c:pt idx="556">
                  <c:v>2.5986500000000001</c:v>
                </c:pt>
                <c:pt idx="557">
                  <c:v>2.6233200000000001</c:v>
                </c:pt>
                <c:pt idx="558">
                  <c:v>2.60371</c:v>
                </c:pt>
                <c:pt idx="559">
                  <c:v>2.7006299999999999</c:v>
                </c:pt>
                <c:pt idx="560">
                  <c:v>2.6697000000000002</c:v>
                </c:pt>
                <c:pt idx="561">
                  <c:v>3.0943799999999997</c:v>
                </c:pt>
                <c:pt idx="562">
                  <c:v>2.8562799999999999</c:v>
                </c:pt>
                <c:pt idx="563">
                  <c:v>3.2904100000000001</c:v>
                </c:pt>
                <c:pt idx="564">
                  <c:v>4.0020999999999995</c:v>
                </c:pt>
                <c:pt idx="565">
                  <c:v>3.38923</c:v>
                </c:pt>
                <c:pt idx="566">
                  <c:v>3.9386000000000001</c:v>
                </c:pt>
                <c:pt idx="567">
                  <c:v>5.3079799999999997</c:v>
                </c:pt>
                <c:pt idx="568">
                  <c:v>5.8719600000000005</c:v>
                </c:pt>
                <c:pt idx="569">
                  <c:v>6.7330999999999994</c:v>
                </c:pt>
                <c:pt idx="570">
                  <c:v>7.3302300000000002</c:v>
                </c:pt>
                <c:pt idx="571">
                  <c:v>7.2705700000000002</c:v>
                </c:pt>
                <c:pt idx="572">
                  <c:v>7.3443800000000001</c:v>
                </c:pt>
                <c:pt idx="573">
                  <c:v>5.8044200000000004</c:v>
                </c:pt>
                <c:pt idx="574">
                  <c:v>5.7683299999999997</c:v>
                </c:pt>
                <c:pt idx="575">
                  <c:v>5.2350400000000006</c:v>
                </c:pt>
                <c:pt idx="576">
                  <c:v>5.4393399999999996</c:v>
                </c:pt>
                <c:pt idx="577">
                  <c:v>5.3797799999999993</c:v>
                </c:pt>
                <c:pt idx="578">
                  <c:v>4.8451899999999997</c:v>
                </c:pt>
                <c:pt idx="579">
                  <c:v>4.8776900000000003</c:v>
                </c:pt>
                <c:pt idx="580">
                  <c:v>4.89499</c:v>
                </c:pt>
                <c:pt idx="581">
                  <c:v>4.9530000000000003</c:v>
                </c:pt>
                <c:pt idx="582">
                  <c:v>4.6606899999999998</c:v>
                </c:pt>
                <c:pt idx="583">
                  <c:v>4.8454800000000002</c:v>
                </c:pt>
                <c:pt idx="584">
                  <c:v>4.7963800000000001</c:v>
                </c:pt>
                <c:pt idx="585">
                  <c:v>4.7115</c:v>
                </c:pt>
                <c:pt idx="586">
                  <c:v>4.7668999999999997</c:v>
                </c:pt>
                <c:pt idx="587">
                  <c:v>4.6538500000000003</c:v>
                </c:pt>
                <c:pt idx="588">
                  <c:v>4.6483999999999996</c:v>
                </c:pt>
                <c:pt idx="589">
                  <c:v>4.5536399999999997</c:v>
                </c:pt>
                <c:pt idx="590">
                  <c:v>4.7175700000000003</c:v>
                </c:pt>
                <c:pt idx="591">
                  <c:v>4.8102300000000007</c:v>
                </c:pt>
                <c:pt idx="592">
                  <c:v>4.7113300000000002</c:v>
                </c:pt>
                <c:pt idx="593">
                  <c:v>4.7191299999999998</c:v>
                </c:pt>
                <c:pt idx="594">
                  <c:v>4.7553099999999997</c:v>
                </c:pt>
                <c:pt idx="595">
                  <c:v>4.92239</c:v>
                </c:pt>
                <c:pt idx="596">
                  <c:v>4.8450799999999994</c:v>
                </c:pt>
                <c:pt idx="597">
                  <c:v>4.8450799999999994</c:v>
                </c:pt>
                <c:pt idx="598">
                  <c:v>4.8450799999999994</c:v>
                </c:pt>
                <c:pt idx="599">
                  <c:v>4.5369099999999998</c:v>
                </c:pt>
                <c:pt idx="600">
                  <c:v>4.6023000000000005</c:v>
                </c:pt>
                <c:pt idx="601">
                  <c:v>4.4922399999999998</c:v>
                </c:pt>
                <c:pt idx="602">
                  <c:v>4.633</c:v>
                </c:pt>
                <c:pt idx="603">
                  <c:v>4.81968</c:v>
                </c:pt>
                <c:pt idx="604">
                  <c:v>4.8710199999999997</c:v>
                </c:pt>
                <c:pt idx="605">
                  <c:v>4.8680200000000005</c:v>
                </c:pt>
                <c:pt idx="606">
                  <c:v>4.9539400000000002</c:v>
                </c:pt>
                <c:pt idx="607">
                  <c:v>4.8879700000000001</c:v>
                </c:pt>
                <c:pt idx="608">
                  <c:v>4.8879700000000001</c:v>
                </c:pt>
                <c:pt idx="609">
                  <c:v>4.8646799999999999</c:v>
                </c:pt>
                <c:pt idx="610">
                  <c:v>4.9358499999999994</c:v>
                </c:pt>
                <c:pt idx="611">
                  <c:v>4.9694200000000004</c:v>
                </c:pt>
                <c:pt idx="612">
                  <c:v>4.9740500000000001</c:v>
                </c:pt>
                <c:pt idx="613">
                  <c:v>5.0028100000000002</c:v>
                </c:pt>
                <c:pt idx="614">
                  <c:v>5.0216099999999999</c:v>
                </c:pt>
                <c:pt idx="615">
                  <c:v>4.97872</c:v>
                </c:pt>
                <c:pt idx="616">
                  <c:v>4.99979</c:v>
                </c:pt>
                <c:pt idx="617">
                  <c:v>4.8912200000000006</c:v>
                </c:pt>
                <c:pt idx="618">
                  <c:v>4.9671799999999999</c:v>
                </c:pt>
                <c:pt idx="619">
                  <c:v>4.8830200000000001</c:v>
                </c:pt>
                <c:pt idx="620">
                  <c:v>4.8703399999999997</c:v>
                </c:pt>
                <c:pt idx="621">
                  <c:v>4.91411</c:v>
                </c:pt>
                <c:pt idx="622">
                  <c:v>4.9119200000000003</c:v>
                </c:pt>
                <c:pt idx="623">
                  <c:v>4.8269500000000001</c:v>
                </c:pt>
                <c:pt idx="624">
                  <c:v>4.8079999999999998</c:v>
                </c:pt>
                <c:pt idx="625">
                  <c:v>4.7711800000000002</c:v>
                </c:pt>
                <c:pt idx="626">
                  <c:v>4.80823</c:v>
                </c:pt>
                <c:pt idx="627">
                  <c:v>4.8494099999999998</c:v>
                </c:pt>
                <c:pt idx="628">
                  <c:v>4.73034</c:v>
                </c:pt>
                <c:pt idx="629">
                  <c:v>4.6616600000000004</c:v>
                </c:pt>
                <c:pt idx="630">
                  <c:v>4.52942</c:v>
                </c:pt>
                <c:pt idx="631">
                  <c:v>4.52942</c:v>
                </c:pt>
                <c:pt idx="632">
                  <c:v>4.52942</c:v>
                </c:pt>
                <c:pt idx="633">
                  <c:v>4.4718099999999996</c:v>
                </c:pt>
                <c:pt idx="634">
                  <c:v>4.46922</c:v>
                </c:pt>
                <c:pt idx="635">
                  <c:v>4.44489</c:v>
                </c:pt>
                <c:pt idx="636">
                  <c:v>4.4278899999999997</c:v>
                </c:pt>
                <c:pt idx="637">
                  <c:v>4.2485999999999997</c:v>
                </c:pt>
                <c:pt idx="638">
                  <c:v>4.1894600000000004</c:v>
                </c:pt>
                <c:pt idx="639">
                  <c:v>4.1626000000000003</c:v>
                </c:pt>
                <c:pt idx="640">
                  <c:v>4.2793999999999999</c:v>
                </c:pt>
                <c:pt idx="641">
                  <c:v>4.3302899999999998</c:v>
                </c:pt>
                <c:pt idx="642">
                  <c:v>4.3345900000000004</c:v>
                </c:pt>
                <c:pt idx="643">
                  <c:v>4.3287300000000002</c:v>
                </c:pt>
                <c:pt idx="644">
                  <c:v>4.2982100000000001</c:v>
                </c:pt>
                <c:pt idx="645">
                  <c:v>4.3666499999999999</c:v>
                </c:pt>
                <c:pt idx="646">
                  <c:v>4.3913099999999998</c:v>
                </c:pt>
                <c:pt idx="647">
                  <c:v>4.4176299999999999</c:v>
                </c:pt>
                <c:pt idx="648">
                  <c:v>4.3569399999999998</c:v>
                </c:pt>
                <c:pt idx="649">
                  <c:v>4.3532500000000001</c:v>
                </c:pt>
                <c:pt idx="650">
                  <c:v>4.46258</c:v>
                </c:pt>
                <c:pt idx="651">
                  <c:v>4.5579399999999994</c:v>
                </c:pt>
                <c:pt idx="652">
                  <c:v>4.7282500000000001</c:v>
                </c:pt>
                <c:pt idx="653">
                  <c:v>4.6402600000000005</c:v>
                </c:pt>
                <c:pt idx="654">
                  <c:v>4.6088500000000003</c:v>
                </c:pt>
                <c:pt idx="655">
                  <c:v>4.5206099999999996</c:v>
                </c:pt>
                <c:pt idx="656">
                  <c:v>4.51166</c:v>
                </c:pt>
                <c:pt idx="657">
                  <c:v>4.35968</c:v>
                </c:pt>
                <c:pt idx="658">
                  <c:v>4.4263000000000003</c:v>
                </c:pt>
                <c:pt idx="659">
                  <c:v>4.4693900000000006</c:v>
                </c:pt>
                <c:pt idx="660">
                  <c:v>4.4844099999999996</c:v>
                </c:pt>
                <c:pt idx="661">
                  <c:v>4.5525000000000002</c:v>
                </c:pt>
                <c:pt idx="662">
                  <c:v>4.6111900000000006</c:v>
                </c:pt>
                <c:pt idx="663">
                  <c:v>4.5314100000000002</c:v>
                </c:pt>
                <c:pt idx="664">
                  <c:v>4.4472800000000001</c:v>
                </c:pt>
                <c:pt idx="665">
                  <c:v>4.4165799999999997</c:v>
                </c:pt>
                <c:pt idx="666">
                  <c:v>4.5224200000000003</c:v>
                </c:pt>
                <c:pt idx="667">
                  <c:v>4.4859900000000001</c:v>
                </c:pt>
                <c:pt idx="668">
                  <c:v>4.3706300000000002</c:v>
                </c:pt>
                <c:pt idx="669">
                  <c:v>4.3620100000000006</c:v>
                </c:pt>
                <c:pt idx="670">
                  <c:v>4.4206799999999999</c:v>
                </c:pt>
                <c:pt idx="671">
                  <c:v>4.4333300000000007</c:v>
                </c:pt>
                <c:pt idx="672">
                  <c:v>4.39757</c:v>
                </c:pt>
                <c:pt idx="673">
                  <c:v>4.3518299999999996</c:v>
                </c:pt>
                <c:pt idx="674">
                  <c:v>4.24057</c:v>
                </c:pt>
                <c:pt idx="675">
                  <c:v>4.3127499999999994</c:v>
                </c:pt>
                <c:pt idx="676">
                  <c:v>4.2660799999999997</c:v>
                </c:pt>
                <c:pt idx="677">
                  <c:v>4.1856499999999999</c:v>
                </c:pt>
                <c:pt idx="678">
                  <c:v>4.1425200000000002</c:v>
                </c:pt>
                <c:pt idx="679">
                  <c:v>3.9927800000000002</c:v>
                </c:pt>
                <c:pt idx="680">
                  <c:v>4.0527100000000003</c:v>
                </c:pt>
                <c:pt idx="681">
                  <c:v>3.8832499999999999</c:v>
                </c:pt>
                <c:pt idx="682">
                  <c:v>3.82803</c:v>
                </c:pt>
                <c:pt idx="683">
                  <c:v>3.8631799999999998</c:v>
                </c:pt>
                <c:pt idx="684">
                  <c:v>3.82464</c:v>
                </c:pt>
                <c:pt idx="685">
                  <c:v>3.8167800000000001</c:v>
                </c:pt>
                <c:pt idx="686">
                  <c:v>3.8443499999999999</c:v>
                </c:pt>
                <c:pt idx="687">
                  <c:v>3.7976000000000001</c:v>
                </c:pt>
                <c:pt idx="688">
                  <c:v>3.7971300000000001</c:v>
                </c:pt>
                <c:pt idx="689">
                  <c:v>3.7573899999999996</c:v>
                </c:pt>
                <c:pt idx="690">
                  <c:v>3.7897400000000001</c:v>
                </c:pt>
                <c:pt idx="691">
                  <c:v>3.6835399999999998</c:v>
                </c:pt>
                <c:pt idx="692">
                  <c:v>3.7304000000000004</c:v>
                </c:pt>
                <c:pt idx="693">
                  <c:v>3.7304000000000004</c:v>
                </c:pt>
                <c:pt idx="694">
                  <c:v>3.5608300000000002</c:v>
                </c:pt>
                <c:pt idx="695">
                  <c:v>3.4638799999999996</c:v>
                </c:pt>
                <c:pt idx="696">
                  <c:v>3.48848</c:v>
                </c:pt>
                <c:pt idx="697">
                  <c:v>3.5870299999999999</c:v>
                </c:pt>
                <c:pt idx="698">
                  <c:v>3.5916800000000002</c:v>
                </c:pt>
                <c:pt idx="699">
                  <c:v>3.4305099999999999</c:v>
                </c:pt>
                <c:pt idx="700">
                  <c:v>3.4141500000000002</c:v>
                </c:pt>
                <c:pt idx="701">
                  <c:v>3.2837499999999999</c:v>
                </c:pt>
                <c:pt idx="702">
                  <c:v>3.2463299999999999</c:v>
                </c:pt>
                <c:pt idx="703">
                  <c:v>3.2150300000000001</c:v>
                </c:pt>
                <c:pt idx="704">
                  <c:v>3.45336</c:v>
                </c:pt>
                <c:pt idx="705">
                  <c:v>3.62574</c:v>
                </c:pt>
                <c:pt idx="706">
                  <c:v>3.9643799999999998</c:v>
                </c:pt>
                <c:pt idx="707">
                  <c:v>3.9326799999999995</c:v>
                </c:pt>
                <c:pt idx="708">
                  <c:v>3.9326799999999995</c:v>
                </c:pt>
                <c:pt idx="709">
                  <c:v>3.8164600000000002</c:v>
                </c:pt>
                <c:pt idx="710">
                  <c:v>3.7705799999999998</c:v>
                </c:pt>
                <c:pt idx="711">
                  <c:v>3.6293700000000002</c:v>
                </c:pt>
                <c:pt idx="712">
                  <c:v>3.5763199999999999</c:v>
                </c:pt>
                <c:pt idx="713">
                  <c:v>3.46177</c:v>
                </c:pt>
                <c:pt idx="714">
                  <c:v>3.46861</c:v>
                </c:pt>
                <c:pt idx="715">
                  <c:v>3.9870999999999999</c:v>
                </c:pt>
                <c:pt idx="716">
                  <c:v>3.96407</c:v>
                </c:pt>
                <c:pt idx="717">
                  <c:v>3.9329199999999997</c:v>
                </c:pt>
                <c:pt idx="718">
                  <c:v>3.94563</c:v>
                </c:pt>
                <c:pt idx="719">
                  <c:v>3.8587900000000004</c:v>
                </c:pt>
                <c:pt idx="720">
                  <c:v>3.8653199999999996</c:v>
                </c:pt>
                <c:pt idx="721">
                  <c:v>3.7989600000000001</c:v>
                </c:pt>
                <c:pt idx="722">
                  <c:v>3.7475200000000002</c:v>
                </c:pt>
                <c:pt idx="723">
                  <c:v>3.7710300000000001</c:v>
                </c:pt>
                <c:pt idx="724">
                  <c:v>3.5962400000000003</c:v>
                </c:pt>
                <c:pt idx="725">
                  <c:v>3.79243</c:v>
                </c:pt>
                <c:pt idx="726">
                  <c:v>3.6772300000000002</c:v>
                </c:pt>
                <c:pt idx="727">
                  <c:v>3.57159</c:v>
                </c:pt>
                <c:pt idx="728">
                  <c:v>3.6919299999999997</c:v>
                </c:pt>
                <c:pt idx="729">
                  <c:v>3.69211</c:v>
                </c:pt>
                <c:pt idx="730">
                  <c:v>3.5519699999999998</c:v>
                </c:pt>
                <c:pt idx="731">
                  <c:v>3.5079000000000002</c:v>
                </c:pt>
                <c:pt idx="732">
                  <c:v>3.5923200000000004</c:v>
                </c:pt>
                <c:pt idx="733">
                  <c:v>3.5591899999999996</c:v>
                </c:pt>
                <c:pt idx="734">
                  <c:v>3.5898300000000001</c:v>
                </c:pt>
                <c:pt idx="735">
                  <c:v>3.5768200000000001</c:v>
                </c:pt>
                <c:pt idx="736">
                  <c:v>3.7341699999999998</c:v>
                </c:pt>
                <c:pt idx="737">
                  <c:v>3.58527</c:v>
                </c:pt>
                <c:pt idx="738">
                  <c:v>3.5190199999999998</c:v>
                </c:pt>
                <c:pt idx="739">
                  <c:v>3.4551400000000001</c:v>
                </c:pt>
                <c:pt idx="740">
                  <c:v>3.3790899999999997</c:v>
                </c:pt>
                <c:pt idx="741">
                  <c:v>3.3572000000000002</c:v>
                </c:pt>
                <c:pt idx="742">
                  <c:v>3.3740699999999997</c:v>
                </c:pt>
                <c:pt idx="743">
                  <c:v>3.2918900000000004</c:v>
                </c:pt>
                <c:pt idx="744">
                  <c:v>3.3869500000000001</c:v>
                </c:pt>
                <c:pt idx="745">
                  <c:v>3.32213</c:v>
                </c:pt>
                <c:pt idx="746">
                  <c:v>3.20729</c:v>
                </c:pt>
                <c:pt idx="747">
                  <c:v>3.0973200000000003</c:v>
                </c:pt>
                <c:pt idx="748">
                  <c:v>2.85947</c:v>
                </c:pt>
                <c:pt idx="749">
                  <c:v>2.85473</c:v>
                </c:pt>
                <c:pt idx="750">
                  <c:v>2.8479899999999998</c:v>
                </c:pt>
                <c:pt idx="751">
                  <c:v>2.8343599999999998</c:v>
                </c:pt>
                <c:pt idx="752">
                  <c:v>2.7450299999999999</c:v>
                </c:pt>
                <c:pt idx="753">
                  <c:v>2.8186399999999998</c:v>
                </c:pt>
                <c:pt idx="754">
                  <c:v>2.6558899999999999</c:v>
                </c:pt>
                <c:pt idx="755">
                  <c:v>2.62846</c:v>
                </c:pt>
                <c:pt idx="756">
                  <c:v>2.6356299999999999</c:v>
                </c:pt>
                <c:pt idx="757">
                  <c:v>2.77522</c:v>
                </c:pt>
                <c:pt idx="758">
                  <c:v>2.5997500000000002</c:v>
                </c:pt>
                <c:pt idx="759">
                  <c:v>2.5511900000000001</c:v>
                </c:pt>
                <c:pt idx="760">
                  <c:v>2.7555999999999998</c:v>
                </c:pt>
                <c:pt idx="761">
                  <c:v>2.67658</c:v>
                </c:pt>
                <c:pt idx="762">
                  <c:v>2.5124200000000001</c:v>
                </c:pt>
                <c:pt idx="763">
                  <c:v>2.3603999999999998</c:v>
                </c:pt>
                <c:pt idx="764">
                  <c:v>2.4639699999999998</c:v>
                </c:pt>
                <c:pt idx="765">
                  <c:v>2.5887500000000001</c:v>
                </c:pt>
                <c:pt idx="766">
                  <c:v>2.42483</c:v>
                </c:pt>
                <c:pt idx="767">
                  <c:v>2.3677299999999999</c:v>
                </c:pt>
                <c:pt idx="768">
                  <c:v>2.3916200000000001</c:v>
                </c:pt>
                <c:pt idx="769">
                  <c:v>2.4305500000000002</c:v>
                </c:pt>
                <c:pt idx="770">
                  <c:v>2.4143600000000003</c:v>
                </c:pt>
                <c:pt idx="771">
                  <c:v>2.3873500000000001</c:v>
                </c:pt>
                <c:pt idx="772">
                  <c:v>2.3846000000000003</c:v>
                </c:pt>
                <c:pt idx="773">
                  <c:v>2.3659400000000002</c:v>
                </c:pt>
                <c:pt idx="774">
                  <c:v>2.3226</c:v>
                </c:pt>
                <c:pt idx="775">
                  <c:v>2.40205</c:v>
                </c:pt>
                <c:pt idx="776">
                  <c:v>2.3431000000000002</c:v>
                </c:pt>
                <c:pt idx="777">
                  <c:v>2.3003999999999998</c:v>
                </c:pt>
                <c:pt idx="778">
                  <c:v>2.3003999999999998</c:v>
                </c:pt>
                <c:pt idx="779">
                  <c:v>2.3003999999999998</c:v>
                </c:pt>
                <c:pt idx="780">
                  <c:v>2.2125399999999997</c:v>
                </c:pt>
                <c:pt idx="781">
                  <c:v>2.2335199999999999</c:v>
                </c:pt>
                <c:pt idx="782">
                  <c:v>2.2377000000000002</c:v>
                </c:pt>
                <c:pt idx="783">
                  <c:v>2.2377000000000002</c:v>
                </c:pt>
                <c:pt idx="784">
                  <c:v>1.9969999999999999</c:v>
                </c:pt>
                <c:pt idx="785">
                  <c:v>1.99678</c:v>
                </c:pt>
                <c:pt idx="786">
                  <c:v>1.89533</c:v>
                </c:pt>
                <c:pt idx="787">
                  <c:v>2.0848300000000002</c:v>
                </c:pt>
                <c:pt idx="788">
                  <c:v>2.1672600000000002</c:v>
                </c:pt>
                <c:pt idx="789">
                  <c:v>2.1274100000000002</c:v>
                </c:pt>
                <c:pt idx="790">
                  <c:v>2.14541</c:v>
                </c:pt>
                <c:pt idx="791">
                  <c:v>2.2277100000000001</c:v>
                </c:pt>
                <c:pt idx="792">
                  <c:v>2.1196199999999998</c:v>
                </c:pt>
                <c:pt idx="793">
                  <c:v>2.1431299999999998</c:v>
                </c:pt>
                <c:pt idx="794">
                  <c:v>2.2817099999999999</c:v>
                </c:pt>
                <c:pt idx="795">
                  <c:v>2.30559</c:v>
                </c:pt>
                <c:pt idx="796">
                  <c:v>2.2251799999999999</c:v>
                </c:pt>
                <c:pt idx="797">
                  <c:v>2.1552699999999998</c:v>
                </c:pt>
                <c:pt idx="798">
                  <c:v>2.1135999999999999</c:v>
                </c:pt>
                <c:pt idx="799">
                  <c:v>2.0943899999999998</c:v>
                </c:pt>
                <c:pt idx="800">
                  <c:v>2.08507</c:v>
                </c:pt>
                <c:pt idx="801">
                  <c:v>2.0417700000000001</c:v>
                </c:pt>
                <c:pt idx="802">
                  <c:v>2.00502</c:v>
                </c:pt>
                <c:pt idx="803">
                  <c:v>2.0894399999999997</c:v>
                </c:pt>
                <c:pt idx="804">
                  <c:v>2.1217199999999998</c:v>
                </c:pt>
                <c:pt idx="805">
                  <c:v>2.2996500000000002</c:v>
                </c:pt>
                <c:pt idx="806">
                  <c:v>2.2386400000000002</c:v>
                </c:pt>
                <c:pt idx="807">
                  <c:v>2.0479400000000001</c:v>
                </c:pt>
                <c:pt idx="808">
                  <c:v>1.8675999999999999</c:v>
                </c:pt>
                <c:pt idx="809">
                  <c:v>1.8718000000000001</c:v>
                </c:pt>
                <c:pt idx="810">
                  <c:v>1.8996299999999999</c:v>
                </c:pt>
                <c:pt idx="811">
                  <c:v>1.8457599999999998</c:v>
                </c:pt>
                <c:pt idx="812">
                  <c:v>1.8515999999999999</c:v>
                </c:pt>
                <c:pt idx="813">
                  <c:v>1.8510800000000001</c:v>
                </c:pt>
                <c:pt idx="814">
                  <c:v>1.6919200000000001</c:v>
                </c:pt>
                <c:pt idx="815">
                  <c:v>1.80701</c:v>
                </c:pt>
                <c:pt idx="816">
                  <c:v>1.8084499999999999</c:v>
                </c:pt>
                <c:pt idx="817">
                  <c:v>1.6851799999999999</c:v>
                </c:pt>
                <c:pt idx="818">
                  <c:v>1.6893100000000001</c:v>
                </c:pt>
                <c:pt idx="819">
                  <c:v>1.6227500000000001</c:v>
                </c:pt>
                <c:pt idx="820">
                  <c:v>1.62873</c:v>
                </c:pt>
                <c:pt idx="821">
                  <c:v>1.59487</c:v>
                </c:pt>
                <c:pt idx="822">
                  <c:v>1.4855699999999998</c:v>
                </c:pt>
                <c:pt idx="823">
                  <c:v>1.5257400000000001</c:v>
                </c:pt>
                <c:pt idx="824">
                  <c:v>1.5049199999999998</c:v>
                </c:pt>
                <c:pt idx="825">
                  <c:v>1.3955600000000001</c:v>
                </c:pt>
                <c:pt idx="826">
                  <c:v>1.39439</c:v>
                </c:pt>
                <c:pt idx="827">
                  <c:v>1.4527600000000001</c:v>
                </c:pt>
                <c:pt idx="828">
                  <c:v>1.32945</c:v>
                </c:pt>
                <c:pt idx="829">
                  <c:v>1.3478800000000002</c:v>
                </c:pt>
                <c:pt idx="830">
                  <c:v>1.3125800000000001</c:v>
                </c:pt>
                <c:pt idx="831">
                  <c:v>1.44248</c:v>
                </c:pt>
                <c:pt idx="832">
                  <c:v>1.7476499999999999</c:v>
                </c:pt>
                <c:pt idx="833">
                  <c:v>2.3371900000000001</c:v>
                </c:pt>
                <c:pt idx="834">
                  <c:v>2.25156</c:v>
                </c:pt>
                <c:pt idx="835">
                  <c:v>2.3793199999999999</c:v>
                </c:pt>
                <c:pt idx="836">
                  <c:v>2.2321499999999999</c:v>
                </c:pt>
                <c:pt idx="837">
                  <c:v>2.5768599999999999</c:v>
                </c:pt>
                <c:pt idx="838">
                  <c:v>2.5384899999999999</c:v>
                </c:pt>
                <c:pt idx="839">
                  <c:v>2.3567100000000001</c:v>
                </c:pt>
                <c:pt idx="840">
                  <c:v>2.6158899999999998</c:v>
                </c:pt>
                <c:pt idx="841">
                  <c:v>2.54989</c:v>
                </c:pt>
                <c:pt idx="842">
                  <c:v>2.7187099999999997</c:v>
                </c:pt>
                <c:pt idx="843">
                  <c:v>2.5035400000000001</c:v>
                </c:pt>
                <c:pt idx="844">
                  <c:v>2.3646000000000003</c:v>
                </c:pt>
                <c:pt idx="845">
                  <c:v>2.35555</c:v>
                </c:pt>
                <c:pt idx="846">
                  <c:v>2.3212299999999999</c:v>
                </c:pt>
                <c:pt idx="847">
                  <c:v>2.3859900000000001</c:v>
                </c:pt>
                <c:pt idx="848">
                  <c:v>2.5389400000000002</c:v>
                </c:pt>
                <c:pt idx="849">
                  <c:v>2.5955500000000002</c:v>
                </c:pt>
                <c:pt idx="850">
                  <c:v>2.5293399999999999</c:v>
                </c:pt>
                <c:pt idx="851">
                  <c:v>2.5265399999999998</c:v>
                </c:pt>
                <c:pt idx="852">
                  <c:v>2.3777699999999999</c:v>
                </c:pt>
                <c:pt idx="853">
                  <c:v>2.3931</c:v>
                </c:pt>
                <c:pt idx="854">
                  <c:v>2.2418999999999998</c:v>
                </c:pt>
                <c:pt idx="855">
                  <c:v>2.3320400000000001</c:v>
                </c:pt>
                <c:pt idx="856">
                  <c:v>2.3319100000000001</c:v>
                </c:pt>
                <c:pt idx="857">
                  <c:v>2.1676699999999998</c:v>
                </c:pt>
                <c:pt idx="858">
                  <c:v>2.1005500000000001</c:v>
                </c:pt>
                <c:pt idx="859">
                  <c:v>2.0560400000000003</c:v>
                </c:pt>
                <c:pt idx="860">
                  <c:v>2.0203000000000002</c:v>
                </c:pt>
                <c:pt idx="861">
                  <c:v>2.0657000000000001</c:v>
                </c:pt>
                <c:pt idx="862">
                  <c:v>2.1111500000000003</c:v>
                </c:pt>
                <c:pt idx="863">
                  <c:v>2.1432799999999999</c:v>
                </c:pt>
                <c:pt idx="864">
                  <c:v>2.3114699999999999</c:v>
                </c:pt>
                <c:pt idx="865">
                  <c:v>2.2534899999999998</c:v>
                </c:pt>
                <c:pt idx="866">
                  <c:v>2.1094900000000001</c:v>
                </c:pt>
                <c:pt idx="867">
                  <c:v>2.1375999999999999</c:v>
                </c:pt>
                <c:pt idx="868">
                  <c:v>2.1375999999999999</c:v>
                </c:pt>
                <c:pt idx="869">
                  <c:v>2.2279300000000002</c:v>
                </c:pt>
                <c:pt idx="870">
                  <c:v>2.22573</c:v>
                </c:pt>
                <c:pt idx="871">
                  <c:v>2.3625799999999999</c:v>
                </c:pt>
                <c:pt idx="872">
                  <c:v>2.22241</c:v>
                </c:pt>
                <c:pt idx="873">
                  <c:v>2.22241</c:v>
                </c:pt>
                <c:pt idx="874">
                  <c:v>2.2092100000000001</c:v>
                </c:pt>
                <c:pt idx="875">
                  <c:v>2.35059</c:v>
                </c:pt>
                <c:pt idx="876">
                  <c:v>2.3138999999999998</c:v>
                </c:pt>
                <c:pt idx="877">
                  <c:v>2.2783600000000002</c:v>
                </c:pt>
                <c:pt idx="878">
                  <c:v>2.2831100000000002</c:v>
                </c:pt>
                <c:pt idx="879">
                  <c:v>2.2349999999999999</c:v>
                </c:pt>
                <c:pt idx="880">
                  <c:v>2.1717900000000001</c:v>
                </c:pt>
                <c:pt idx="881">
                  <c:v>2.1169500000000001</c:v>
                </c:pt>
                <c:pt idx="882">
                  <c:v>2.1372200000000001</c:v>
                </c:pt>
                <c:pt idx="883">
                  <c:v>2.0951300000000002</c:v>
                </c:pt>
                <c:pt idx="884">
                  <c:v>2.17014</c:v>
                </c:pt>
                <c:pt idx="885">
                  <c:v>2.11253</c:v>
                </c:pt>
                <c:pt idx="886">
                  <c:v>1.9791099999999999</c:v>
                </c:pt>
                <c:pt idx="887">
                  <c:v>1.9922399999999998</c:v>
                </c:pt>
                <c:pt idx="888">
                  <c:v>1.9922399999999998</c:v>
                </c:pt>
                <c:pt idx="889">
                  <c:v>2.0743399999999999</c:v>
                </c:pt>
                <c:pt idx="890">
                  <c:v>2.1391800000000001</c:v>
                </c:pt>
                <c:pt idx="891">
                  <c:v>2.13693</c:v>
                </c:pt>
                <c:pt idx="892">
                  <c:v>1.97041</c:v>
                </c:pt>
                <c:pt idx="893">
                  <c:v>2.0316100000000001</c:v>
                </c:pt>
                <c:pt idx="894">
                  <c:v>1.9411</c:v>
                </c:pt>
                <c:pt idx="895">
                  <c:v>1.9540600000000001</c:v>
                </c:pt>
                <c:pt idx="896">
                  <c:v>1.9916100000000001</c:v>
                </c:pt>
                <c:pt idx="897">
                  <c:v>1.9021399999999999</c:v>
                </c:pt>
                <c:pt idx="898">
                  <c:v>1.93882</c:v>
                </c:pt>
                <c:pt idx="899">
                  <c:v>1.84202</c:v>
                </c:pt>
                <c:pt idx="900">
                  <c:v>1.8132499999999998</c:v>
                </c:pt>
                <c:pt idx="901">
                  <c:v>1.8322000000000001</c:v>
                </c:pt>
                <c:pt idx="902">
                  <c:v>1.70804</c:v>
                </c:pt>
                <c:pt idx="903">
                  <c:v>1.76183</c:v>
                </c:pt>
                <c:pt idx="904">
                  <c:v>1.79159</c:v>
                </c:pt>
                <c:pt idx="905">
                  <c:v>1.75613</c:v>
                </c:pt>
                <c:pt idx="906">
                  <c:v>1.6166800000000001</c:v>
                </c:pt>
                <c:pt idx="907">
                  <c:v>1.6550399999999998</c:v>
                </c:pt>
                <c:pt idx="908">
                  <c:v>1.6332300000000002</c:v>
                </c:pt>
                <c:pt idx="909">
                  <c:v>1.5683400000000001</c:v>
                </c:pt>
                <c:pt idx="910">
                  <c:v>1.6148899999999999</c:v>
                </c:pt>
                <c:pt idx="911">
                  <c:v>1.45377</c:v>
                </c:pt>
                <c:pt idx="912">
                  <c:v>1.4100600000000001</c:v>
                </c:pt>
                <c:pt idx="913">
                  <c:v>1.3799700000000001</c:v>
                </c:pt>
                <c:pt idx="914">
                  <c:v>1.4006100000000001</c:v>
                </c:pt>
                <c:pt idx="915">
                  <c:v>1.4844200000000001</c:v>
                </c:pt>
                <c:pt idx="916">
                  <c:v>1.46669</c:v>
                </c:pt>
                <c:pt idx="917">
                  <c:v>1.5210300000000001</c:v>
                </c:pt>
                <c:pt idx="918">
                  <c:v>1.5804800000000001</c:v>
                </c:pt>
                <c:pt idx="919">
                  <c:v>1.4726599999999999</c:v>
                </c:pt>
                <c:pt idx="920">
                  <c:v>1.6177600000000001</c:v>
                </c:pt>
                <c:pt idx="921">
                  <c:v>1.74884</c:v>
                </c:pt>
                <c:pt idx="922">
                  <c:v>1.7351400000000001</c:v>
                </c:pt>
                <c:pt idx="923">
                  <c:v>1.7187299999999999</c:v>
                </c:pt>
                <c:pt idx="924">
                  <c:v>1.7077600000000002</c:v>
                </c:pt>
                <c:pt idx="925">
                  <c:v>1.7209899999999998</c:v>
                </c:pt>
                <c:pt idx="926">
                  <c:v>1.6178299999999999</c:v>
                </c:pt>
                <c:pt idx="927">
                  <c:v>1.6161300000000001</c:v>
                </c:pt>
                <c:pt idx="928">
                  <c:v>1.56725</c:v>
                </c:pt>
                <c:pt idx="929">
                  <c:v>1.5305000000000002</c:v>
                </c:pt>
                <c:pt idx="930">
                  <c:v>1.5392300000000001</c:v>
                </c:pt>
                <c:pt idx="931">
                  <c:v>1.3413999999999999</c:v>
                </c:pt>
                <c:pt idx="932">
                  <c:v>1.5053999999999998</c:v>
                </c:pt>
                <c:pt idx="933">
                  <c:v>1.5178800000000001</c:v>
                </c:pt>
                <c:pt idx="934">
                  <c:v>1.5349600000000001</c:v>
                </c:pt>
                <c:pt idx="935">
                  <c:v>1.56795</c:v>
                </c:pt>
                <c:pt idx="936">
                  <c:v>1.5903999999999998</c:v>
                </c:pt>
                <c:pt idx="937">
                  <c:v>1.71285</c:v>
                </c:pt>
                <c:pt idx="938">
                  <c:v>1.71149</c:v>
                </c:pt>
                <c:pt idx="939">
                  <c:v>1.6351100000000001</c:v>
                </c:pt>
                <c:pt idx="940">
                  <c:v>1.6718600000000001</c:v>
                </c:pt>
                <c:pt idx="941">
                  <c:v>1.6204799999999999</c:v>
                </c:pt>
                <c:pt idx="942">
                  <c:v>1.5686000000000002</c:v>
                </c:pt>
                <c:pt idx="943">
                  <c:v>1.5204599999999999</c:v>
                </c:pt>
                <c:pt idx="944">
                  <c:v>1.58805</c:v>
                </c:pt>
                <c:pt idx="945">
                  <c:v>1.5050700000000001</c:v>
                </c:pt>
                <c:pt idx="946">
                  <c:v>1.49525</c:v>
                </c:pt>
                <c:pt idx="947">
                  <c:v>1.49346</c:v>
                </c:pt>
                <c:pt idx="948">
                  <c:v>1.4870400000000001</c:v>
                </c:pt>
                <c:pt idx="949">
                  <c:v>1.4975999999999998</c:v>
                </c:pt>
                <c:pt idx="950">
                  <c:v>1.52488</c:v>
                </c:pt>
                <c:pt idx="951">
                  <c:v>1.4992699999999999</c:v>
                </c:pt>
                <c:pt idx="952">
                  <c:v>1.4597800000000001</c:v>
                </c:pt>
                <c:pt idx="953">
                  <c:v>1.4597800000000001</c:v>
                </c:pt>
                <c:pt idx="954">
                  <c:v>1.5727199999999999</c:v>
                </c:pt>
                <c:pt idx="955">
                  <c:v>1.5208699999999999</c:v>
                </c:pt>
                <c:pt idx="956">
                  <c:v>1.54017</c:v>
                </c:pt>
                <c:pt idx="957">
                  <c:v>1.4851599999999998</c:v>
                </c:pt>
                <c:pt idx="958">
                  <c:v>1.6587100000000001</c:v>
                </c:pt>
                <c:pt idx="959">
                  <c:v>1.56507</c:v>
                </c:pt>
                <c:pt idx="960">
                  <c:v>1.5261899999999999</c:v>
                </c:pt>
                <c:pt idx="961">
                  <c:v>1.5871000000000002</c:v>
                </c:pt>
                <c:pt idx="962">
                  <c:v>1.5389900000000001</c:v>
                </c:pt>
                <c:pt idx="963">
                  <c:v>1.6329900000000002</c:v>
                </c:pt>
              </c:numCache>
            </c:numRef>
          </c:val>
          <c:smooth val="0"/>
          <c:extLst>
            <c:ext xmlns:c16="http://schemas.microsoft.com/office/drawing/2014/chart" uri="{C3380CC4-5D6E-409C-BE32-E72D297353CC}">
              <c16:uniqueId val="{00000000-EBC4-4222-8B88-73469225685A}"/>
            </c:ext>
          </c:extLst>
        </c:ser>
        <c:ser>
          <c:idx val="1"/>
          <c:order val="1"/>
          <c:tx>
            <c:strRef>
              <c:f>Sheet1!$C$1</c:f>
              <c:strCache>
                <c:ptCount val="1"/>
                <c:pt idx="0">
                  <c:v>Ռուսաստան (2026թ.)</c:v>
                </c:pt>
              </c:strCache>
            </c:strRef>
          </c:tx>
          <c:spPr>
            <a:ln w="19050" cap="rnd">
              <a:solidFill>
                <a:schemeClr val="accent2"/>
              </a:solidFill>
              <a:round/>
            </a:ln>
            <a:effectLst/>
          </c:spPr>
          <c:marker>
            <c:symbol val="none"/>
          </c:marker>
          <c:cat>
            <c:numRef>
              <c:f>Sheet1!$A$2:$A$1226</c:f>
              <c:numCache>
                <c:formatCode>m\/d\/yyyy</c:formatCode>
                <c:ptCount val="964"/>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pt idx="708">
                  <c:v>44823</c:v>
                </c:pt>
                <c:pt idx="709">
                  <c:v>44824</c:v>
                </c:pt>
                <c:pt idx="710">
                  <c:v>44825</c:v>
                </c:pt>
                <c:pt idx="711">
                  <c:v>44826</c:v>
                </c:pt>
                <c:pt idx="712">
                  <c:v>44827</c:v>
                </c:pt>
                <c:pt idx="713">
                  <c:v>44830</c:v>
                </c:pt>
                <c:pt idx="714">
                  <c:v>44831</c:v>
                </c:pt>
                <c:pt idx="715">
                  <c:v>44832</c:v>
                </c:pt>
                <c:pt idx="716">
                  <c:v>44833</c:v>
                </c:pt>
                <c:pt idx="717">
                  <c:v>44834</c:v>
                </c:pt>
                <c:pt idx="718">
                  <c:v>44837</c:v>
                </c:pt>
                <c:pt idx="719">
                  <c:v>44838</c:v>
                </c:pt>
                <c:pt idx="720">
                  <c:v>44839</c:v>
                </c:pt>
                <c:pt idx="721">
                  <c:v>44840</c:v>
                </c:pt>
                <c:pt idx="722">
                  <c:v>44841</c:v>
                </c:pt>
                <c:pt idx="723">
                  <c:v>44844</c:v>
                </c:pt>
                <c:pt idx="724">
                  <c:v>44845</c:v>
                </c:pt>
                <c:pt idx="725">
                  <c:v>44846</c:v>
                </c:pt>
                <c:pt idx="726">
                  <c:v>44847</c:v>
                </c:pt>
                <c:pt idx="727">
                  <c:v>44848</c:v>
                </c:pt>
                <c:pt idx="728">
                  <c:v>44851</c:v>
                </c:pt>
                <c:pt idx="729">
                  <c:v>44852</c:v>
                </c:pt>
                <c:pt idx="730">
                  <c:v>44853</c:v>
                </c:pt>
                <c:pt idx="731">
                  <c:v>44854</c:v>
                </c:pt>
                <c:pt idx="732">
                  <c:v>44855</c:v>
                </c:pt>
                <c:pt idx="733">
                  <c:v>44858</c:v>
                </c:pt>
                <c:pt idx="734">
                  <c:v>44859</c:v>
                </c:pt>
                <c:pt idx="735">
                  <c:v>44860</c:v>
                </c:pt>
                <c:pt idx="736">
                  <c:v>44861</c:v>
                </c:pt>
                <c:pt idx="737">
                  <c:v>44862</c:v>
                </c:pt>
                <c:pt idx="738">
                  <c:v>44865</c:v>
                </c:pt>
                <c:pt idx="739">
                  <c:v>44866</c:v>
                </c:pt>
                <c:pt idx="740">
                  <c:v>44867</c:v>
                </c:pt>
                <c:pt idx="741">
                  <c:v>44868</c:v>
                </c:pt>
                <c:pt idx="742">
                  <c:v>44869</c:v>
                </c:pt>
                <c:pt idx="743">
                  <c:v>44872</c:v>
                </c:pt>
                <c:pt idx="744">
                  <c:v>44873</c:v>
                </c:pt>
                <c:pt idx="745">
                  <c:v>44874</c:v>
                </c:pt>
                <c:pt idx="746">
                  <c:v>44875</c:v>
                </c:pt>
                <c:pt idx="747">
                  <c:v>44876</c:v>
                </c:pt>
                <c:pt idx="748">
                  <c:v>44879</c:v>
                </c:pt>
                <c:pt idx="749">
                  <c:v>44880</c:v>
                </c:pt>
                <c:pt idx="750">
                  <c:v>44881</c:v>
                </c:pt>
                <c:pt idx="751">
                  <c:v>44882</c:v>
                </c:pt>
                <c:pt idx="752">
                  <c:v>44883</c:v>
                </c:pt>
                <c:pt idx="753">
                  <c:v>44886</c:v>
                </c:pt>
                <c:pt idx="754">
                  <c:v>44887</c:v>
                </c:pt>
                <c:pt idx="755">
                  <c:v>44888</c:v>
                </c:pt>
                <c:pt idx="756">
                  <c:v>44889</c:v>
                </c:pt>
                <c:pt idx="757">
                  <c:v>44890</c:v>
                </c:pt>
                <c:pt idx="758">
                  <c:v>44893</c:v>
                </c:pt>
                <c:pt idx="759">
                  <c:v>44894</c:v>
                </c:pt>
                <c:pt idx="760">
                  <c:v>44895</c:v>
                </c:pt>
                <c:pt idx="761">
                  <c:v>44896</c:v>
                </c:pt>
                <c:pt idx="762">
                  <c:v>44897</c:v>
                </c:pt>
                <c:pt idx="763">
                  <c:v>44900</c:v>
                </c:pt>
                <c:pt idx="764">
                  <c:v>44901</c:v>
                </c:pt>
                <c:pt idx="765">
                  <c:v>44902</c:v>
                </c:pt>
                <c:pt idx="766">
                  <c:v>44903</c:v>
                </c:pt>
                <c:pt idx="767">
                  <c:v>44904</c:v>
                </c:pt>
                <c:pt idx="768">
                  <c:v>44907</c:v>
                </c:pt>
                <c:pt idx="769">
                  <c:v>44908</c:v>
                </c:pt>
                <c:pt idx="770">
                  <c:v>44909</c:v>
                </c:pt>
                <c:pt idx="771">
                  <c:v>44910</c:v>
                </c:pt>
                <c:pt idx="772">
                  <c:v>44911</c:v>
                </c:pt>
                <c:pt idx="773">
                  <c:v>44914</c:v>
                </c:pt>
                <c:pt idx="774">
                  <c:v>44915</c:v>
                </c:pt>
                <c:pt idx="775">
                  <c:v>44916</c:v>
                </c:pt>
                <c:pt idx="776">
                  <c:v>44917</c:v>
                </c:pt>
                <c:pt idx="777">
                  <c:v>44918</c:v>
                </c:pt>
                <c:pt idx="778">
                  <c:v>44921</c:v>
                </c:pt>
                <c:pt idx="779">
                  <c:v>44922</c:v>
                </c:pt>
                <c:pt idx="780">
                  <c:v>44923</c:v>
                </c:pt>
                <c:pt idx="781">
                  <c:v>44924</c:v>
                </c:pt>
                <c:pt idx="782">
                  <c:v>44925</c:v>
                </c:pt>
                <c:pt idx="783">
                  <c:v>44928</c:v>
                </c:pt>
                <c:pt idx="784">
                  <c:v>44929</c:v>
                </c:pt>
                <c:pt idx="785">
                  <c:v>44930</c:v>
                </c:pt>
                <c:pt idx="786">
                  <c:v>44931</c:v>
                </c:pt>
                <c:pt idx="787">
                  <c:v>44932</c:v>
                </c:pt>
                <c:pt idx="788">
                  <c:v>44935</c:v>
                </c:pt>
                <c:pt idx="789">
                  <c:v>44936</c:v>
                </c:pt>
                <c:pt idx="790">
                  <c:v>44937</c:v>
                </c:pt>
                <c:pt idx="791">
                  <c:v>44938</c:v>
                </c:pt>
                <c:pt idx="792">
                  <c:v>44939</c:v>
                </c:pt>
                <c:pt idx="793">
                  <c:v>44942</c:v>
                </c:pt>
                <c:pt idx="794">
                  <c:v>44943</c:v>
                </c:pt>
                <c:pt idx="795">
                  <c:v>44944</c:v>
                </c:pt>
                <c:pt idx="796">
                  <c:v>44945</c:v>
                </c:pt>
                <c:pt idx="797">
                  <c:v>44946</c:v>
                </c:pt>
                <c:pt idx="798">
                  <c:v>44949</c:v>
                </c:pt>
                <c:pt idx="799">
                  <c:v>44950</c:v>
                </c:pt>
                <c:pt idx="800">
                  <c:v>44951</c:v>
                </c:pt>
                <c:pt idx="801">
                  <c:v>44952</c:v>
                </c:pt>
                <c:pt idx="802">
                  <c:v>44953</c:v>
                </c:pt>
                <c:pt idx="803">
                  <c:v>44956</c:v>
                </c:pt>
                <c:pt idx="804">
                  <c:v>44957</c:v>
                </c:pt>
                <c:pt idx="805">
                  <c:v>44958</c:v>
                </c:pt>
                <c:pt idx="806">
                  <c:v>44959</c:v>
                </c:pt>
                <c:pt idx="807">
                  <c:v>44960</c:v>
                </c:pt>
                <c:pt idx="808">
                  <c:v>44963</c:v>
                </c:pt>
                <c:pt idx="809">
                  <c:v>44964</c:v>
                </c:pt>
                <c:pt idx="810">
                  <c:v>44965</c:v>
                </c:pt>
                <c:pt idx="811">
                  <c:v>44966</c:v>
                </c:pt>
                <c:pt idx="812">
                  <c:v>44967</c:v>
                </c:pt>
                <c:pt idx="813">
                  <c:v>44970</c:v>
                </c:pt>
                <c:pt idx="814">
                  <c:v>44971</c:v>
                </c:pt>
                <c:pt idx="815">
                  <c:v>44972</c:v>
                </c:pt>
                <c:pt idx="816">
                  <c:v>44973</c:v>
                </c:pt>
                <c:pt idx="817">
                  <c:v>44974</c:v>
                </c:pt>
                <c:pt idx="818">
                  <c:v>44977</c:v>
                </c:pt>
                <c:pt idx="819">
                  <c:v>44978</c:v>
                </c:pt>
                <c:pt idx="820">
                  <c:v>44979</c:v>
                </c:pt>
                <c:pt idx="821">
                  <c:v>44980</c:v>
                </c:pt>
                <c:pt idx="822">
                  <c:v>44981</c:v>
                </c:pt>
                <c:pt idx="823">
                  <c:v>44984</c:v>
                </c:pt>
                <c:pt idx="824">
                  <c:v>44985</c:v>
                </c:pt>
                <c:pt idx="825">
                  <c:v>44986</c:v>
                </c:pt>
                <c:pt idx="826">
                  <c:v>44987</c:v>
                </c:pt>
                <c:pt idx="827">
                  <c:v>44988</c:v>
                </c:pt>
                <c:pt idx="828">
                  <c:v>44991</c:v>
                </c:pt>
                <c:pt idx="829">
                  <c:v>44992</c:v>
                </c:pt>
                <c:pt idx="830">
                  <c:v>44993</c:v>
                </c:pt>
                <c:pt idx="831">
                  <c:v>44994</c:v>
                </c:pt>
                <c:pt idx="832">
                  <c:v>44995</c:v>
                </c:pt>
                <c:pt idx="833">
                  <c:v>44998</c:v>
                </c:pt>
                <c:pt idx="834">
                  <c:v>44999</c:v>
                </c:pt>
                <c:pt idx="835">
                  <c:v>45000</c:v>
                </c:pt>
                <c:pt idx="836">
                  <c:v>45001</c:v>
                </c:pt>
                <c:pt idx="837">
                  <c:v>45002</c:v>
                </c:pt>
                <c:pt idx="838">
                  <c:v>45005</c:v>
                </c:pt>
                <c:pt idx="839">
                  <c:v>45006</c:v>
                </c:pt>
                <c:pt idx="840">
                  <c:v>45007</c:v>
                </c:pt>
                <c:pt idx="841">
                  <c:v>45008</c:v>
                </c:pt>
                <c:pt idx="842">
                  <c:v>45009</c:v>
                </c:pt>
                <c:pt idx="843">
                  <c:v>45012</c:v>
                </c:pt>
                <c:pt idx="844">
                  <c:v>45013</c:v>
                </c:pt>
                <c:pt idx="845">
                  <c:v>45014</c:v>
                </c:pt>
                <c:pt idx="846">
                  <c:v>45015</c:v>
                </c:pt>
                <c:pt idx="847">
                  <c:v>45016</c:v>
                </c:pt>
                <c:pt idx="848">
                  <c:v>45019</c:v>
                </c:pt>
                <c:pt idx="849">
                  <c:v>45020</c:v>
                </c:pt>
                <c:pt idx="850">
                  <c:v>45021</c:v>
                </c:pt>
                <c:pt idx="851">
                  <c:v>45022</c:v>
                </c:pt>
                <c:pt idx="852">
                  <c:v>45023</c:v>
                </c:pt>
                <c:pt idx="853">
                  <c:v>45026</c:v>
                </c:pt>
                <c:pt idx="854">
                  <c:v>45027</c:v>
                </c:pt>
                <c:pt idx="855">
                  <c:v>45028</c:v>
                </c:pt>
                <c:pt idx="856">
                  <c:v>45029</c:v>
                </c:pt>
                <c:pt idx="857">
                  <c:v>45030</c:v>
                </c:pt>
                <c:pt idx="858">
                  <c:v>45033</c:v>
                </c:pt>
                <c:pt idx="859">
                  <c:v>45034</c:v>
                </c:pt>
                <c:pt idx="860">
                  <c:v>45035</c:v>
                </c:pt>
                <c:pt idx="861">
                  <c:v>45036</c:v>
                </c:pt>
                <c:pt idx="862">
                  <c:v>45037</c:v>
                </c:pt>
                <c:pt idx="863">
                  <c:v>45040</c:v>
                </c:pt>
                <c:pt idx="864">
                  <c:v>45041</c:v>
                </c:pt>
                <c:pt idx="865">
                  <c:v>45042</c:v>
                </c:pt>
                <c:pt idx="866">
                  <c:v>45043</c:v>
                </c:pt>
                <c:pt idx="867">
                  <c:v>45044</c:v>
                </c:pt>
                <c:pt idx="868">
                  <c:v>45047</c:v>
                </c:pt>
                <c:pt idx="869">
                  <c:v>45048</c:v>
                </c:pt>
                <c:pt idx="870">
                  <c:v>45049</c:v>
                </c:pt>
                <c:pt idx="871">
                  <c:v>45050</c:v>
                </c:pt>
                <c:pt idx="872">
                  <c:v>45051</c:v>
                </c:pt>
                <c:pt idx="873">
                  <c:v>45054</c:v>
                </c:pt>
                <c:pt idx="874">
                  <c:v>45055</c:v>
                </c:pt>
                <c:pt idx="875">
                  <c:v>45056</c:v>
                </c:pt>
                <c:pt idx="876">
                  <c:v>45057</c:v>
                </c:pt>
                <c:pt idx="877">
                  <c:v>45058</c:v>
                </c:pt>
                <c:pt idx="878">
                  <c:v>45061</c:v>
                </c:pt>
                <c:pt idx="879">
                  <c:v>45062</c:v>
                </c:pt>
                <c:pt idx="880">
                  <c:v>45063</c:v>
                </c:pt>
                <c:pt idx="881">
                  <c:v>45064</c:v>
                </c:pt>
                <c:pt idx="882">
                  <c:v>45065</c:v>
                </c:pt>
                <c:pt idx="883">
                  <c:v>45068</c:v>
                </c:pt>
                <c:pt idx="884">
                  <c:v>45069</c:v>
                </c:pt>
                <c:pt idx="885">
                  <c:v>45070</c:v>
                </c:pt>
                <c:pt idx="886">
                  <c:v>45071</c:v>
                </c:pt>
                <c:pt idx="887">
                  <c:v>45072</c:v>
                </c:pt>
                <c:pt idx="888">
                  <c:v>45075</c:v>
                </c:pt>
                <c:pt idx="889">
                  <c:v>45076</c:v>
                </c:pt>
                <c:pt idx="890">
                  <c:v>45077</c:v>
                </c:pt>
                <c:pt idx="891">
                  <c:v>45078</c:v>
                </c:pt>
                <c:pt idx="892">
                  <c:v>45079</c:v>
                </c:pt>
                <c:pt idx="893">
                  <c:v>45082</c:v>
                </c:pt>
                <c:pt idx="894">
                  <c:v>45083</c:v>
                </c:pt>
                <c:pt idx="895">
                  <c:v>45084</c:v>
                </c:pt>
                <c:pt idx="896">
                  <c:v>45085</c:v>
                </c:pt>
                <c:pt idx="897">
                  <c:v>45086</c:v>
                </c:pt>
                <c:pt idx="898">
                  <c:v>45089</c:v>
                </c:pt>
                <c:pt idx="899">
                  <c:v>45090</c:v>
                </c:pt>
                <c:pt idx="900">
                  <c:v>45091</c:v>
                </c:pt>
                <c:pt idx="901">
                  <c:v>45092</c:v>
                </c:pt>
                <c:pt idx="902">
                  <c:v>45093</c:v>
                </c:pt>
                <c:pt idx="903">
                  <c:v>45096</c:v>
                </c:pt>
                <c:pt idx="904">
                  <c:v>45097</c:v>
                </c:pt>
                <c:pt idx="905">
                  <c:v>45098</c:v>
                </c:pt>
                <c:pt idx="906">
                  <c:v>45099</c:v>
                </c:pt>
                <c:pt idx="907">
                  <c:v>45100</c:v>
                </c:pt>
                <c:pt idx="908">
                  <c:v>45103</c:v>
                </c:pt>
                <c:pt idx="909">
                  <c:v>45104</c:v>
                </c:pt>
                <c:pt idx="910">
                  <c:v>45105</c:v>
                </c:pt>
                <c:pt idx="911">
                  <c:v>45106</c:v>
                </c:pt>
                <c:pt idx="912">
                  <c:v>45107</c:v>
                </c:pt>
                <c:pt idx="913">
                  <c:v>45110</c:v>
                </c:pt>
                <c:pt idx="914">
                  <c:v>45111</c:v>
                </c:pt>
                <c:pt idx="915">
                  <c:v>45112</c:v>
                </c:pt>
                <c:pt idx="916">
                  <c:v>45113</c:v>
                </c:pt>
                <c:pt idx="917">
                  <c:v>45114</c:v>
                </c:pt>
                <c:pt idx="918">
                  <c:v>45117</c:v>
                </c:pt>
                <c:pt idx="919">
                  <c:v>45118</c:v>
                </c:pt>
                <c:pt idx="920">
                  <c:v>45119</c:v>
                </c:pt>
                <c:pt idx="921">
                  <c:v>45120</c:v>
                </c:pt>
                <c:pt idx="922">
                  <c:v>45121</c:v>
                </c:pt>
                <c:pt idx="923">
                  <c:v>45124</c:v>
                </c:pt>
                <c:pt idx="924">
                  <c:v>45125</c:v>
                </c:pt>
                <c:pt idx="925">
                  <c:v>45126</c:v>
                </c:pt>
                <c:pt idx="926">
                  <c:v>45127</c:v>
                </c:pt>
                <c:pt idx="927">
                  <c:v>45128</c:v>
                </c:pt>
                <c:pt idx="928">
                  <c:v>45131</c:v>
                </c:pt>
                <c:pt idx="929">
                  <c:v>45132</c:v>
                </c:pt>
                <c:pt idx="930">
                  <c:v>45133</c:v>
                </c:pt>
                <c:pt idx="931">
                  <c:v>45134</c:v>
                </c:pt>
                <c:pt idx="932">
                  <c:v>45135</c:v>
                </c:pt>
                <c:pt idx="933">
                  <c:v>45138</c:v>
                </c:pt>
                <c:pt idx="934">
                  <c:v>45139</c:v>
                </c:pt>
                <c:pt idx="935">
                  <c:v>45140</c:v>
                </c:pt>
                <c:pt idx="936">
                  <c:v>45141</c:v>
                </c:pt>
                <c:pt idx="937">
                  <c:v>45142</c:v>
                </c:pt>
                <c:pt idx="938">
                  <c:v>45145</c:v>
                </c:pt>
                <c:pt idx="939">
                  <c:v>45146</c:v>
                </c:pt>
                <c:pt idx="940">
                  <c:v>45147</c:v>
                </c:pt>
                <c:pt idx="941">
                  <c:v>45148</c:v>
                </c:pt>
                <c:pt idx="942">
                  <c:v>45149</c:v>
                </c:pt>
                <c:pt idx="943">
                  <c:v>45152</c:v>
                </c:pt>
                <c:pt idx="944">
                  <c:v>45153</c:v>
                </c:pt>
                <c:pt idx="945">
                  <c:v>45154</c:v>
                </c:pt>
                <c:pt idx="946">
                  <c:v>45155</c:v>
                </c:pt>
                <c:pt idx="947">
                  <c:v>45156</c:v>
                </c:pt>
                <c:pt idx="948">
                  <c:v>45159</c:v>
                </c:pt>
                <c:pt idx="949">
                  <c:v>45160</c:v>
                </c:pt>
                <c:pt idx="950">
                  <c:v>45161</c:v>
                </c:pt>
                <c:pt idx="951">
                  <c:v>45162</c:v>
                </c:pt>
                <c:pt idx="952">
                  <c:v>45163</c:v>
                </c:pt>
                <c:pt idx="953">
                  <c:v>45166</c:v>
                </c:pt>
                <c:pt idx="954">
                  <c:v>45167</c:v>
                </c:pt>
                <c:pt idx="955">
                  <c:v>45168</c:v>
                </c:pt>
                <c:pt idx="956">
                  <c:v>45169</c:v>
                </c:pt>
                <c:pt idx="957">
                  <c:v>45170</c:v>
                </c:pt>
                <c:pt idx="958">
                  <c:v>45173</c:v>
                </c:pt>
                <c:pt idx="959">
                  <c:v>45174</c:v>
                </c:pt>
                <c:pt idx="960">
                  <c:v>45175</c:v>
                </c:pt>
                <c:pt idx="961">
                  <c:v>45176</c:v>
                </c:pt>
                <c:pt idx="962">
                  <c:v>45177</c:v>
                </c:pt>
                <c:pt idx="963">
                  <c:v>45180</c:v>
                </c:pt>
              </c:numCache>
            </c:numRef>
          </c:cat>
          <c:val>
            <c:numRef>
              <c:f>Sheet1!$C$2:$C$1226</c:f>
              <c:numCache>
                <c:formatCode>0</c:formatCode>
                <c:ptCount val="964"/>
                <c:pt idx="0">
                  <c:v>0.82061000000000006</c:v>
                </c:pt>
                <c:pt idx="1">
                  <c:v>1.0876300000000001</c:v>
                </c:pt>
                <c:pt idx="2">
                  <c:v>1.2008000000000001</c:v>
                </c:pt>
                <c:pt idx="3">
                  <c:v>1.1994899999999999</c:v>
                </c:pt>
                <c:pt idx="4">
                  <c:v>1.17744</c:v>
                </c:pt>
                <c:pt idx="5">
                  <c:v>1.1215000000000002</c:v>
                </c:pt>
                <c:pt idx="6">
                  <c:v>1.10171</c:v>
                </c:pt>
                <c:pt idx="7">
                  <c:v>1.11198</c:v>
                </c:pt>
                <c:pt idx="8">
                  <c:v>1.06521</c:v>
                </c:pt>
                <c:pt idx="9">
                  <c:v>1.0829600000000001</c:v>
                </c:pt>
                <c:pt idx="10">
                  <c:v>1.09016</c:v>
                </c:pt>
                <c:pt idx="11">
                  <c:v>1.06575</c:v>
                </c:pt>
                <c:pt idx="12">
                  <c:v>1.05986</c:v>
                </c:pt>
                <c:pt idx="13">
                  <c:v>1.05986</c:v>
                </c:pt>
                <c:pt idx="14">
                  <c:v>1.08565</c:v>
                </c:pt>
                <c:pt idx="15">
                  <c:v>1.0815000000000001</c:v>
                </c:pt>
                <c:pt idx="16">
                  <c:v>1.1012999999999999</c:v>
                </c:pt>
                <c:pt idx="17">
                  <c:v>1.1244799999999999</c:v>
                </c:pt>
                <c:pt idx="18">
                  <c:v>1.1867799999999999</c:v>
                </c:pt>
                <c:pt idx="19">
                  <c:v>1.1382299999999999</c:v>
                </c:pt>
                <c:pt idx="20">
                  <c:v>1.15707</c:v>
                </c:pt>
                <c:pt idx="21">
                  <c:v>1.13344</c:v>
                </c:pt>
                <c:pt idx="22">
                  <c:v>1.16001</c:v>
                </c:pt>
                <c:pt idx="23">
                  <c:v>1.1695500000000001</c:v>
                </c:pt>
                <c:pt idx="24">
                  <c:v>1.14567</c:v>
                </c:pt>
                <c:pt idx="25">
                  <c:v>1.1213500000000001</c:v>
                </c:pt>
                <c:pt idx="26">
                  <c:v>1.1170499999999999</c:v>
                </c:pt>
                <c:pt idx="27">
                  <c:v>1.1821899999999999</c:v>
                </c:pt>
                <c:pt idx="28">
                  <c:v>1.1879600000000001</c:v>
                </c:pt>
                <c:pt idx="29">
                  <c:v>1.0773200000000001</c:v>
                </c:pt>
                <c:pt idx="30">
                  <c:v>1.05301</c:v>
                </c:pt>
                <c:pt idx="31">
                  <c:v>1.0467900000000001</c:v>
                </c:pt>
                <c:pt idx="32">
                  <c:v>1.05159</c:v>
                </c:pt>
                <c:pt idx="33">
                  <c:v>1.05159</c:v>
                </c:pt>
                <c:pt idx="34">
                  <c:v>1.0740000000000001</c:v>
                </c:pt>
                <c:pt idx="35">
                  <c:v>1.0536700000000001</c:v>
                </c:pt>
                <c:pt idx="36">
                  <c:v>1.0719799999999999</c:v>
                </c:pt>
                <c:pt idx="37">
                  <c:v>1.0726599999999999</c:v>
                </c:pt>
                <c:pt idx="38">
                  <c:v>1.0992600000000001</c:v>
                </c:pt>
                <c:pt idx="39">
                  <c:v>1.1727099999999999</c:v>
                </c:pt>
                <c:pt idx="40">
                  <c:v>1.21529</c:v>
                </c:pt>
                <c:pt idx="41">
                  <c:v>1.3344300000000002</c:v>
                </c:pt>
                <c:pt idx="42">
                  <c:v>1.60443</c:v>
                </c:pt>
                <c:pt idx="43">
                  <c:v>1.61947</c:v>
                </c:pt>
                <c:pt idx="44">
                  <c:v>1.6208500000000001</c:v>
                </c:pt>
                <c:pt idx="45">
                  <c:v>1.49631</c:v>
                </c:pt>
                <c:pt idx="46">
                  <c:v>1.57457</c:v>
                </c:pt>
                <c:pt idx="47">
                  <c:v>1.6858199999999999</c:v>
                </c:pt>
                <c:pt idx="48">
                  <c:v>2.17659</c:v>
                </c:pt>
                <c:pt idx="49">
                  <c:v>2.01058</c:v>
                </c:pt>
                <c:pt idx="50">
                  <c:v>2.02963</c:v>
                </c:pt>
                <c:pt idx="51">
                  <c:v>2.53898</c:v>
                </c:pt>
                <c:pt idx="52">
                  <c:v>2.50467</c:v>
                </c:pt>
                <c:pt idx="53">
                  <c:v>2.99831</c:v>
                </c:pt>
                <c:pt idx="54">
                  <c:v>2.8975</c:v>
                </c:pt>
                <c:pt idx="55">
                  <c:v>3.6361300000000001</c:v>
                </c:pt>
                <c:pt idx="56">
                  <c:v>3.9913799999999999</c:v>
                </c:pt>
                <c:pt idx="57">
                  <c:v>3.8349000000000002</c:v>
                </c:pt>
                <c:pt idx="58">
                  <c:v>3.9763900000000003</c:v>
                </c:pt>
                <c:pt idx="59">
                  <c:v>3.3282299999999996</c:v>
                </c:pt>
                <c:pt idx="60">
                  <c:v>3.1078199999999998</c:v>
                </c:pt>
                <c:pt idx="61">
                  <c:v>2.8591699999999998</c:v>
                </c:pt>
                <c:pt idx="62">
                  <c:v>3.0534300000000001</c:v>
                </c:pt>
                <c:pt idx="63">
                  <c:v>3.3071499999999996</c:v>
                </c:pt>
                <c:pt idx="64" formatCode="0.00">
                  <c:v>3.1638500000000001</c:v>
                </c:pt>
                <c:pt idx="65" formatCode="0.00">
                  <c:v>3.1924900000000003</c:v>
                </c:pt>
                <c:pt idx="66" formatCode="0.00">
                  <c:v>3.0995699999999999</c:v>
                </c:pt>
                <c:pt idx="67" formatCode="0.00">
                  <c:v>2.8056900000000002</c:v>
                </c:pt>
                <c:pt idx="68" formatCode="0.00">
                  <c:v>2.6177600000000001</c:v>
                </c:pt>
                <c:pt idx="69" formatCode="0.00">
                  <c:v>2.4544800000000002</c:v>
                </c:pt>
                <c:pt idx="70" formatCode="0.00">
                  <c:v>2.5413900000000003</c:v>
                </c:pt>
                <c:pt idx="71" formatCode="0.00">
                  <c:v>2.4632700000000001</c:v>
                </c:pt>
                <c:pt idx="72" formatCode="0.00">
                  <c:v>2.4632700000000001</c:v>
                </c:pt>
                <c:pt idx="73" formatCode="0.00">
                  <c:v>2.4438999999999997</c:v>
                </c:pt>
                <c:pt idx="74" formatCode="0.00">
                  <c:v>2.4430899999999998</c:v>
                </c:pt>
                <c:pt idx="75" formatCode="0.00">
                  <c:v>2.5941399999999999</c:v>
                </c:pt>
                <c:pt idx="76" formatCode="0.00">
                  <c:v>2.5422199999999999</c:v>
                </c:pt>
                <c:pt idx="77" formatCode="0.00">
                  <c:v>2.51573</c:v>
                </c:pt>
                <c:pt idx="78" formatCode="0.00">
                  <c:v>2.5957400000000002</c:v>
                </c:pt>
                <c:pt idx="79" formatCode="0.00">
                  <c:v>2.70255</c:v>
                </c:pt>
                <c:pt idx="80" formatCode="0.00">
                  <c:v>2.6233999999999997</c:v>
                </c:pt>
                <c:pt idx="81" formatCode="0.00">
                  <c:v>2.5242</c:v>
                </c:pt>
                <c:pt idx="82" formatCode="0.00">
                  <c:v>2.5165700000000002</c:v>
                </c:pt>
                <c:pt idx="83" formatCode="0.00">
                  <c:v>2.5023500000000003</c:v>
                </c:pt>
                <c:pt idx="84" formatCode="0.00">
                  <c:v>2.5390299999999999</c:v>
                </c:pt>
                <c:pt idx="85" formatCode="0.00">
                  <c:v>2.5156399999999999</c:v>
                </c:pt>
                <c:pt idx="86" formatCode="0.00">
                  <c:v>2.4081100000000002</c:v>
                </c:pt>
                <c:pt idx="87" formatCode="0.00">
                  <c:v>2.40171</c:v>
                </c:pt>
                <c:pt idx="88" formatCode="0.00">
                  <c:v>2.4501200000000001</c:v>
                </c:pt>
                <c:pt idx="89" formatCode="0.00">
                  <c:v>2.3563200000000002</c:v>
                </c:pt>
                <c:pt idx="90" formatCode="0.00">
                  <c:v>2.3450800000000003</c:v>
                </c:pt>
                <c:pt idx="91" formatCode="0.00">
                  <c:v>2.38259</c:v>
                </c:pt>
                <c:pt idx="92" formatCode="0.00">
                  <c:v>2.3735200000000001</c:v>
                </c:pt>
                <c:pt idx="93" formatCode="0.00">
                  <c:v>2.2678099999999999</c:v>
                </c:pt>
                <c:pt idx="94" formatCode="0.00">
                  <c:v>2.25644</c:v>
                </c:pt>
                <c:pt idx="95" formatCode="0.00">
                  <c:v>2.2788399999999998</c:v>
                </c:pt>
                <c:pt idx="96" formatCode="0.00">
                  <c:v>2.2993600000000001</c:v>
                </c:pt>
                <c:pt idx="97" formatCode="0.00">
                  <c:v>2.2167599999999998</c:v>
                </c:pt>
                <c:pt idx="98" formatCode="0.00">
                  <c:v>2.04182</c:v>
                </c:pt>
                <c:pt idx="99" formatCode="0.00">
                  <c:v>2.0026299999999999</c:v>
                </c:pt>
                <c:pt idx="100" formatCode="0.00">
                  <c:v>1.8886099999999999</c:v>
                </c:pt>
                <c:pt idx="101" formatCode="0.00">
                  <c:v>1.8247499999999999</c:v>
                </c:pt>
                <c:pt idx="102" formatCode="0.00">
                  <c:v>1.85364</c:v>
                </c:pt>
                <c:pt idx="103" formatCode="0.00">
                  <c:v>1.85364</c:v>
                </c:pt>
                <c:pt idx="104" formatCode="0.00">
                  <c:v>1.80779</c:v>
                </c:pt>
                <c:pt idx="105" formatCode="0.00">
                  <c:v>1.8223099999999999</c:v>
                </c:pt>
                <c:pt idx="106" formatCode="0.00">
                  <c:v>1.8056800000000002</c:v>
                </c:pt>
                <c:pt idx="107" formatCode="0.00">
                  <c:v>1.82728</c:v>
                </c:pt>
                <c:pt idx="108" formatCode="0.00">
                  <c:v>1.80803</c:v>
                </c:pt>
                <c:pt idx="109" formatCode="0.00">
                  <c:v>1.7832499999999998</c:v>
                </c:pt>
                <c:pt idx="110" formatCode="0.00">
                  <c:v>1.7294100000000001</c:v>
                </c:pt>
                <c:pt idx="111" formatCode="0.00">
                  <c:v>1.7671000000000001</c:v>
                </c:pt>
                <c:pt idx="112" formatCode="0.00">
                  <c:v>1.7605600000000001</c:v>
                </c:pt>
                <c:pt idx="113" formatCode="0.00">
                  <c:v>1.7976699999999999</c:v>
                </c:pt>
                <c:pt idx="114" formatCode="0.00">
                  <c:v>1.7964199999999999</c:v>
                </c:pt>
                <c:pt idx="115" formatCode="0.00">
                  <c:v>1.85006</c:v>
                </c:pt>
                <c:pt idx="116" formatCode="0.00">
                  <c:v>1.9521299999999999</c:v>
                </c:pt>
                <c:pt idx="117" formatCode="0.00">
                  <c:v>1.90951</c:v>
                </c:pt>
                <c:pt idx="118" formatCode="0.00">
                  <c:v>1.90507</c:v>
                </c:pt>
                <c:pt idx="119" formatCode="0.00">
                  <c:v>1.76261</c:v>
                </c:pt>
                <c:pt idx="120" formatCode="0.00">
                  <c:v>1.75457</c:v>
                </c:pt>
                <c:pt idx="121" formatCode="0.00">
                  <c:v>1.7784500000000001</c:v>
                </c:pt>
                <c:pt idx="122" formatCode="0.00">
                  <c:v>1.7738399999999999</c:v>
                </c:pt>
                <c:pt idx="123" formatCode="0.00">
                  <c:v>1.7755400000000001</c:v>
                </c:pt>
                <c:pt idx="124" formatCode="0.00">
                  <c:v>1.7635700000000001</c:v>
                </c:pt>
                <c:pt idx="125" formatCode="0.00">
                  <c:v>1.8174700000000001</c:v>
                </c:pt>
                <c:pt idx="126" formatCode="0.00">
                  <c:v>1.8463800000000001</c:v>
                </c:pt>
                <c:pt idx="127" formatCode="0.00">
                  <c:v>1.8455199999999998</c:v>
                </c:pt>
                <c:pt idx="128" formatCode="0.00">
                  <c:v>1.8867099999999999</c:v>
                </c:pt>
                <c:pt idx="129" formatCode="0.00">
                  <c:v>1.9032499999999999</c:v>
                </c:pt>
                <c:pt idx="130" formatCode="0.00">
                  <c:v>1.8239400000000001</c:v>
                </c:pt>
                <c:pt idx="131" formatCode="0.00">
                  <c:v>1.80602</c:v>
                </c:pt>
                <c:pt idx="132" formatCode="0.00">
                  <c:v>1.80602</c:v>
                </c:pt>
                <c:pt idx="133" formatCode="0.00">
                  <c:v>1.84602</c:v>
                </c:pt>
                <c:pt idx="134" formatCode="0.00">
                  <c:v>1.8488100000000001</c:v>
                </c:pt>
                <c:pt idx="135" formatCode="0.00">
                  <c:v>1.80969</c:v>
                </c:pt>
                <c:pt idx="136" formatCode="0.00">
                  <c:v>1.80749</c:v>
                </c:pt>
                <c:pt idx="137" formatCode="0.00">
                  <c:v>1.7834399999999999</c:v>
                </c:pt>
                <c:pt idx="138" formatCode="0.00">
                  <c:v>1.7701199999999999</c:v>
                </c:pt>
                <c:pt idx="139" formatCode="0.00">
                  <c:v>1.75743</c:v>
                </c:pt>
                <c:pt idx="140" formatCode="0.00">
                  <c:v>1.7325699999999999</c:v>
                </c:pt>
                <c:pt idx="141" formatCode="0.00">
                  <c:v>1.7262600000000001</c:v>
                </c:pt>
                <c:pt idx="142" formatCode="0.00">
                  <c:v>1.6977000000000002</c:v>
                </c:pt>
                <c:pt idx="143" formatCode="0.00">
                  <c:v>1.6792899999999999</c:v>
                </c:pt>
                <c:pt idx="144" formatCode="0.00">
                  <c:v>1.6825800000000002</c:v>
                </c:pt>
                <c:pt idx="145" formatCode="0.00">
                  <c:v>1.6906800000000002</c:v>
                </c:pt>
                <c:pt idx="146" formatCode="0.00">
                  <c:v>1.6447800000000001</c:v>
                </c:pt>
                <c:pt idx="147" formatCode="0.00">
                  <c:v>1.6547800000000001</c:v>
                </c:pt>
                <c:pt idx="148" formatCode="0.00">
                  <c:v>1.6172399999999998</c:v>
                </c:pt>
                <c:pt idx="149" formatCode="0.00">
                  <c:v>1.65089</c:v>
                </c:pt>
                <c:pt idx="150" formatCode="0.00">
                  <c:v>1.6423699999999999</c:v>
                </c:pt>
                <c:pt idx="151" formatCode="0.00">
                  <c:v>1.67845</c:v>
                </c:pt>
                <c:pt idx="152" formatCode="0.00">
                  <c:v>1.6825700000000001</c:v>
                </c:pt>
                <c:pt idx="153" formatCode="0.00">
                  <c:v>1.6511000000000002</c:v>
                </c:pt>
                <c:pt idx="154" formatCode="0.00">
                  <c:v>1.6300800000000002</c:v>
                </c:pt>
                <c:pt idx="155" formatCode="0.00">
                  <c:v>1.4971100000000002</c:v>
                </c:pt>
                <c:pt idx="156" formatCode="0.00">
                  <c:v>1.50478</c:v>
                </c:pt>
                <c:pt idx="157" formatCode="0.00">
                  <c:v>1.4598900000000001</c:v>
                </c:pt>
                <c:pt idx="158" formatCode="0.00">
                  <c:v>1.39106</c:v>
                </c:pt>
                <c:pt idx="159" formatCode="0.00">
                  <c:v>1.4087299999999998</c:v>
                </c:pt>
                <c:pt idx="160" formatCode="0.00">
                  <c:v>1.4051499999999999</c:v>
                </c:pt>
                <c:pt idx="161" formatCode="0.00">
                  <c:v>1.4051900000000002</c:v>
                </c:pt>
                <c:pt idx="162" formatCode="0.00">
                  <c:v>1.4715100000000001</c:v>
                </c:pt>
                <c:pt idx="163" formatCode="0.00">
                  <c:v>1.56037</c:v>
                </c:pt>
                <c:pt idx="164" formatCode="0.00">
                  <c:v>1.5665100000000001</c:v>
                </c:pt>
                <c:pt idx="165" formatCode="0.00">
                  <c:v>1.57605</c:v>
                </c:pt>
                <c:pt idx="166" formatCode="0.00">
                  <c:v>1.6133199999999999</c:v>
                </c:pt>
                <c:pt idx="167" formatCode="0.00">
                  <c:v>1.6353499999999999</c:v>
                </c:pt>
                <c:pt idx="168" formatCode="0.00">
                  <c:v>1.6191200000000001</c:v>
                </c:pt>
                <c:pt idx="169" formatCode="0.00">
                  <c:v>1.61791</c:v>
                </c:pt>
                <c:pt idx="170" formatCode="0.00">
                  <c:v>1.6493899999999999</c:v>
                </c:pt>
                <c:pt idx="171" formatCode="0.00">
                  <c:v>1.61663</c:v>
                </c:pt>
                <c:pt idx="172" formatCode="0.00">
                  <c:v>1.6433500000000001</c:v>
                </c:pt>
                <c:pt idx="173" formatCode="0.00">
                  <c:v>1.6566999999999998</c:v>
                </c:pt>
                <c:pt idx="174" formatCode="0.00">
                  <c:v>1.6265100000000001</c:v>
                </c:pt>
                <c:pt idx="175" formatCode="0.00">
                  <c:v>1.64592</c:v>
                </c:pt>
                <c:pt idx="176" formatCode="0.00">
                  <c:v>1.67536</c:v>
                </c:pt>
                <c:pt idx="177" formatCode="0.00">
                  <c:v>1.6540000000000001</c:v>
                </c:pt>
                <c:pt idx="178" formatCode="0.00">
                  <c:v>1.6540000000000001</c:v>
                </c:pt>
                <c:pt idx="179" formatCode="0.00">
                  <c:v>1.7148400000000001</c:v>
                </c:pt>
                <c:pt idx="180" formatCode="0.00">
                  <c:v>1.6875399999999998</c:v>
                </c:pt>
                <c:pt idx="181" formatCode="0.00">
                  <c:v>1.6880500000000001</c:v>
                </c:pt>
                <c:pt idx="182" formatCode="0.00">
                  <c:v>1.6964399999999999</c:v>
                </c:pt>
                <c:pt idx="183" formatCode="0.00">
                  <c:v>1.69489</c:v>
                </c:pt>
                <c:pt idx="184" formatCode="0.00">
                  <c:v>1.6552899999999999</c:v>
                </c:pt>
                <c:pt idx="185" formatCode="0.00">
                  <c:v>1.6204400000000001</c:v>
                </c:pt>
                <c:pt idx="186" formatCode="0.00">
                  <c:v>1.6208500000000001</c:v>
                </c:pt>
                <c:pt idx="187" formatCode="0.00">
                  <c:v>1.6091499999999999</c:v>
                </c:pt>
                <c:pt idx="188" formatCode="0.00">
                  <c:v>1.6873199999999999</c:v>
                </c:pt>
                <c:pt idx="189" formatCode="0.00">
                  <c:v>1.6698900000000001</c:v>
                </c:pt>
                <c:pt idx="190" formatCode="0.00">
                  <c:v>1.6530799999999999</c:v>
                </c:pt>
                <c:pt idx="191" formatCode="0.00">
                  <c:v>1.7094999999999998</c:v>
                </c:pt>
                <c:pt idx="192" formatCode="0.00">
                  <c:v>1.71255</c:v>
                </c:pt>
                <c:pt idx="193" formatCode="0.00">
                  <c:v>1.7150100000000001</c:v>
                </c:pt>
                <c:pt idx="194" formatCode="0.00">
                  <c:v>1.72756</c:v>
                </c:pt>
                <c:pt idx="195" formatCode="0.00">
                  <c:v>1.6898900000000001</c:v>
                </c:pt>
                <c:pt idx="196" formatCode="0.00">
                  <c:v>1.6615799999999998</c:v>
                </c:pt>
                <c:pt idx="197" formatCode="0.00">
                  <c:v>1.68059</c:v>
                </c:pt>
                <c:pt idx="198" formatCode="0.00">
                  <c:v>1.6541399999999999</c:v>
                </c:pt>
                <c:pt idx="199" formatCode="0.00">
                  <c:v>1.65883</c:v>
                </c:pt>
                <c:pt idx="200" formatCode="0.00">
                  <c:v>1.6504099999999999</c:v>
                </c:pt>
                <c:pt idx="201" formatCode="0.00">
                  <c:v>1.6474199999999999</c:v>
                </c:pt>
                <c:pt idx="202" formatCode="0.00">
                  <c:v>1.58921</c:v>
                </c:pt>
                <c:pt idx="203" formatCode="0.00">
                  <c:v>1.58921</c:v>
                </c:pt>
                <c:pt idx="204" formatCode="0.00">
                  <c:v>1.6151200000000001</c:v>
                </c:pt>
                <c:pt idx="205" formatCode="0.00">
                  <c:v>1.6159800000000002</c:v>
                </c:pt>
                <c:pt idx="206" formatCode="0.00">
                  <c:v>1.6032599999999999</c:v>
                </c:pt>
                <c:pt idx="207" formatCode="0.00">
                  <c:v>1.5725299999999998</c:v>
                </c:pt>
                <c:pt idx="208" formatCode="0.00">
                  <c:v>1.54952</c:v>
                </c:pt>
                <c:pt idx="209" formatCode="0.00">
                  <c:v>1.5469900000000001</c:v>
                </c:pt>
                <c:pt idx="210" formatCode="0.00">
                  <c:v>1.54843</c:v>
                </c:pt>
                <c:pt idx="211" formatCode="0.00">
                  <c:v>1.52007</c:v>
                </c:pt>
                <c:pt idx="212" formatCode="0.00">
                  <c:v>1.5336000000000001</c:v>
                </c:pt>
                <c:pt idx="213" formatCode="0.00">
                  <c:v>1.54725</c:v>
                </c:pt>
                <c:pt idx="214" formatCode="0.00">
                  <c:v>1.5668899999999999</c:v>
                </c:pt>
                <c:pt idx="215" formatCode="0.00">
                  <c:v>1.6445699999999999</c:v>
                </c:pt>
                <c:pt idx="216" formatCode="0.00">
                  <c:v>1.61751</c:v>
                </c:pt>
                <c:pt idx="217" formatCode="0.00">
                  <c:v>1.6188499999999999</c:v>
                </c:pt>
                <c:pt idx="218" formatCode="0.00">
                  <c:v>1.6369800000000001</c:v>
                </c:pt>
                <c:pt idx="219" formatCode="0.00">
                  <c:v>1.5948199999999999</c:v>
                </c:pt>
                <c:pt idx="220" formatCode="0.00">
                  <c:v>1.5906499999999999</c:v>
                </c:pt>
                <c:pt idx="221" formatCode="0.00">
                  <c:v>1.5026200000000001</c:v>
                </c:pt>
                <c:pt idx="222" formatCode="0.00">
                  <c:v>1.49861</c:v>
                </c:pt>
                <c:pt idx="223" formatCode="0.00">
                  <c:v>1.3772200000000001</c:v>
                </c:pt>
                <c:pt idx="224" formatCode="0.00">
                  <c:v>1.391</c:v>
                </c:pt>
                <c:pt idx="225" formatCode="0.00">
                  <c:v>1.391</c:v>
                </c:pt>
                <c:pt idx="226" formatCode="0.00">
                  <c:v>1.42404</c:v>
                </c:pt>
                <c:pt idx="227" formatCode="0.00">
                  <c:v>1.39741</c:v>
                </c:pt>
                <c:pt idx="228" formatCode="0.00">
                  <c:v>1.37534</c:v>
                </c:pt>
                <c:pt idx="229" formatCode="0.00">
                  <c:v>1.4058600000000001</c:v>
                </c:pt>
                <c:pt idx="230" formatCode="0.00">
                  <c:v>1.40239</c:v>
                </c:pt>
                <c:pt idx="231" formatCode="0.00">
                  <c:v>1.4055799999999998</c:v>
                </c:pt>
                <c:pt idx="232" formatCode="0.00">
                  <c:v>1.41151</c:v>
                </c:pt>
                <c:pt idx="233" formatCode="0.00">
                  <c:v>1.4083399999999999</c:v>
                </c:pt>
                <c:pt idx="234" formatCode="0.00">
                  <c:v>1.4018100000000002</c:v>
                </c:pt>
                <c:pt idx="235" formatCode="0.00">
                  <c:v>1.4034500000000001</c:v>
                </c:pt>
                <c:pt idx="236" formatCode="0.00">
                  <c:v>1.4034500000000001</c:v>
                </c:pt>
                <c:pt idx="237" formatCode="0.00">
                  <c:v>1.4248099999999999</c:v>
                </c:pt>
                <c:pt idx="238" formatCode="0.00">
                  <c:v>1.4173099999999998</c:v>
                </c:pt>
                <c:pt idx="239" formatCode="0.00">
                  <c:v>1.3680000000000001</c:v>
                </c:pt>
                <c:pt idx="240" formatCode="0.00">
                  <c:v>1.3623799999999999</c:v>
                </c:pt>
                <c:pt idx="241" formatCode="0.00">
                  <c:v>1.3659800000000002</c:v>
                </c:pt>
                <c:pt idx="242" formatCode="0.00">
                  <c:v>1.33935</c:v>
                </c:pt>
                <c:pt idx="243" formatCode="0.00">
                  <c:v>1.3680099999999999</c:v>
                </c:pt>
                <c:pt idx="244" formatCode="0.00">
                  <c:v>1.3784100000000001</c:v>
                </c:pt>
                <c:pt idx="245" formatCode="0.00">
                  <c:v>1.3668500000000001</c:v>
                </c:pt>
                <c:pt idx="246" formatCode="0.00">
                  <c:v>1.3735400000000002</c:v>
                </c:pt>
                <c:pt idx="247" formatCode="0.00">
                  <c:v>1.37486</c:v>
                </c:pt>
                <c:pt idx="248" formatCode="0.00">
                  <c:v>1.3726799999999999</c:v>
                </c:pt>
                <c:pt idx="249" formatCode="0.00">
                  <c:v>1.3489099999999998</c:v>
                </c:pt>
                <c:pt idx="250" formatCode="0.00">
                  <c:v>1.3385499999999999</c:v>
                </c:pt>
                <c:pt idx="251" formatCode="0.00">
                  <c:v>1.3143</c:v>
                </c:pt>
                <c:pt idx="252" formatCode="0.00">
                  <c:v>1.3230199999999999</c:v>
                </c:pt>
                <c:pt idx="253" formatCode="0.00">
                  <c:v>1.32257</c:v>
                </c:pt>
                <c:pt idx="254" formatCode="0.00">
                  <c:v>1.34849</c:v>
                </c:pt>
                <c:pt idx="255" formatCode="0.00">
                  <c:v>1.3457300000000001</c:v>
                </c:pt>
                <c:pt idx="256" formatCode="0.00">
                  <c:v>1.35565</c:v>
                </c:pt>
                <c:pt idx="257" formatCode="0.00">
                  <c:v>1.35565</c:v>
                </c:pt>
                <c:pt idx="258" formatCode="0.00">
                  <c:v>1.3612700000000002</c:v>
                </c:pt>
                <c:pt idx="259" formatCode="0.00">
                  <c:v>1.3616599999999999</c:v>
                </c:pt>
                <c:pt idx="260" formatCode="0.00">
                  <c:v>1.34518</c:v>
                </c:pt>
                <c:pt idx="261" formatCode="0.00">
                  <c:v>1.3465100000000001</c:v>
                </c:pt>
                <c:pt idx="262" formatCode="0.00">
                  <c:v>1.3465100000000001</c:v>
                </c:pt>
                <c:pt idx="263" formatCode="0.00">
                  <c:v>1.3366499999999999</c:v>
                </c:pt>
                <c:pt idx="264" formatCode="0.00">
                  <c:v>1.3278800000000002</c:v>
                </c:pt>
                <c:pt idx="265" formatCode="0.00">
                  <c:v>1.3021400000000001</c:v>
                </c:pt>
                <c:pt idx="266" formatCode="0.00">
                  <c:v>1.3214699999999999</c:v>
                </c:pt>
                <c:pt idx="267" formatCode="0.00">
                  <c:v>1.3010699999999999</c:v>
                </c:pt>
                <c:pt idx="268" formatCode="0.00">
                  <c:v>1.2756799999999999</c:v>
                </c:pt>
                <c:pt idx="269" formatCode="0.00">
                  <c:v>1.2880199999999999</c:v>
                </c:pt>
                <c:pt idx="270" formatCode="0.00">
                  <c:v>1.3070900000000001</c:v>
                </c:pt>
                <c:pt idx="271" formatCode="0.00">
                  <c:v>1.27735</c:v>
                </c:pt>
                <c:pt idx="272" formatCode="0.00">
                  <c:v>1.3028</c:v>
                </c:pt>
                <c:pt idx="273" formatCode="0.00">
                  <c:v>1.3028</c:v>
                </c:pt>
                <c:pt idx="274" formatCode="0.00">
                  <c:v>1.27643</c:v>
                </c:pt>
                <c:pt idx="275" formatCode="0.00">
                  <c:v>1.26694</c:v>
                </c:pt>
                <c:pt idx="276" formatCode="0.00">
                  <c:v>1.27752</c:v>
                </c:pt>
                <c:pt idx="277" formatCode="0.00">
                  <c:v>1.3544100000000001</c:v>
                </c:pt>
                <c:pt idx="278" formatCode="0.00">
                  <c:v>1.3695300000000001</c:v>
                </c:pt>
                <c:pt idx="279" formatCode="0.00">
                  <c:v>1.3626400000000001</c:v>
                </c:pt>
                <c:pt idx="280" formatCode="0.00">
                  <c:v>1.34659</c:v>
                </c:pt>
                <c:pt idx="281" formatCode="0.00">
                  <c:v>1.3228599999999999</c:v>
                </c:pt>
                <c:pt idx="282" formatCode="0.00">
                  <c:v>1.3256600000000001</c:v>
                </c:pt>
                <c:pt idx="283" formatCode="0.00">
                  <c:v>1.3325899999999999</c:v>
                </c:pt>
                <c:pt idx="284" formatCode="0.00">
                  <c:v>1.3126100000000001</c:v>
                </c:pt>
                <c:pt idx="285" formatCode="0.00">
                  <c:v>1.3083600000000002</c:v>
                </c:pt>
                <c:pt idx="286" formatCode="0.00">
                  <c:v>1.2915000000000001</c:v>
                </c:pt>
                <c:pt idx="287" formatCode="0.00">
                  <c:v>1.26969</c:v>
                </c:pt>
                <c:pt idx="288" formatCode="0.00">
                  <c:v>1.2689900000000001</c:v>
                </c:pt>
                <c:pt idx="289" formatCode="0.00">
                  <c:v>1.2632099999999999</c:v>
                </c:pt>
                <c:pt idx="290" formatCode="0.00">
                  <c:v>1.27739</c:v>
                </c:pt>
                <c:pt idx="291" formatCode="0.00">
                  <c:v>1.2550400000000002</c:v>
                </c:pt>
                <c:pt idx="292" formatCode="0.00">
                  <c:v>1.2273799999999999</c:v>
                </c:pt>
                <c:pt idx="293" formatCode="0.00">
                  <c:v>1.2273799999999999</c:v>
                </c:pt>
                <c:pt idx="294" formatCode="0.00">
                  <c:v>1.1611899999999999</c:v>
                </c:pt>
                <c:pt idx="295" formatCode="0.00">
                  <c:v>1.1815900000000001</c:v>
                </c:pt>
                <c:pt idx="296" formatCode="0.00">
                  <c:v>1.1707799999999999</c:v>
                </c:pt>
                <c:pt idx="297" formatCode="0.00">
                  <c:v>1.1438999999999999</c:v>
                </c:pt>
                <c:pt idx="298" formatCode="0.00">
                  <c:v>1.15246</c:v>
                </c:pt>
                <c:pt idx="299" formatCode="0.00">
                  <c:v>1.16899</c:v>
                </c:pt>
                <c:pt idx="300" formatCode="0.00">
                  <c:v>1.1300400000000002</c:v>
                </c:pt>
                <c:pt idx="301" formatCode="0.00">
                  <c:v>1.01447</c:v>
                </c:pt>
                <c:pt idx="302" formatCode="0.00">
                  <c:v>1.0417799999999999</c:v>
                </c:pt>
                <c:pt idx="303" formatCode="0.00">
                  <c:v>1.0490600000000001</c:v>
                </c:pt>
                <c:pt idx="304" formatCode="0.00">
                  <c:v>1.08887</c:v>
                </c:pt>
                <c:pt idx="305" formatCode="0.00">
                  <c:v>1.0542400000000001</c:v>
                </c:pt>
                <c:pt idx="306" formatCode="0.00">
                  <c:v>1.02305</c:v>
                </c:pt>
                <c:pt idx="307" formatCode="0.00">
                  <c:v>1.1140000000000001</c:v>
                </c:pt>
                <c:pt idx="308" formatCode="0.00">
                  <c:v>1.13201</c:v>
                </c:pt>
                <c:pt idx="309" formatCode="0.00">
                  <c:v>1.14574</c:v>
                </c:pt>
                <c:pt idx="310" formatCode="0.00">
                  <c:v>1.1712499999999999</c:v>
                </c:pt>
                <c:pt idx="311" formatCode="0.00">
                  <c:v>1.1553100000000001</c:v>
                </c:pt>
                <c:pt idx="312" formatCode="0.00">
                  <c:v>1.16808</c:v>
                </c:pt>
                <c:pt idx="313" formatCode="0.00">
                  <c:v>1.1539700000000002</c:v>
                </c:pt>
                <c:pt idx="314" formatCode="0.00">
                  <c:v>1.1491</c:v>
                </c:pt>
                <c:pt idx="315" formatCode="0.00">
                  <c:v>1.2434399999999999</c:v>
                </c:pt>
                <c:pt idx="316" formatCode="0.00">
                  <c:v>1.2456</c:v>
                </c:pt>
                <c:pt idx="317" formatCode="0.00">
                  <c:v>1.24505</c:v>
                </c:pt>
                <c:pt idx="318" formatCode="0.00">
                  <c:v>1.25057</c:v>
                </c:pt>
                <c:pt idx="319" formatCode="0.00">
                  <c:v>1.3462200000000002</c:v>
                </c:pt>
                <c:pt idx="320" formatCode="0.00">
                  <c:v>1.3575999999999999</c:v>
                </c:pt>
                <c:pt idx="321" formatCode="0.00">
                  <c:v>1.3662200000000002</c:v>
                </c:pt>
                <c:pt idx="322" formatCode="0.00">
                  <c:v>1.3628299999999998</c:v>
                </c:pt>
                <c:pt idx="323" formatCode="0.00">
                  <c:v>1.3109500000000001</c:v>
                </c:pt>
                <c:pt idx="324" formatCode="0.00">
                  <c:v>1.3327600000000002</c:v>
                </c:pt>
                <c:pt idx="325" formatCode="0.00">
                  <c:v>1.29962</c:v>
                </c:pt>
                <c:pt idx="326" formatCode="0.00">
                  <c:v>1.3233199999999998</c:v>
                </c:pt>
                <c:pt idx="327" formatCode="0.00">
                  <c:v>1.3426199999999999</c:v>
                </c:pt>
                <c:pt idx="328" formatCode="0.00">
                  <c:v>1.2915100000000002</c:v>
                </c:pt>
                <c:pt idx="329" formatCode="0.00">
                  <c:v>1.3954599999999999</c:v>
                </c:pt>
                <c:pt idx="330" formatCode="0.00">
                  <c:v>1.4616800000000001</c:v>
                </c:pt>
                <c:pt idx="331" formatCode="0.00">
                  <c:v>1.4720199999999999</c:v>
                </c:pt>
                <c:pt idx="332" formatCode="0.00">
                  <c:v>1.47055</c:v>
                </c:pt>
                <c:pt idx="333" formatCode="0.00">
                  <c:v>1.4413900000000002</c:v>
                </c:pt>
                <c:pt idx="334" formatCode="0.00">
                  <c:v>1.4840100000000001</c:v>
                </c:pt>
                <c:pt idx="335" formatCode="0.00">
                  <c:v>1.4049700000000001</c:v>
                </c:pt>
                <c:pt idx="336" formatCode="0.00">
                  <c:v>1.4788999999999999</c:v>
                </c:pt>
                <c:pt idx="337" formatCode="0.00">
                  <c:v>1.2995400000000001</c:v>
                </c:pt>
                <c:pt idx="338" formatCode="0.00">
                  <c:v>1.2824899999999999</c:v>
                </c:pt>
                <c:pt idx="339" formatCode="0.00">
                  <c:v>1.3849799999999999</c:v>
                </c:pt>
                <c:pt idx="340" formatCode="0.00">
                  <c:v>1.36171</c:v>
                </c:pt>
                <c:pt idx="341" formatCode="0.00">
                  <c:v>1.2748999999999999</c:v>
                </c:pt>
                <c:pt idx="342" formatCode="0.00">
                  <c:v>1.2714000000000001</c:v>
                </c:pt>
                <c:pt idx="343" formatCode="0.00">
                  <c:v>1.2295099999999999</c:v>
                </c:pt>
                <c:pt idx="344" formatCode="0.00">
                  <c:v>1.21272</c:v>
                </c:pt>
                <c:pt idx="345" formatCode="0.00">
                  <c:v>1.22363</c:v>
                </c:pt>
                <c:pt idx="346" formatCode="0.00">
                  <c:v>1.1899</c:v>
                </c:pt>
                <c:pt idx="347" formatCode="0.00">
                  <c:v>1.19858</c:v>
                </c:pt>
                <c:pt idx="348" formatCode="0.00">
                  <c:v>1.2133</c:v>
                </c:pt>
                <c:pt idx="349" formatCode="0.00">
                  <c:v>1.20421</c:v>
                </c:pt>
                <c:pt idx="350" formatCode="0.00">
                  <c:v>1.20655</c:v>
                </c:pt>
                <c:pt idx="351" formatCode="0.00">
                  <c:v>1.15204</c:v>
                </c:pt>
                <c:pt idx="352" formatCode="0.00">
                  <c:v>1.17075</c:v>
                </c:pt>
                <c:pt idx="353" formatCode="0.00">
                  <c:v>1.1635800000000001</c:v>
                </c:pt>
                <c:pt idx="354" formatCode="0.00">
                  <c:v>1.1697499999999998</c:v>
                </c:pt>
                <c:pt idx="355" formatCode="0.00">
                  <c:v>1.1531100000000001</c:v>
                </c:pt>
                <c:pt idx="356" formatCode="0.00">
                  <c:v>1.1578200000000001</c:v>
                </c:pt>
                <c:pt idx="357" formatCode="0.00">
                  <c:v>1.13723</c:v>
                </c:pt>
                <c:pt idx="358" formatCode="0.00">
                  <c:v>1.13286</c:v>
                </c:pt>
                <c:pt idx="359" formatCode="0.00">
                  <c:v>1.14063</c:v>
                </c:pt>
                <c:pt idx="360" formatCode="0.00">
                  <c:v>1.12782</c:v>
                </c:pt>
                <c:pt idx="361" formatCode="0.00">
                  <c:v>1.13083</c:v>
                </c:pt>
                <c:pt idx="362" formatCode="0.00">
                  <c:v>1.1125499999999999</c:v>
                </c:pt>
                <c:pt idx="363" formatCode="0.00">
                  <c:v>1.12913</c:v>
                </c:pt>
                <c:pt idx="364" formatCode="0.00">
                  <c:v>1.1466400000000001</c:v>
                </c:pt>
                <c:pt idx="365" formatCode="0.00">
                  <c:v>1.1246400000000001</c:v>
                </c:pt>
                <c:pt idx="366" formatCode="0.00">
                  <c:v>1.0906</c:v>
                </c:pt>
                <c:pt idx="367" formatCode="0.00">
                  <c:v>1.11066</c:v>
                </c:pt>
                <c:pt idx="368" formatCode="0.00">
                  <c:v>1.11066</c:v>
                </c:pt>
                <c:pt idx="369" formatCode="0.00">
                  <c:v>1.07769</c:v>
                </c:pt>
                <c:pt idx="370" formatCode="0.00">
                  <c:v>1.08335</c:v>
                </c:pt>
                <c:pt idx="371" formatCode="0.00">
                  <c:v>1.05003</c:v>
                </c:pt>
                <c:pt idx="372" formatCode="0.00">
                  <c:v>1.1064700000000001</c:v>
                </c:pt>
                <c:pt idx="373" formatCode="0.00">
                  <c:v>1.0626800000000001</c:v>
                </c:pt>
                <c:pt idx="374" formatCode="0.00">
                  <c:v>1.0642499999999999</c:v>
                </c:pt>
                <c:pt idx="375" formatCode="0.00">
                  <c:v>1.0476999999999999</c:v>
                </c:pt>
                <c:pt idx="376" formatCode="0.00">
                  <c:v>1.05826</c:v>
                </c:pt>
                <c:pt idx="377" formatCode="0.00">
                  <c:v>1.0103599999999999</c:v>
                </c:pt>
                <c:pt idx="378" formatCode="0.00">
                  <c:v>0.98025999999999991</c:v>
                </c:pt>
                <c:pt idx="379" formatCode="0.00">
                  <c:v>0.97385999999999995</c:v>
                </c:pt>
                <c:pt idx="380" formatCode="0.00">
                  <c:v>0.98114000000000001</c:v>
                </c:pt>
                <c:pt idx="381" formatCode="0.00">
                  <c:v>0.92879999999999996</c:v>
                </c:pt>
                <c:pt idx="382" formatCode="0.00">
                  <c:v>0.90342</c:v>
                </c:pt>
                <c:pt idx="383" formatCode="0.00">
                  <c:v>0.88828000000000007</c:v>
                </c:pt>
                <c:pt idx="384" formatCode="0.00">
                  <c:v>0.92611999999999994</c:v>
                </c:pt>
                <c:pt idx="385" formatCode="0.00">
                  <c:v>0.91139999999999999</c:v>
                </c:pt>
                <c:pt idx="386" formatCode="0.00">
                  <c:v>0.90376999999999996</c:v>
                </c:pt>
                <c:pt idx="387" formatCode="0.00">
                  <c:v>0.88424999999999998</c:v>
                </c:pt>
                <c:pt idx="388" formatCode="0.00">
                  <c:v>0.90221999999999991</c:v>
                </c:pt>
                <c:pt idx="389" formatCode="0.00">
                  <c:v>0.8999299999999999</c:v>
                </c:pt>
                <c:pt idx="390" formatCode="0.00">
                  <c:v>0.93596999999999997</c:v>
                </c:pt>
                <c:pt idx="391" formatCode="0.00">
                  <c:v>0.90400999999999998</c:v>
                </c:pt>
                <c:pt idx="392" formatCode="0.00">
                  <c:v>0.93767999999999996</c:v>
                </c:pt>
                <c:pt idx="393" formatCode="0.00">
                  <c:v>0.93767999999999996</c:v>
                </c:pt>
                <c:pt idx="394" formatCode="0.00">
                  <c:v>0.98754000000000008</c:v>
                </c:pt>
                <c:pt idx="395" formatCode="0.00">
                  <c:v>1.00478</c:v>
                </c:pt>
                <c:pt idx="396" formatCode="0.00">
                  <c:v>1.0285599999999999</c:v>
                </c:pt>
                <c:pt idx="397" formatCode="0.00">
                  <c:v>0.98212999999999995</c:v>
                </c:pt>
                <c:pt idx="398" formatCode="0.00">
                  <c:v>0.96538999999999997</c:v>
                </c:pt>
                <c:pt idx="399" formatCode="0.00">
                  <c:v>0.92662999999999995</c:v>
                </c:pt>
                <c:pt idx="400" formatCode="0.00">
                  <c:v>0.96510999999999991</c:v>
                </c:pt>
                <c:pt idx="401" formatCode="0.00">
                  <c:v>0.97569000000000006</c:v>
                </c:pt>
                <c:pt idx="402" formatCode="0.00">
                  <c:v>0.97156000000000009</c:v>
                </c:pt>
                <c:pt idx="403" formatCode="0.00">
                  <c:v>1.04376</c:v>
                </c:pt>
                <c:pt idx="404" formatCode="0.00">
                  <c:v>1.0313099999999999</c:v>
                </c:pt>
                <c:pt idx="405" formatCode="0.00">
                  <c:v>0.97987999999999997</c:v>
                </c:pt>
                <c:pt idx="406" formatCode="0.00">
                  <c:v>1.00248</c:v>
                </c:pt>
                <c:pt idx="407" formatCode="0.00">
                  <c:v>0.99682000000000004</c:v>
                </c:pt>
                <c:pt idx="408" formatCode="0.00">
                  <c:v>0.9863599999999999</c:v>
                </c:pt>
                <c:pt idx="409" formatCode="0.00">
                  <c:v>1.00909</c:v>
                </c:pt>
                <c:pt idx="410" formatCode="0.00">
                  <c:v>1.01807</c:v>
                </c:pt>
                <c:pt idx="411" formatCode="0.00">
                  <c:v>0.98673</c:v>
                </c:pt>
                <c:pt idx="412" formatCode="0.00">
                  <c:v>1.0119199999999999</c:v>
                </c:pt>
                <c:pt idx="413" formatCode="0.00">
                  <c:v>1.0228900000000001</c:v>
                </c:pt>
                <c:pt idx="414" formatCode="0.00">
                  <c:v>1.0233400000000001</c:v>
                </c:pt>
                <c:pt idx="415" formatCode="0.00">
                  <c:v>0.97641</c:v>
                </c:pt>
                <c:pt idx="416" formatCode="0.00">
                  <c:v>0.92413000000000001</c:v>
                </c:pt>
                <c:pt idx="417" formatCode="0.00">
                  <c:v>0.88919999999999999</c:v>
                </c:pt>
                <c:pt idx="418" formatCode="0.00">
                  <c:v>0.88066</c:v>
                </c:pt>
                <c:pt idx="419" formatCode="0.00">
                  <c:v>0.84484999999999999</c:v>
                </c:pt>
                <c:pt idx="420" formatCode="0.00">
                  <c:v>0.87222</c:v>
                </c:pt>
                <c:pt idx="421" formatCode="0.00">
                  <c:v>0.84758</c:v>
                </c:pt>
                <c:pt idx="422" formatCode="0.00">
                  <c:v>0.92254999999999998</c:v>
                </c:pt>
                <c:pt idx="423" formatCode="0.00">
                  <c:v>0.93692999999999993</c:v>
                </c:pt>
                <c:pt idx="424" formatCode="0.00">
                  <c:v>0.93221999999999994</c:v>
                </c:pt>
                <c:pt idx="425" formatCode="0.00">
                  <c:v>0.90513999999999994</c:v>
                </c:pt>
                <c:pt idx="426" formatCode="0.00">
                  <c:v>0.92793000000000003</c:v>
                </c:pt>
                <c:pt idx="427" formatCode="0.00">
                  <c:v>0.90651999999999999</c:v>
                </c:pt>
                <c:pt idx="428" formatCode="0.00">
                  <c:v>0.91410999999999998</c:v>
                </c:pt>
                <c:pt idx="429" formatCode="0.00">
                  <c:v>0.91790000000000005</c:v>
                </c:pt>
                <c:pt idx="430" formatCode="0.00">
                  <c:v>0.89032</c:v>
                </c:pt>
                <c:pt idx="431" formatCode="0.00">
                  <c:v>0.88694999999999991</c:v>
                </c:pt>
                <c:pt idx="432" formatCode="0.00">
                  <c:v>0.95212999999999992</c:v>
                </c:pt>
                <c:pt idx="433" formatCode="0.00">
                  <c:v>0.95111999999999997</c:v>
                </c:pt>
                <c:pt idx="434" formatCode="0.00">
                  <c:v>0.96674000000000004</c:v>
                </c:pt>
                <c:pt idx="435" formatCode="0.00">
                  <c:v>0.95513000000000003</c:v>
                </c:pt>
                <c:pt idx="436" formatCode="0.00">
                  <c:v>0.93589</c:v>
                </c:pt>
                <c:pt idx="437" formatCode="0.00">
                  <c:v>0.94983000000000006</c:v>
                </c:pt>
                <c:pt idx="438" formatCode="0.00">
                  <c:v>0.94983000000000006</c:v>
                </c:pt>
                <c:pt idx="439" formatCode="0.00">
                  <c:v>0.93507999999999991</c:v>
                </c:pt>
                <c:pt idx="440" formatCode="0.00">
                  <c:v>0.9355</c:v>
                </c:pt>
                <c:pt idx="441" formatCode="0.00">
                  <c:v>0.94218000000000002</c:v>
                </c:pt>
                <c:pt idx="442" formatCode="0.00">
                  <c:v>0.92808000000000002</c:v>
                </c:pt>
                <c:pt idx="443" formatCode="0.00">
                  <c:v>0.92986000000000002</c:v>
                </c:pt>
                <c:pt idx="444" formatCode="0.00">
                  <c:v>0.93988000000000005</c:v>
                </c:pt>
                <c:pt idx="445" formatCode="0.00">
                  <c:v>0.92066000000000003</c:v>
                </c:pt>
                <c:pt idx="446" formatCode="0.00">
                  <c:v>0.90119000000000005</c:v>
                </c:pt>
                <c:pt idx="447" formatCode="0.00">
                  <c:v>0.87095</c:v>
                </c:pt>
                <c:pt idx="448" formatCode="0.00">
                  <c:v>0.93998999999999999</c:v>
                </c:pt>
                <c:pt idx="449" formatCode="0.00">
                  <c:v>0.90965999999999991</c:v>
                </c:pt>
                <c:pt idx="450" formatCode="0.00">
                  <c:v>0.88519999999999999</c:v>
                </c:pt>
                <c:pt idx="451" formatCode="0.00">
                  <c:v>0.83223000000000003</c:v>
                </c:pt>
                <c:pt idx="452" formatCode="0.00">
                  <c:v>0.84513000000000005</c:v>
                </c:pt>
                <c:pt idx="453" formatCode="0.00">
                  <c:v>0.85816000000000003</c:v>
                </c:pt>
                <c:pt idx="454" formatCode="0.00">
                  <c:v>0.87982000000000005</c:v>
                </c:pt>
                <c:pt idx="455" formatCode="0.00">
                  <c:v>0.87948999999999999</c:v>
                </c:pt>
                <c:pt idx="456" formatCode="0.00">
                  <c:v>0.89846000000000004</c:v>
                </c:pt>
                <c:pt idx="457" formatCode="0.00">
                  <c:v>0.96230000000000004</c:v>
                </c:pt>
                <c:pt idx="458" formatCode="0.00">
                  <c:v>0.96703000000000006</c:v>
                </c:pt>
                <c:pt idx="459" formatCode="0.00">
                  <c:v>0.96394999999999997</c:v>
                </c:pt>
                <c:pt idx="460" formatCode="0.00">
                  <c:v>0.98258999999999996</c:v>
                </c:pt>
                <c:pt idx="461" formatCode="0.00">
                  <c:v>0.92618</c:v>
                </c:pt>
                <c:pt idx="462" formatCode="0.00">
                  <c:v>0.90182000000000007</c:v>
                </c:pt>
                <c:pt idx="463" formatCode="0.00">
                  <c:v>0.90182000000000007</c:v>
                </c:pt>
                <c:pt idx="464" formatCode="0.00">
                  <c:v>0.86907000000000001</c:v>
                </c:pt>
                <c:pt idx="465" formatCode="0.00">
                  <c:v>0.83751000000000009</c:v>
                </c:pt>
                <c:pt idx="466" formatCode="0.00">
                  <c:v>0.83069000000000004</c:v>
                </c:pt>
                <c:pt idx="467" formatCode="0.00">
                  <c:v>0.78727000000000003</c:v>
                </c:pt>
                <c:pt idx="468" formatCode="0.00">
                  <c:v>0.77048000000000005</c:v>
                </c:pt>
                <c:pt idx="469" formatCode="0.00">
                  <c:v>0.77418999999999993</c:v>
                </c:pt>
                <c:pt idx="470" formatCode="0.00">
                  <c:v>0.77319999999999989</c:v>
                </c:pt>
                <c:pt idx="471" formatCode="0.00">
                  <c:v>0.73796000000000006</c:v>
                </c:pt>
                <c:pt idx="472" formatCode="0.00">
                  <c:v>0.73605000000000009</c:v>
                </c:pt>
                <c:pt idx="473" formatCode="0.00">
                  <c:v>0.76885000000000003</c:v>
                </c:pt>
                <c:pt idx="474" formatCode="0.00">
                  <c:v>0.75296000000000007</c:v>
                </c:pt>
                <c:pt idx="475" formatCode="0.00">
                  <c:v>0.77299000000000007</c:v>
                </c:pt>
                <c:pt idx="476" formatCode="0.00">
                  <c:v>0.75422</c:v>
                </c:pt>
                <c:pt idx="477" formatCode="0.00">
                  <c:v>0.73358999999999996</c:v>
                </c:pt>
                <c:pt idx="478" formatCode="0.00">
                  <c:v>0.75078</c:v>
                </c:pt>
                <c:pt idx="479" formatCode="0.00">
                  <c:v>0.78992999999999991</c:v>
                </c:pt>
                <c:pt idx="480" formatCode="0.00">
                  <c:v>0.74641000000000002</c:v>
                </c:pt>
                <c:pt idx="481" formatCode="0.00">
                  <c:v>0.81039000000000005</c:v>
                </c:pt>
                <c:pt idx="482" formatCode="0.00">
                  <c:v>0.82191999999999998</c:v>
                </c:pt>
                <c:pt idx="483" formatCode="0.00">
                  <c:v>0.76600999999999997</c:v>
                </c:pt>
                <c:pt idx="484" formatCode="0.00">
                  <c:v>0.8012999999999999</c:v>
                </c:pt>
                <c:pt idx="485" formatCode="0.00">
                  <c:v>0.68713999999999997</c:v>
                </c:pt>
                <c:pt idx="486" formatCode="0.00">
                  <c:v>0.68713999999999997</c:v>
                </c:pt>
                <c:pt idx="487" formatCode="0.00">
                  <c:v>0.74007000000000001</c:v>
                </c:pt>
                <c:pt idx="488" formatCode="0.00">
                  <c:v>0.81523999999999996</c:v>
                </c:pt>
                <c:pt idx="489" formatCode="0.00">
                  <c:v>0.89347999999999994</c:v>
                </c:pt>
                <c:pt idx="490" formatCode="0.00">
                  <c:v>0.94370999999999994</c:v>
                </c:pt>
                <c:pt idx="491" formatCode="0.00">
                  <c:v>0.92500000000000004</c:v>
                </c:pt>
                <c:pt idx="492" formatCode="0.00">
                  <c:v>0.97438000000000002</c:v>
                </c:pt>
                <c:pt idx="493" formatCode="0.00">
                  <c:v>0.97694000000000003</c:v>
                </c:pt>
                <c:pt idx="494" formatCode="0.00">
                  <c:v>1.0660499999999999</c:v>
                </c:pt>
                <c:pt idx="495" formatCode="0.00">
                  <c:v>1.0766800000000001</c:v>
                </c:pt>
                <c:pt idx="496" formatCode="0.00">
                  <c:v>1.0766800000000001</c:v>
                </c:pt>
                <c:pt idx="497" formatCode="0.00">
                  <c:v>1.2513800000000002</c:v>
                </c:pt>
                <c:pt idx="498" formatCode="0.00">
                  <c:v>1.2319</c:v>
                </c:pt>
                <c:pt idx="499" formatCode="0.00">
                  <c:v>1.19364</c:v>
                </c:pt>
                <c:pt idx="500" formatCode="0.00">
                  <c:v>1.1412500000000001</c:v>
                </c:pt>
                <c:pt idx="501" formatCode="0.00">
                  <c:v>1.1028100000000001</c:v>
                </c:pt>
                <c:pt idx="502" formatCode="0.00">
                  <c:v>1.1194999999999999</c:v>
                </c:pt>
                <c:pt idx="503" formatCode="0.00">
                  <c:v>1.0853700000000002</c:v>
                </c:pt>
                <c:pt idx="504" formatCode="0.00">
                  <c:v>1.0964100000000001</c:v>
                </c:pt>
                <c:pt idx="505" formatCode="0.00">
                  <c:v>1.0651600000000001</c:v>
                </c:pt>
                <c:pt idx="506" formatCode="0.00">
                  <c:v>1.1270800000000001</c:v>
                </c:pt>
                <c:pt idx="507" formatCode="0.00">
                  <c:v>1.1518699999999999</c:v>
                </c:pt>
                <c:pt idx="508" formatCode="0.00">
                  <c:v>1.1522399999999999</c:v>
                </c:pt>
                <c:pt idx="509" formatCode="0.00">
                  <c:v>1.13781</c:v>
                </c:pt>
                <c:pt idx="510" formatCode="0.00">
                  <c:v>1.1369499999999999</c:v>
                </c:pt>
                <c:pt idx="511" formatCode="0.00">
                  <c:v>1.19926</c:v>
                </c:pt>
                <c:pt idx="512" formatCode="0.00">
                  <c:v>1.2567300000000001</c:v>
                </c:pt>
                <c:pt idx="513" formatCode="0.00">
                  <c:v>1.2959499999999999</c:v>
                </c:pt>
                <c:pt idx="514" formatCode="0.00">
                  <c:v>1.26237</c:v>
                </c:pt>
                <c:pt idx="515" formatCode="0.00">
                  <c:v>1.2632299999999999</c:v>
                </c:pt>
                <c:pt idx="516" formatCode="0.00">
                  <c:v>1.22611</c:v>
                </c:pt>
                <c:pt idx="517" formatCode="0.00">
                  <c:v>1.22611</c:v>
                </c:pt>
                <c:pt idx="518" formatCode="0.00">
                  <c:v>1.2047300000000001</c:v>
                </c:pt>
                <c:pt idx="519" formatCode="0.00">
                  <c:v>1.22255</c:v>
                </c:pt>
                <c:pt idx="520" formatCode="0.00">
                  <c:v>1.20099</c:v>
                </c:pt>
                <c:pt idx="521" formatCode="0.00">
                  <c:v>1.2072400000000001</c:v>
                </c:pt>
                <c:pt idx="522" formatCode="0.00">
                  <c:v>1.21576</c:v>
                </c:pt>
                <c:pt idx="523" formatCode="0.00">
                  <c:v>1.1177599999999999</c:v>
                </c:pt>
                <c:pt idx="524" formatCode="0.00">
                  <c:v>1.14489</c:v>
                </c:pt>
                <c:pt idx="525" formatCode="0.00">
                  <c:v>1.12616</c:v>
                </c:pt>
                <c:pt idx="526" formatCode="0.00">
                  <c:v>1.15865</c:v>
                </c:pt>
                <c:pt idx="527" formatCode="0.00">
                  <c:v>1.16269</c:v>
                </c:pt>
                <c:pt idx="528" formatCode="0.00">
                  <c:v>1.17763</c:v>
                </c:pt>
                <c:pt idx="529" formatCode="0.00">
                  <c:v>1.1904999999999999</c:v>
                </c:pt>
                <c:pt idx="530" formatCode="0.00">
                  <c:v>1.2314499999999999</c:v>
                </c:pt>
                <c:pt idx="531" formatCode="0.00">
                  <c:v>1.6435900000000001</c:v>
                </c:pt>
                <c:pt idx="532" formatCode="0.00">
                  <c:v>1.7657700000000001</c:v>
                </c:pt>
                <c:pt idx="533" formatCode="0.00">
                  <c:v>1.7657700000000001</c:v>
                </c:pt>
                <c:pt idx="534" formatCode="0.00">
                  <c:v>1.9993799999999999</c:v>
                </c:pt>
                <c:pt idx="535" formatCode="0.00">
                  <c:v>1.9367699999999999</c:v>
                </c:pt>
                <c:pt idx="536" formatCode="0.00">
                  <c:v>2.2032499999999997</c:v>
                </c:pt>
                <c:pt idx="537" formatCode="0.00">
                  <c:v>2.2304400000000002</c:v>
                </c:pt>
                <c:pt idx="538" formatCode="0.00">
                  <c:v>2.7455799999999999</c:v>
                </c:pt>
                <c:pt idx="539" formatCode="0.00">
                  <c:v>2.7726600000000001</c:v>
                </c:pt>
                <c:pt idx="540" formatCode="0.00">
                  <c:v>2.7239400000000002</c:v>
                </c:pt>
                <c:pt idx="541" formatCode="0.00">
                  <c:v>2.3586499999999999</c:v>
                </c:pt>
                <c:pt idx="542" formatCode="0.00">
                  <c:v>2.43479</c:v>
                </c:pt>
                <c:pt idx="543" formatCode="0.00">
                  <c:v>2.4304299999999999</c:v>
                </c:pt>
                <c:pt idx="544" formatCode="0.00">
                  <c:v>2.3466</c:v>
                </c:pt>
                <c:pt idx="545" formatCode="0.00">
                  <c:v>2.20174</c:v>
                </c:pt>
                <c:pt idx="546" formatCode="0.00">
                  <c:v>2.1383000000000001</c:v>
                </c:pt>
                <c:pt idx="547" formatCode="0.00">
                  <c:v>1.98726</c:v>
                </c:pt>
                <c:pt idx="548" formatCode="0.00">
                  <c:v>1.9875100000000001</c:v>
                </c:pt>
                <c:pt idx="549" formatCode="0.00">
                  <c:v>1.925</c:v>
                </c:pt>
                <c:pt idx="550" formatCode="0.00">
                  <c:v>1.7370300000000001</c:v>
                </c:pt>
                <c:pt idx="551" formatCode="0.00">
                  <c:v>1.6346400000000001</c:v>
                </c:pt>
                <c:pt idx="552" formatCode="0.00">
                  <c:v>1.8888999999999998</c:v>
                </c:pt>
                <c:pt idx="553" formatCode="0.00">
                  <c:v>2.3236699999999999</c:v>
                </c:pt>
                <c:pt idx="554" formatCode="0.00">
                  <c:v>1.97614</c:v>
                </c:pt>
                <c:pt idx="555" formatCode="0.00">
                  <c:v>1.9302600000000001</c:v>
                </c:pt>
                <c:pt idx="556" formatCode="0.00">
                  <c:v>2.25203</c:v>
                </c:pt>
                <c:pt idx="557" formatCode="0.00">
                  <c:v>2.5190299999999999</c:v>
                </c:pt>
                <c:pt idx="558" formatCode="0.00">
                  <c:v>2.5190299999999999</c:v>
                </c:pt>
                <c:pt idx="559" formatCode="0.00">
                  <c:v>3.6221800000000002</c:v>
                </c:pt>
                <c:pt idx="560" formatCode="0.00">
                  <c:v>4.9969799999999998</c:v>
                </c:pt>
                <c:pt idx="561" formatCode="0.00">
                  <c:v>14.724210000000001</c:v>
                </c:pt>
                <c:pt idx="562" formatCode="0.00">
                  <c:v>8.110990000000001</c:v>
                </c:pt>
                <c:pt idx="563" formatCode="0.00">
                  <c:v>25.649630000000002</c:v>
                </c:pt>
                <c:pt idx="564" formatCode="0.00">
                  <c:v>49.218140000000005</c:v>
                </c:pt>
                <c:pt idx="565" formatCode="0.00">
                  <c:v>49.218140000000005</c:v>
                </c:pt>
                <c:pt idx="566" formatCode="0.00">
                  <c:v>49.218140000000005</c:v>
                </c:pt>
                <c:pt idx="567" formatCode="0.00">
                  <c:v>49.218140000000005</c:v>
                </c:pt>
                <c:pt idx="568" formatCode="0.00">
                  <c:v>49.218140000000005</c:v>
                </c:pt>
                <c:pt idx="569" formatCode="0.00">
                  <c:v>49.218140000000005</c:v>
                </c:pt>
                <c:pt idx="570" formatCode="0.00">
                  <c:v>49.218140000000005</c:v>
                </c:pt>
                <c:pt idx="571" formatCode="0.00">
                  <c:v>49.218140000000005</c:v>
                </c:pt>
                <c:pt idx="572" formatCode="0.00">
                  <c:v>49.218140000000005</c:v>
                </c:pt>
                <c:pt idx="573" formatCode="0.00">
                  <c:v>49.218140000000005</c:v>
                </c:pt>
                <c:pt idx="574" formatCode="0.00">
                  <c:v>49.218140000000005</c:v>
                </c:pt>
                <c:pt idx="575" formatCode="0.00">
                  <c:v>49.218140000000005</c:v>
                </c:pt>
                <c:pt idx="576" formatCode="0.00">
                  <c:v>49.218140000000005</c:v>
                </c:pt>
                <c:pt idx="577" formatCode="0.00">
                  <c:v>49.218140000000005</c:v>
                </c:pt>
                <c:pt idx="578" formatCode="0.00">
                  <c:v>49.218140000000005</c:v>
                </c:pt>
                <c:pt idx="579" formatCode="0.00">
                  <c:v>49.218140000000005</c:v>
                </c:pt>
                <c:pt idx="580" formatCode="0.00">
                  <c:v>52.579099999999997</c:v>
                </c:pt>
                <c:pt idx="581" formatCode="0.00">
                  <c:v>57.533100000000005</c:v>
                </c:pt>
                <c:pt idx="582" formatCode="0.00">
                  <c:v>53.965260000000001</c:v>
                </c:pt>
                <c:pt idx="583" formatCode="0.00">
                  <c:v>50.679790000000004</c:v>
                </c:pt>
                <c:pt idx="584" formatCode="0.00">
                  <c:v>45.30312</c:v>
                </c:pt>
                <c:pt idx="585" formatCode="0.00">
                  <c:v>41.054849999999995</c:v>
                </c:pt>
                <c:pt idx="586" formatCode="0.00">
                  <c:v>41.214669999999998</c:v>
                </c:pt>
                <c:pt idx="587" formatCode="0.00">
                  <c:v>41.142110000000002</c:v>
                </c:pt>
                <c:pt idx="588" formatCode="0.00">
                  <c:v>41.267290000000003</c:v>
                </c:pt>
                <c:pt idx="589" formatCode="0.00">
                  <c:v>50.943450000000006</c:v>
                </c:pt>
                <c:pt idx="590" formatCode="0.00">
                  <c:v>51.736040000000003</c:v>
                </c:pt>
                <c:pt idx="591" formatCode="0.00">
                  <c:v>53.546120000000002</c:v>
                </c:pt>
                <c:pt idx="592" formatCode="0.00">
                  <c:v>52.77854</c:v>
                </c:pt>
                <c:pt idx="593" formatCode="0.00">
                  <c:v>51.708069999999999</c:v>
                </c:pt>
                <c:pt idx="594" formatCode="0.00">
                  <c:v>53.21651</c:v>
                </c:pt>
                <c:pt idx="595" formatCode="0.00">
                  <c:v>50.911880000000004</c:v>
                </c:pt>
                <c:pt idx="596" formatCode="0.00">
                  <c:v>50.567929999999997</c:v>
                </c:pt>
                <c:pt idx="597" formatCode="0.00">
                  <c:v>50.567929999999997</c:v>
                </c:pt>
                <c:pt idx="598" formatCode="0.00">
                  <c:v>50.577939999999998</c:v>
                </c:pt>
                <c:pt idx="599" formatCode="0.00">
                  <c:v>50.711629999999992</c:v>
                </c:pt>
                <c:pt idx="600" formatCode="0.00">
                  <c:v>50.731760000000001</c:v>
                </c:pt>
                <c:pt idx="601" formatCode="0.00">
                  <c:v>50.684629999999999</c:v>
                </c:pt>
                <c:pt idx="602" formatCode="0.00">
                  <c:v>50.866430000000001</c:v>
                </c:pt>
                <c:pt idx="603" formatCode="0.00">
                  <c:v>50.633620000000001</c:v>
                </c:pt>
                <c:pt idx="604" formatCode="0.00">
                  <c:v>53.132640000000002</c:v>
                </c:pt>
                <c:pt idx="605" formatCode="0.00">
                  <c:v>53.867010000000001</c:v>
                </c:pt>
                <c:pt idx="606" formatCode="0.00">
                  <c:v>53.279629999999997</c:v>
                </c:pt>
                <c:pt idx="607" formatCode="0.00">
                  <c:v>44.208930000000002</c:v>
                </c:pt>
                <c:pt idx="608" formatCode="0.00">
                  <c:v>44.191510000000001</c:v>
                </c:pt>
                <c:pt idx="609" formatCode="0.00">
                  <c:v>41.63505</c:v>
                </c:pt>
                <c:pt idx="610" formatCode="0.00">
                  <c:v>43.542189999999998</c:v>
                </c:pt>
                <c:pt idx="611" formatCode="0.00">
                  <c:v>42.398230000000005</c:v>
                </c:pt>
                <c:pt idx="612" formatCode="0.00">
                  <c:v>39.817910000000005</c:v>
                </c:pt>
                <c:pt idx="613" formatCode="0.00">
                  <c:v>42.458580000000005</c:v>
                </c:pt>
                <c:pt idx="614" formatCode="0.00">
                  <c:v>40.670500000000004</c:v>
                </c:pt>
                <c:pt idx="615" formatCode="0.00">
                  <c:v>43.081510000000002</c:v>
                </c:pt>
                <c:pt idx="616" formatCode="0.00">
                  <c:v>44.137740000000001</c:v>
                </c:pt>
                <c:pt idx="617" formatCode="0.00">
                  <c:v>44.447009999999999</c:v>
                </c:pt>
                <c:pt idx="618" formatCode="0.00">
                  <c:v>44.981499999999997</c:v>
                </c:pt>
                <c:pt idx="619" formatCode="0.00">
                  <c:v>46.474889999999995</c:v>
                </c:pt>
                <c:pt idx="620" formatCode="0.00">
                  <c:v>61.313329999999993</c:v>
                </c:pt>
                <c:pt idx="621" formatCode="0.00">
                  <c:v>60.832810000000002</c:v>
                </c:pt>
                <c:pt idx="622" formatCode="0.00">
                  <c:v>61.101649999999999</c:v>
                </c:pt>
                <c:pt idx="623" formatCode="0.00">
                  <c:v>58.408280000000005</c:v>
                </c:pt>
                <c:pt idx="624" formatCode="0.00">
                  <c:v>58.421310000000005</c:v>
                </c:pt>
                <c:pt idx="625" formatCode="0.00">
                  <c:v>59.839570000000002</c:v>
                </c:pt>
                <c:pt idx="626" formatCode="0.00">
                  <c:v>59.973700000000001</c:v>
                </c:pt>
                <c:pt idx="627" formatCode="0.00">
                  <c:v>58.752459999999999</c:v>
                </c:pt>
                <c:pt idx="628" formatCode="0.00">
                  <c:v>58.752459999999999</c:v>
                </c:pt>
                <c:pt idx="629" formatCode="0.00">
                  <c:v>58.928570000000001</c:v>
                </c:pt>
                <c:pt idx="630" formatCode="0.00">
                  <c:v>57.970749999999995</c:v>
                </c:pt>
                <c:pt idx="631" formatCode="0.00">
                  <c:v>57.698059999999998</c:v>
                </c:pt>
                <c:pt idx="632" formatCode="0.00">
                  <c:v>57.759350000000005</c:v>
                </c:pt>
                <c:pt idx="633" formatCode="0.00">
                  <c:v>58.083469999999998</c:v>
                </c:pt>
                <c:pt idx="634" formatCode="0.00">
                  <c:v>57.638959999999997</c:v>
                </c:pt>
                <c:pt idx="635" formatCode="0.00">
                  <c:v>58.19388</c:v>
                </c:pt>
                <c:pt idx="636" formatCode="0.00">
                  <c:v>58.993879999999997</c:v>
                </c:pt>
                <c:pt idx="637" formatCode="0.00">
                  <c:v>59.381099999999996</c:v>
                </c:pt>
                <c:pt idx="638" formatCode="0.00">
                  <c:v>59.523649999999996</c:v>
                </c:pt>
                <c:pt idx="639" formatCode="0.00">
                  <c:v>59.14228</c:v>
                </c:pt>
                <c:pt idx="640" formatCode="0.00">
                  <c:v>59.465649999999997</c:v>
                </c:pt>
                <c:pt idx="641" formatCode="0.00">
                  <c:v>59.229279999999996</c:v>
                </c:pt>
                <c:pt idx="642" formatCode="0.00">
                  <c:v>58.525389999999994</c:v>
                </c:pt>
                <c:pt idx="643" formatCode="0.00">
                  <c:v>58.525389999999994</c:v>
                </c:pt>
                <c:pt idx="644" formatCode="0.00">
                  <c:v>58.340490000000003</c:v>
                </c:pt>
                <c:pt idx="645" formatCode="0.00">
                  <c:v>58.103259999999999</c:v>
                </c:pt>
                <c:pt idx="646" formatCode="0.00">
                  <c:v>58.672309999999996</c:v>
                </c:pt>
                <c:pt idx="647" formatCode="0.00">
                  <c:v>58.67398</c:v>
                </c:pt>
                <c:pt idx="648" formatCode="0.00">
                  <c:v>58.564549999999997</c:v>
                </c:pt>
                <c:pt idx="649" formatCode="0.00">
                  <c:v>55.100469999999994</c:v>
                </c:pt>
                <c:pt idx="650" formatCode="0.00">
                  <c:v>55.368079999999999</c:v>
                </c:pt>
                <c:pt idx="651" formatCode="0.00">
                  <c:v>43.901350000000001</c:v>
                </c:pt>
                <c:pt idx="652" formatCode="0.00">
                  <c:v>48.270569999999999</c:v>
                </c:pt>
                <c:pt idx="653" formatCode="0.00">
                  <c:v>48.270569999999999</c:v>
                </c:pt>
                <c:pt idx="654" formatCode="0.00">
                  <c:v>48.51099</c:v>
                </c:pt>
                <c:pt idx="655" formatCode="0.00">
                  <c:v>47.106450000000002</c:v>
                </c:pt>
                <c:pt idx="656" formatCode="0.00">
                  <c:v>47.111270000000005</c:v>
                </c:pt>
                <c:pt idx="657" formatCode="0.00">
                  <c:v>40.390610000000002</c:v>
                </c:pt>
                <c:pt idx="658" formatCode="0.00">
                  <c:v>40.286120000000004</c:v>
                </c:pt>
                <c:pt idx="659" formatCode="0.00">
                  <c:v>40.161140000000003</c:v>
                </c:pt>
                <c:pt idx="660" formatCode="0.00">
                  <c:v>40.20382</c:v>
                </c:pt>
                <c:pt idx="661" formatCode="0.00">
                  <c:v>40.244549999999997</c:v>
                </c:pt>
                <c:pt idx="662" formatCode="0.00">
                  <c:v>40.26191</c:v>
                </c:pt>
                <c:pt idx="663" formatCode="0.00">
                  <c:v>37.100059999999999</c:v>
                </c:pt>
                <c:pt idx="664" formatCode="0.00">
                  <c:v>36.754739999999998</c:v>
                </c:pt>
                <c:pt idx="665" formatCode="0.00">
                  <c:v>35.27946</c:v>
                </c:pt>
                <c:pt idx="666" formatCode="0.00">
                  <c:v>34.702559999999998</c:v>
                </c:pt>
                <c:pt idx="667" formatCode="0.00">
                  <c:v>32.952350000000003</c:v>
                </c:pt>
                <c:pt idx="668" formatCode="0.00">
                  <c:v>33.151649999999997</c:v>
                </c:pt>
                <c:pt idx="669" formatCode="0.00">
                  <c:v>30.21163</c:v>
                </c:pt>
                <c:pt idx="670" formatCode="0.00">
                  <c:v>29.637199999999996</c:v>
                </c:pt>
                <c:pt idx="671" formatCode="0.00">
                  <c:v>29.372730000000001</c:v>
                </c:pt>
                <c:pt idx="672" formatCode="0.00">
                  <c:v>29.490859999999998</c:v>
                </c:pt>
                <c:pt idx="673" formatCode="0.00">
                  <c:v>29.251529999999999</c:v>
                </c:pt>
                <c:pt idx="674" formatCode="0.00">
                  <c:v>28.995450000000002</c:v>
                </c:pt>
                <c:pt idx="675" formatCode="0.00">
                  <c:v>29.101140000000001</c:v>
                </c:pt>
                <c:pt idx="676" formatCode="0.00">
                  <c:v>27.27739</c:v>
                </c:pt>
                <c:pt idx="677" formatCode="0.00">
                  <c:v>25.740089999999999</c:v>
                </c:pt>
                <c:pt idx="678" formatCode="0.00">
                  <c:v>25.716049999999999</c:v>
                </c:pt>
                <c:pt idx="679" formatCode="0.00">
                  <c:v>25.635900000000003</c:v>
                </c:pt>
                <c:pt idx="680" formatCode="0.00">
                  <c:v>25.678060000000002</c:v>
                </c:pt>
                <c:pt idx="681" formatCode="0.00">
                  <c:v>24.949140000000003</c:v>
                </c:pt>
                <c:pt idx="682" formatCode="0.00">
                  <c:v>24.92089</c:v>
                </c:pt>
                <c:pt idx="683" formatCode="0.00">
                  <c:v>24.613119999999999</c:v>
                </c:pt>
                <c:pt idx="684" formatCode="0.00">
                  <c:v>26.090439999999997</c:v>
                </c:pt>
                <c:pt idx="685" formatCode="0.00">
                  <c:v>26.018449999999998</c:v>
                </c:pt>
                <c:pt idx="686" formatCode="0.00">
                  <c:v>25.171700000000001</c:v>
                </c:pt>
                <c:pt idx="687" formatCode="0.00">
                  <c:v>26.15569</c:v>
                </c:pt>
                <c:pt idx="688" formatCode="0.00">
                  <c:v>25.89696</c:v>
                </c:pt>
                <c:pt idx="689" formatCode="0.00">
                  <c:v>25.332420000000003</c:v>
                </c:pt>
                <c:pt idx="690" formatCode="0.00">
                  <c:v>25.597809999999999</c:v>
                </c:pt>
                <c:pt idx="691" formatCode="0.00">
                  <c:v>25.00759</c:v>
                </c:pt>
                <c:pt idx="692" formatCode="0.00">
                  <c:v>24.756770000000003</c:v>
                </c:pt>
                <c:pt idx="693" formatCode="0.00">
                  <c:v>24.642779999999998</c:v>
                </c:pt>
                <c:pt idx="694" formatCode="0.00">
                  <c:v>25.05997</c:v>
                </c:pt>
                <c:pt idx="695" formatCode="0.00">
                  <c:v>24.571770000000001</c:v>
                </c:pt>
                <c:pt idx="696" formatCode="0.00">
                  <c:v>24.614930000000001</c:v>
                </c:pt>
                <c:pt idx="697" formatCode="0.00">
                  <c:v>25.363690000000002</c:v>
                </c:pt>
                <c:pt idx="698" formatCode="0.00">
                  <c:v>25.363690000000002</c:v>
                </c:pt>
                <c:pt idx="699" formatCode="0.00">
                  <c:v>25.30209</c:v>
                </c:pt>
                <c:pt idx="700" formatCode="0.00">
                  <c:v>25.683330000000002</c:v>
                </c:pt>
                <c:pt idx="701" formatCode="0.00">
                  <c:v>22.842860000000002</c:v>
                </c:pt>
                <c:pt idx="702" formatCode="0.00">
                  <c:v>22.624270000000003</c:v>
                </c:pt>
                <c:pt idx="703" formatCode="0.00">
                  <c:v>21.48171</c:v>
                </c:pt>
                <c:pt idx="704" formatCode="0.00">
                  <c:v>21.387440000000002</c:v>
                </c:pt>
                <c:pt idx="705" formatCode="0.00">
                  <c:v>21.434630000000002</c:v>
                </c:pt>
                <c:pt idx="706" formatCode="0.00">
                  <c:v>21.43899</c:v>
                </c:pt>
                <c:pt idx="707" formatCode="0.00">
                  <c:v>22.137020000000003</c:v>
                </c:pt>
                <c:pt idx="708" formatCode="0.00">
                  <c:v>22.10567</c:v>
                </c:pt>
                <c:pt idx="709" formatCode="0.00">
                  <c:v>22.02149</c:v>
                </c:pt>
                <c:pt idx="710" formatCode="0.00">
                  <c:v>22.497479999999999</c:v>
                </c:pt>
                <c:pt idx="711" formatCode="0.00">
                  <c:v>22.617139999999999</c:v>
                </c:pt>
                <c:pt idx="712" formatCode="0.00">
                  <c:v>22.57527</c:v>
                </c:pt>
                <c:pt idx="713" formatCode="0.00">
                  <c:v>22.38466</c:v>
                </c:pt>
                <c:pt idx="714" formatCode="0.00">
                  <c:v>22.347649999999998</c:v>
                </c:pt>
                <c:pt idx="715" formatCode="0.00">
                  <c:v>22.677399999999999</c:v>
                </c:pt>
                <c:pt idx="716" formatCode="0.00">
                  <c:v>22.730979999999999</c:v>
                </c:pt>
                <c:pt idx="717" formatCode="0.00">
                  <c:v>22.708539999999999</c:v>
                </c:pt>
                <c:pt idx="718" formatCode="0.00">
                  <c:v>22.89283</c:v>
                </c:pt>
                <c:pt idx="719" formatCode="0.00">
                  <c:v>23.65701</c:v>
                </c:pt>
                <c:pt idx="720" formatCode="0.00">
                  <c:v>24.147689999999997</c:v>
                </c:pt>
                <c:pt idx="721" formatCode="0.00">
                  <c:v>24.848859999999998</c:v>
                </c:pt>
                <c:pt idx="722" formatCode="0.00">
                  <c:v>24.783370000000001</c:v>
                </c:pt>
                <c:pt idx="723" formatCode="0.00">
                  <c:v>24.783370000000001</c:v>
                </c:pt>
                <c:pt idx="724" formatCode="0.00">
                  <c:v>23.338470000000001</c:v>
                </c:pt>
                <c:pt idx="725" formatCode="0.00">
                  <c:v>23.4163</c:v>
                </c:pt>
                <c:pt idx="726" formatCode="0.00">
                  <c:v>24.780760000000001</c:v>
                </c:pt>
                <c:pt idx="727" formatCode="0.00">
                  <c:v>24.753229999999999</c:v>
                </c:pt>
                <c:pt idx="728" formatCode="0.00">
                  <c:v>24.804589999999997</c:v>
                </c:pt>
                <c:pt idx="729" formatCode="0.00">
                  <c:v>25.02647</c:v>
                </c:pt>
                <c:pt idx="730" formatCode="0.00">
                  <c:v>24.916419999999999</c:v>
                </c:pt>
                <c:pt idx="731" formatCode="0.00">
                  <c:v>24.898850000000003</c:v>
                </c:pt>
                <c:pt idx="732" formatCode="0.00">
                  <c:v>25.44416</c:v>
                </c:pt>
                <c:pt idx="733" formatCode="0.00">
                  <c:v>25.038490000000003</c:v>
                </c:pt>
                <c:pt idx="734" formatCode="0.00">
                  <c:v>25.178850000000001</c:v>
                </c:pt>
                <c:pt idx="735" formatCode="0.00">
                  <c:v>25.051289999999998</c:v>
                </c:pt>
                <c:pt idx="736" formatCode="0.00">
                  <c:v>25.214989999999997</c:v>
                </c:pt>
                <c:pt idx="737" formatCode="0.00">
                  <c:v>25.147649999999999</c:v>
                </c:pt>
                <c:pt idx="738" formatCode="0.00">
                  <c:v>25.272919999999999</c:v>
                </c:pt>
                <c:pt idx="739" formatCode="0.00">
                  <c:v>25.270419999999998</c:v>
                </c:pt>
                <c:pt idx="740" formatCode="0.00">
                  <c:v>26.041450000000001</c:v>
                </c:pt>
                <c:pt idx="741" formatCode="0.00">
                  <c:v>25.573420000000002</c:v>
                </c:pt>
                <c:pt idx="742" formatCode="0.00">
                  <c:v>26.097260000000002</c:v>
                </c:pt>
                <c:pt idx="743" formatCode="0.00">
                  <c:v>25.95936</c:v>
                </c:pt>
                <c:pt idx="744" formatCode="0.00">
                  <c:v>26.08362</c:v>
                </c:pt>
                <c:pt idx="745" formatCode="0.00">
                  <c:v>26.247119999999999</c:v>
                </c:pt>
                <c:pt idx="746" formatCode="0.00">
                  <c:v>26.593000000000004</c:v>
                </c:pt>
                <c:pt idx="747" formatCode="0.00">
                  <c:v>26.593000000000004</c:v>
                </c:pt>
                <c:pt idx="748" formatCode="0.00">
                  <c:v>26.608789999999999</c:v>
                </c:pt>
                <c:pt idx="749" formatCode="0.00">
                  <c:v>26.720219999999998</c:v>
                </c:pt>
                <c:pt idx="750" formatCode="0.00">
                  <c:v>26.758090000000003</c:v>
                </c:pt>
                <c:pt idx="751" formatCode="0.00">
                  <c:v>26.749639999999999</c:v>
                </c:pt>
                <c:pt idx="752" formatCode="0.00">
                  <c:v>26.706729999999997</c:v>
                </c:pt>
                <c:pt idx="753" formatCode="0.00">
                  <c:v>26.87322</c:v>
                </c:pt>
                <c:pt idx="754" formatCode="0.00">
                  <c:v>26.896509999999999</c:v>
                </c:pt>
                <c:pt idx="755" formatCode="0.00">
                  <c:v>25.395379999999999</c:v>
                </c:pt>
                <c:pt idx="756" formatCode="0.00">
                  <c:v>25.395379999999999</c:v>
                </c:pt>
                <c:pt idx="757" formatCode="0.00">
                  <c:v>25.669270000000001</c:v>
                </c:pt>
                <c:pt idx="758" formatCode="0.00">
                  <c:v>27.84451</c:v>
                </c:pt>
                <c:pt idx="759" formatCode="0.00">
                  <c:v>27.80171</c:v>
                </c:pt>
                <c:pt idx="760" formatCode="0.00">
                  <c:v>27.96491</c:v>
                </c:pt>
                <c:pt idx="761" formatCode="0.00">
                  <c:v>28.313380000000002</c:v>
                </c:pt>
                <c:pt idx="762" formatCode="0.00">
                  <c:v>28.35585</c:v>
                </c:pt>
                <c:pt idx="763" formatCode="0.00">
                  <c:v>28.225149999999999</c:v>
                </c:pt>
                <c:pt idx="764" formatCode="0.00">
                  <c:v>28.283280000000001</c:v>
                </c:pt>
                <c:pt idx="765" formatCode="0.00">
                  <c:v>28.439299999999999</c:v>
                </c:pt>
                <c:pt idx="766" formatCode="0.00">
                  <c:v>28.428440000000002</c:v>
                </c:pt>
                <c:pt idx="767" formatCode="0.00">
                  <c:v>28.394819999999999</c:v>
                </c:pt>
                <c:pt idx="768" formatCode="0.00">
                  <c:v>28.437550000000002</c:v>
                </c:pt>
                <c:pt idx="769" formatCode="0.00">
                  <c:v>28.609490000000001</c:v>
                </c:pt>
                <c:pt idx="770" formatCode="0.00">
                  <c:v>28.71265</c:v>
                </c:pt>
                <c:pt idx="771" formatCode="0.00">
                  <c:v>28.801489999999998</c:v>
                </c:pt>
                <c:pt idx="772" formatCode="0.00">
                  <c:v>28.78482</c:v>
                </c:pt>
                <c:pt idx="773" formatCode="0.00">
                  <c:v>28.75732</c:v>
                </c:pt>
                <c:pt idx="774" formatCode="0.00">
                  <c:v>28.685230000000001</c:v>
                </c:pt>
                <c:pt idx="775" formatCode="0.00">
                  <c:v>28.746260000000003</c:v>
                </c:pt>
                <c:pt idx="776" formatCode="0.00">
                  <c:v>28.817920000000001</c:v>
                </c:pt>
                <c:pt idx="777" formatCode="0.00">
                  <c:v>28.820239999999998</c:v>
                </c:pt>
                <c:pt idx="778" formatCode="0.00">
                  <c:v>28.820239999999998</c:v>
                </c:pt>
                <c:pt idx="779" formatCode="0.00">
                  <c:v>28.72634</c:v>
                </c:pt>
                <c:pt idx="780" formatCode="0.00">
                  <c:v>28.765129999999999</c:v>
                </c:pt>
                <c:pt idx="781" formatCode="0.00">
                  <c:v>28.891869999999997</c:v>
                </c:pt>
                <c:pt idx="782" formatCode="0.00">
                  <c:v>28.869319999999998</c:v>
                </c:pt>
                <c:pt idx="783" formatCode="0.00">
                  <c:v>28.869319999999998</c:v>
                </c:pt>
                <c:pt idx="784" formatCode="0.00">
                  <c:v>28.714340000000004</c:v>
                </c:pt>
                <c:pt idx="785" formatCode="0.00">
                  <c:v>28.81739</c:v>
                </c:pt>
                <c:pt idx="786" formatCode="0.00">
                  <c:v>28.84413</c:v>
                </c:pt>
                <c:pt idx="787" formatCode="0.00">
                  <c:v>29.08323</c:v>
                </c:pt>
                <c:pt idx="788" formatCode="0.00">
                  <c:v>29.15898</c:v>
                </c:pt>
                <c:pt idx="789" formatCode="0.00">
                  <c:v>29.168519999999997</c:v>
                </c:pt>
                <c:pt idx="790" formatCode="0.00">
                  <c:v>29.206770000000002</c:v>
                </c:pt>
                <c:pt idx="791" formatCode="0.00">
                  <c:v>29.445070000000001</c:v>
                </c:pt>
                <c:pt idx="792" formatCode="0.00">
                  <c:v>29.389430000000001</c:v>
                </c:pt>
                <c:pt idx="793" formatCode="0.00">
                  <c:v>29.389430000000001</c:v>
                </c:pt>
                <c:pt idx="794" formatCode="0.00">
                  <c:v>29.458110000000001</c:v>
                </c:pt>
                <c:pt idx="795" formatCode="0.00">
                  <c:v>29.632579999999997</c:v>
                </c:pt>
                <c:pt idx="796" formatCode="0.00">
                  <c:v>29.693899999999999</c:v>
                </c:pt>
                <c:pt idx="797" formatCode="0.00">
                  <c:v>29.662459999999999</c:v>
                </c:pt>
                <c:pt idx="798" formatCode="0.00">
                  <c:v>29.61712</c:v>
                </c:pt>
                <c:pt idx="799" formatCode="0.00">
                  <c:v>29.691970000000001</c:v>
                </c:pt>
                <c:pt idx="800" formatCode="0.00">
                  <c:v>29.744450000000001</c:v>
                </c:pt>
                <c:pt idx="801" formatCode="0.00">
                  <c:v>29.792600000000004</c:v>
                </c:pt>
                <c:pt idx="802" formatCode="0.00">
                  <c:v>29.777130000000003</c:v>
                </c:pt>
                <c:pt idx="803" formatCode="0.00">
                  <c:v>29.749360000000003</c:v>
                </c:pt>
                <c:pt idx="804" formatCode="0.00">
                  <c:v>29.878589999999999</c:v>
                </c:pt>
                <c:pt idx="805" formatCode="0.00">
                  <c:v>29.71069</c:v>
                </c:pt>
                <c:pt idx="806" formatCode="0.00">
                  <c:v>29.742979999999999</c:v>
                </c:pt>
                <c:pt idx="807" formatCode="0.00">
                  <c:v>29.64913</c:v>
                </c:pt>
                <c:pt idx="808" formatCode="0.00">
                  <c:v>29.447420000000001</c:v>
                </c:pt>
                <c:pt idx="809" formatCode="0.00">
                  <c:v>29.53276</c:v>
                </c:pt>
                <c:pt idx="810" formatCode="0.00">
                  <c:v>29.622</c:v>
                </c:pt>
                <c:pt idx="811" formatCode="0.00">
                  <c:v>29.667890000000003</c:v>
                </c:pt>
                <c:pt idx="812" formatCode="0.00">
                  <c:v>29.660189999999997</c:v>
                </c:pt>
                <c:pt idx="813" formatCode="0.00">
                  <c:v>29.658439999999999</c:v>
                </c:pt>
                <c:pt idx="814" formatCode="0.00">
                  <c:v>29.62744</c:v>
                </c:pt>
                <c:pt idx="815" formatCode="0.00">
                  <c:v>29.595659999999999</c:v>
                </c:pt>
                <c:pt idx="816" formatCode="0.00">
                  <c:v>29.665109999999999</c:v>
                </c:pt>
                <c:pt idx="817" formatCode="0.00">
                  <c:v>29.724140000000002</c:v>
                </c:pt>
                <c:pt idx="818" formatCode="0.00">
                  <c:v>29.724140000000002</c:v>
                </c:pt>
                <c:pt idx="819" formatCode="0.00">
                  <c:v>29.393000000000001</c:v>
                </c:pt>
                <c:pt idx="820" formatCode="0.00">
                  <c:v>29.562489999999997</c:v>
                </c:pt>
                <c:pt idx="821" formatCode="0.00">
                  <c:v>29.654170000000001</c:v>
                </c:pt>
                <c:pt idx="822" formatCode="0.00">
                  <c:v>29.71002</c:v>
                </c:pt>
                <c:pt idx="823" formatCode="0.00">
                  <c:v>29.722480000000001</c:v>
                </c:pt>
                <c:pt idx="824" formatCode="0.00">
                  <c:v>29.89114</c:v>
                </c:pt>
                <c:pt idx="825" formatCode="0.00">
                  <c:v>29.814440000000001</c:v>
                </c:pt>
                <c:pt idx="826" formatCode="0.00">
                  <c:v>29.900109999999998</c:v>
                </c:pt>
                <c:pt idx="827" formatCode="0.00">
                  <c:v>29.665790000000001</c:v>
                </c:pt>
                <c:pt idx="828" formatCode="0.00">
                  <c:v>29.673690000000001</c:v>
                </c:pt>
                <c:pt idx="829" formatCode="0.00">
                  <c:v>30.25056</c:v>
                </c:pt>
                <c:pt idx="830" formatCode="0.00">
                  <c:v>29.628550000000001</c:v>
                </c:pt>
                <c:pt idx="831" formatCode="0.00">
                  <c:v>29.867609999999999</c:v>
                </c:pt>
                <c:pt idx="832" formatCode="0.00">
                  <c:v>30.42529</c:v>
                </c:pt>
                <c:pt idx="833" formatCode="0.00">
                  <c:v>30.82301</c:v>
                </c:pt>
                <c:pt idx="834" formatCode="0.00">
                  <c:v>30.543299999999999</c:v>
                </c:pt>
                <c:pt idx="835" formatCode="0.00">
                  <c:v>31.088470000000001</c:v>
                </c:pt>
                <c:pt idx="836" formatCode="0.00">
                  <c:v>30.865880000000001</c:v>
                </c:pt>
                <c:pt idx="837" formatCode="0.00">
                  <c:v>31.143429999999999</c:v>
                </c:pt>
                <c:pt idx="838" formatCode="0.00">
                  <c:v>31.294689999999999</c:v>
                </c:pt>
                <c:pt idx="839" formatCode="0.00">
                  <c:v>31.148910000000001</c:v>
                </c:pt>
                <c:pt idx="840" formatCode="0.00">
                  <c:v>31.439869999999999</c:v>
                </c:pt>
                <c:pt idx="841" formatCode="0.00">
                  <c:v>31.702710000000003</c:v>
                </c:pt>
                <c:pt idx="842" formatCode="0.00">
                  <c:v>31.733040000000003</c:v>
                </c:pt>
                <c:pt idx="843" formatCode="0.00">
                  <c:v>31.308479999999999</c:v>
                </c:pt>
                <c:pt idx="844" formatCode="0.00">
                  <c:v>31.220379999999999</c:v>
                </c:pt>
                <c:pt idx="845" formatCode="0.00">
                  <c:v>31.84854</c:v>
                </c:pt>
                <c:pt idx="846" formatCode="0.00">
                  <c:v>31.444929999999999</c:v>
                </c:pt>
                <c:pt idx="847" formatCode="0.00">
                  <c:v>31.727890000000002</c:v>
                </c:pt>
                <c:pt idx="848" formatCode="0.00">
                  <c:v>31.582719999999998</c:v>
                </c:pt>
                <c:pt idx="849" formatCode="0.00">
                  <c:v>32.012050000000002</c:v>
                </c:pt>
                <c:pt idx="850" formatCode="0.00">
                  <c:v>32.200070000000004</c:v>
                </c:pt>
                <c:pt idx="851" formatCode="0.00">
                  <c:v>32.227310000000003</c:v>
                </c:pt>
                <c:pt idx="852" formatCode="0.00">
                  <c:v>32.227310000000003</c:v>
                </c:pt>
                <c:pt idx="853" formatCode="0.00">
                  <c:v>32.11018</c:v>
                </c:pt>
                <c:pt idx="854" formatCode="0.00">
                  <c:v>32.138030000000001</c:v>
                </c:pt>
                <c:pt idx="855" formatCode="0.00">
                  <c:v>32.26681</c:v>
                </c:pt>
                <c:pt idx="856" formatCode="0.00">
                  <c:v>32.326120000000003</c:v>
                </c:pt>
                <c:pt idx="857" formatCode="0.00">
                  <c:v>32.25638</c:v>
                </c:pt>
                <c:pt idx="858" formatCode="0.00">
                  <c:v>32.203760000000003</c:v>
                </c:pt>
                <c:pt idx="859" formatCode="0.00">
                  <c:v>32.232520000000001</c:v>
                </c:pt>
                <c:pt idx="860" formatCode="0.00">
                  <c:v>32.22184</c:v>
                </c:pt>
                <c:pt idx="861" formatCode="0.00">
                  <c:v>32.432369999999999</c:v>
                </c:pt>
                <c:pt idx="862" formatCode="0.00">
                  <c:v>32.447339999999997</c:v>
                </c:pt>
                <c:pt idx="863" formatCode="0.00">
                  <c:v>32.553249999999998</c:v>
                </c:pt>
                <c:pt idx="864" formatCode="0.00">
                  <c:v>32.801720000000003</c:v>
                </c:pt>
                <c:pt idx="865" formatCode="0.00">
                  <c:v>32.789969999999997</c:v>
                </c:pt>
                <c:pt idx="866" formatCode="0.00">
                  <c:v>32.758339999999997</c:v>
                </c:pt>
                <c:pt idx="867" formatCode="0.00">
                  <c:v>32.892669999999995</c:v>
                </c:pt>
                <c:pt idx="868" formatCode="0.00">
                  <c:v>32.800640000000001</c:v>
                </c:pt>
                <c:pt idx="869" formatCode="0.00">
                  <c:v>32.995329999999996</c:v>
                </c:pt>
                <c:pt idx="870" formatCode="0.00">
                  <c:v>33.18139</c:v>
                </c:pt>
                <c:pt idx="871" formatCode="0.00">
                  <c:v>33.364229999999999</c:v>
                </c:pt>
                <c:pt idx="872" formatCode="0.00">
                  <c:v>33.272680000000001</c:v>
                </c:pt>
                <c:pt idx="873" formatCode="0.00">
                  <c:v>33.214689999999997</c:v>
                </c:pt>
                <c:pt idx="874" formatCode="0.00">
                  <c:v>33.247730000000004</c:v>
                </c:pt>
                <c:pt idx="875" formatCode="0.00">
                  <c:v>33.412649999999999</c:v>
                </c:pt>
                <c:pt idx="876" formatCode="0.00">
                  <c:v>33.421790000000001</c:v>
                </c:pt>
                <c:pt idx="877" formatCode="0.00">
                  <c:v>33.325900000000004</c:v>
                </c:pt>
                <c:pt idx="878" formatCode="0.00">
                  <c:v>32.91854</c:v>
                </c:pt>
                <c:pt idx="879" formatCode="0.00">
                  <c:v>32.90099</c:v>
                </c:pt>
                <c:pt idx="880" formatCode="0.00">
                  <c:v>32.853870000000001</c:v>
                </c:pt>
                <c:pt idx="881" formatCode="0.00">
                  <c:v>32.841280000000005</c:v>
                </c:pt>
                <c:pt idx="882" formatCode="0.00">
                  <c:v>32.726869999999998</c:v>
                </c:pt>
                <c:pt idx="883" formatCode="0.00">
                  <c:v>32.385669999999998</c:v>
                </c:pt>
                <c:pt idx="884" formatCode="0.00">
                  <c:v>32.358000000000004</c:v>
                </c:pt>
                <c:pt idx="885" formatCode="0.00">
                  <c:v>31.971709999999998</c:v>
                </c:pt>
                <c:pt idx="886" formatCode="0.00">
                  <c:v>30.049789999999998</c:v>
                </c:pt>
                <c:pt idx="887" formatCode="0.00">
                  <c:v>29.987310000000001</c:v>
                </c:pt>
                <c:pt idx="888" formatCode="0.00">
                  <c:v>29.987310000000001</c:v>
                </c:pt>
                <c:pt idx="889" formatCode="0.00">
                  <c:v>29.875659999999996</c:v>
                </c:pt>
                <c:pt idx="890" formatCode="0.00">
                  <c:v>30.021460000000001</c:v>
                </c:pt>
                <c:pt idx="891" formatCode="0.00">
                  <c:v>30.149830000000001</c:v>
                </c:pt>
                <c:pt idx="892" formatCode="0.00">
                  <c:v>30.175729999999998</c:v>
                </c:pt>
                <c:pt idx="893" formatCode="0.00">
                  <c:v>30.230720000000002</c:v>
                </c:pt>
                <c:pt idx="894" formatCode="0.00">
                  <c:v>30.231809999999999</c:v>
                </c:pt>
                <c:pt idx="895" formatCode="0.00">
                  <c:v>30.104499999999998</c:v>
                </c:pt>
                <c:pt idx="896" formatCode="0.00">
                  <c:v>30.238440000000001</c:v>
                </c:pt>
                <c:pt idx="897" formatCode="0.00">
                  <c:v>29.940630000000002</c:v>
                </c:pt>
                <c:pt idx="898" formatCode="0.00">
                  <c:v>30.045180000000002</c:v>
                </c:pt>
                <c:pt idx="899" formatCode="0.00">
                  <c:v>30.423939999999998</c:v>
                </c:pt>
                <c:pt idx="900" formatCode="0.00">
                  <c:v>30.32329</c:v>
                </c:pt>
                <c:pt idx="901" formatCode="0.00">
                  <c:v>30.555520000000001</c:v>
                </c:pt>
                <c:pt idx="902" formatCode="0.00">
                  <c:v>30.562269999999998</c:v>
                </c:pt>
                <c:pt idx="903" formatCode="0.00">
                  <c:v>30.562269999999998</c:v>
                </c:pt>
                <c:pt idx="904" formatCode="0.00">
                  <c:v>30.47824</c:v>
                </c:pt>
                <c:pt idx="905" formatCode="0.00">
                  <c:v>34.288850000000004</c:v>
                </c:pt>
                <c:pt idx="906" formatCode="0.00">
                  <c:v>34.221649999999997</c:v>
                </c:pt>
                <c:pt idx="907" formatCode="0.00">
                  <c:v>31.082649999999997</c:v>
                </c:pt>
                <c:pt idx="908" formatCode="0.00">
                  <c:v>30.39029</c:v>
                </c:pt>
                <c:pt idx="909" formatCode="0.00">
                  <c:v>29.161930000000002</c:v>
                </c:pt>
                <c:pt idx="910" formatCode="0.00">
                  <c:v>29.168339999999997</c:v>
                </c:pt>
                <c:pt idx="911" formatCode="0.00">
                  <c:v>32.042769999999997</c:v>
                </c:pt>
                <c:pt idx="912" formatCode="0.00">
                  <c:v>30.270770000000002</c:v>
                </c:pt>
                <c:pt idx="913" formatCode="0.00">
                  <c:v>29.504360000000002</c:v>
                </c:pt>
                <c:pt idx="914" formatCode="0.00">
                  <c:v>29.504360000000002</c:v>
                </c:pt>
                <c:pt idx="915" formatCode="0.00">
                  <c:v>29.472199999999997</c:v>
                </c:pt>
                <c:pt idx="916" formatCode="0.00">
                  <c:v>29.532209999999999</c:v>
                </c:pt>
                <c:pt idx="917" formatCode="0.00">
                  <c:v>29.594380000000001</c:v>
                </c:pt>
                <c:pt idx="918" formatCode="0.00">
                  <c:v>29.733420000000002</c:v>
                </c:pt>
                <c:pt idx="919" formatCode="0.00">
                  <c:v>29.780549999999998</c:v>
                </c:pt>
                <c:pt idx="920" formatCode="0.00">
                  <c:v>28.738519999999998</c:v>
                </c:pt>
                <c:pt idx="921" formatCode="0.00">
                  <c:v>28.954160000000002</c:v>
                </c:pt>
                <c:pt idx="922" formatCode="0.00">
                  <c:v>28.920339999999999</c:v>
                </c:pt>
                <c:pt idx="923" formatCode="0.00">
                  <c:v>29.192319999999999</c:v>
                </c:pt>
                <c:pt idx="924" formatCode="0.00">
                  <c:v>28.803339999999999</c:v>
                </c:pt>
                <c:pt idx="925" formatCode="0.00">
                  <c:v>29.30688</c:v>
                </c:pt>
                <c:pt idx="926" formatCode="0.00">
                  <c:v>28.205830000000002</c:v>
                </c:pt>
                <c:pt idx="927" formatCode="0.00">
                  <c:v>28.26689</c:v>
                </c:pt>
                <c:pt idx="928" formatCode="0.00">
                  <c:v>28.426129999999997</c:v>
                </c:pt>
                <c:pt idx="929" formatCode="0.00">
                  <c:v>27.734349999999999</c:v>
                </c:pt>
                <c:pt idx="930" formatCode="0.00">
                  <c:v>24.22288</c:v>
                </c:pt>
                <c:pt idx="931" formatCode="0.00">
                  <c:v>23.971329999999998</c:v>
                </c:pt>
                <c:pt idx="932" formatCode="0.00">
                  <c:v>24.641149999999996</c:v>
                </c:pt>
                <c:pt idx="933" formatCode="0.00">
                  <c:v>24.588480000000001</c:v>
                </c:pt>
                <c:pt idx="934" formatCode="0.00">
                  <c:v>24.546320000000001</c:v>
                </c:pt>
                <c:pt idx="935" formatCode="0.00">
                  <c:v>22.861540000000002</c:v>
                </c:pt>
                <c:pt idx="936" formatCode="0.00">
                  <c:v>22.745929999999998</c:v>
                </c:pt>
                <c:pt idx="937" formatCode="0.00">
                  <c:v>23.075089999999999</c:v>
                </c:pt>
                <c:pt idx="938" formatCode="0.00">
                  <c:v>23.23733</c:v>
                </c:pt>
                <c:pt idx="939" formatCode="0.00">
                  <c:v>23.376550000000002</c:v>
                </c:pt>
                <c:pt idx="940" formatCode="0.00">
                  <c:v>23.406140000000001</c:v>
                </c:pt>
                <c:pt idx="941" formatCode="0.00">
                  <c:v>23.229420000000001</c:v>
                </c:pt>
                <c:pt idx="942" formatCode="0.00">
                  <c:v>23.18167</c:v>
                </c:pt>
                <c:pt idx="943" formatCode="0.00">
                  <c:v>23.167739999999998</c:v>
                </c:pt>
                <c:pt idx="944" formatCode="0.00">
                  <c:v>23.0718</c:v>
                </c:pt>
                <c:pt idx="945" formatCode="0.00">
                  <c:v>23.046759999999999</c:v>
                </c:pt>
                <c:pt idx="946" formatCode="0.00">
                  <c:v>23.152359999999998</c:v>
                </c:pt>
                <c:pt idx="947" formatCode="0.00">
                  <c:v>23.085970000000003</c:v>
                </c:pt>
                <c:pt idx="948" formatCode="0.00">
                  <c:v>23.0336</c:v>
                </c:pt>
                <c:pt idx="949" formatCode="0.00">
                  <c:v>23.030700000000003</c:v>
                </c:pt>
                <c:pt idx="950" formatCode="0.00">
                  <c:v>23.160810000000001</c:v>
                </c:pt>
                <c:pt idx="951" formatCode="0.00">
                  <c:v>23.211069999999999</c:v>
                </c:pt>
                <c:pt idx="952" formatCode="0.00">
                  <c:v>23.204140000000002</c:v>
                </c:pt>
                <c:pt idx="953" formatCode="0.00">
                  <c:v>23.270140000000001</c:v>
                </c:pt>
                <c:pt idx="954" formatCode="0.00">
                  <c:v>23.394540000000003</c:v>
                </c:pt>
                <c:pt idx="955" formatCode="0.00">
                  <c:v>23.425529999999998</c:v>
                </c:pt>
                <c:pt idx="956" formatCode="0.00">
                  <c:v>23.874720000000003</c:v>
                </c:pt>
                <c:pt idx="957" formatCode="0.00">
                  <c:v>24.066939999999999</c:v>
                </c:pt>
                <c:pt idx="958" formatCode="0.00">
                  <c:v>24.066939999999999</c:v>
                </c:pt>
                <c:pt idx="959" formatCode="0.00">
                  <c:v>24.32094</c:v>
                </c:pt>
                <c:pt idx="960" formatCode="0.00">
                  <c:v>24.40832</c:v>
                </c:pt>
                <c:pt idx="961" formatCode="0.00">
                  <c:v>24.536490000000001</c:v>
                </c:pt>
                <c:pt idx="962" formatCode="0.00">
                  <c:v>24.553290000000001</c:v>
                </c:pt>
                <c:pt idx="963" formatCode="0.00">
                  <c:v>24.579039999999999</c:v>
                </c:pt>
              </c:numCache>
            </c:numRef>
          </c:val>
          <c:smooth val="0"/>
          <c:extLst>
            <c:ext xmlns:c16="http://schemas.microsoft.com/office/drawing/2014/chart" uri="{C3380CC4-5D6E-409C-BE32-E72D297353CC}">
              <c16:uniqueId val="{00000001-EBC4-4222-8B88-73469225685A}"/>
            </c:ext>
          </c:extLst>
        </c:ser>
        <c:ser>
          <c:idx val="3"/>
          <c:order val="3"/>
          <c:tx>
            <c:strRef>
              <c:f>Sheet1!$E$1</c:f>
              <c:strCache>
                <c:ptCount val="1"/>
                <c:pt idx="0">
                  <c:v>Հայաստան (2029թ.)</c:v>
                </c:pt>
              </c:strCache>
            </c:strRef>
          </c:tx>
          <c:spPr>
            <a:ln w="19050" cap="rnd">
              <a:solidFill>
                <a:schemeClr val="accent2">
                  <a:lumMod val="60000"/>
                  <a:lumOff val="40000"/>
                </a:schemeClr>
              </a:solidFill>
              <a:round/>
            </a:ln>
            <a:effectLst/>
          </c:spPr>
          <c:marker>
            <c:symbol val="none"/>
          </c:marker>
          <c:cat>
            <c:numRef>
              <c:f>Sheet1!$A$2:$A$1226</c:f>
              <c:numCache>
                <c:formatCode>m\/d\/yyyy</c:formatCode>
                <c:ptCount val="964"/>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pt idx="708">
                  <c:v>44823</c:v>
                </c:pt>
                <c:pt idx="709">
                  <c:v>44824</c:v>
                </c:pt>
                <c:pt idx="710">
                  <c:v>44825</c:v>
                </c:pt>
                <c:pt idx="711">
                  <c:v>44826</c:v>
                </c:pt>
                <c:pt idx="712">
                  <c:v>44827</c:v>
                </c:pt>
                <c:pt idx="713">
                  <c:v>44830</c:v>
                </c:pt>
                <c:pt idx="714">
                  <c:v>44831</c:v>
                </c:pt>
                <c:pt idx="715">
                  <c:v>44832</c:v>
                </c:pt>
                <c:pt idx="716">
                  <c:v>44833</c:v>
                </c:pt>
                <c:pt idx="717">
                  <c:v>44834</c:v>
                </c:pt>
                <c:pt idx="718">
                  <c:v>44837</c:v>
                </c:pt>
                <c:pt idx="719">
                  <c:v>44838</c:v>
                </c:pt>
                <c:pt idx="720">
                  <c:v>44839</c:v>
                </c:pt>
                <c:pt idx="721">
                  <c:v>44840</c:v>
                </c:pt>
                <c:pt idx="722">
                  <c:v>44841</c:v>
                </c:pt>
                <c:pt idx="723">
                  <c:v>44844</c:v>
                </c:pt>
                <c:pt idx="724">
                  <c:v>44845</c:v>
                </c:pt>
                <c:pt idx="725">
                  <c:v>44846</c:v>
                </c:pt>
                <c:pt idx="726">
                  <c:v>44847</c:v>
                </c:pt>
                <c:pt idx="727">
                  <c:v>44848</c:v>
                </c:pt>
                <c:pt idx="728">
                  <c:v>44851</c:v>
                </c:pt>
                <c:pt idx="729">
                  <c:v>44852</c:v>
                </c:pt>
                <c:pt idx="730">
                  <c:v>44853</c:v>
                </c:pt>
                <c:pt idx="731">
                  <c:v>44854</c:v>
                </c:pt>
                <c:pt idx="732">
                  <c:v>44855</c:v>
                </c:pt>
                <c:pt idx="733">
                  <c:v>44858</c:v>
                </c:pt>
                <c:pt idx="734">
                  <c:v>44859</c:v>
                </c:pt>
                <c:pt idx="735">
                  <c:v>44860</c:v>
                </c:pt>
                <c:pt idx="736">
                  <c:v>44861</c:v>
                </c:pt>
                <c:pt idx="737">
                  <c:v>44862</c:v>
                </c:pt>
                <c:pt idx="738">
                  <c:v>44865</c:v>
                </c:pt>
                <c:pt idx="739">
                  <c:v>44866</c:v>
                </c:pt>
                <c:pt idx="740">
                  <c:v>44867</c:v>
                </c:pt>
                <c:pt idx="741">
                  <c:v>44868</c:v>
                </c:pt>
                <c:pt idx="742">
                  <c:v>44869</c:v>
                </c:pt>
                <c:pt idx="743">
                  <c:v>44872</c:v>
                </c:pt>
                <c:pt idx="744">
                  <c:v>44873</c:v>
                </c:pt>
                <c:pt idx="745">
                  <c:v>44874</c:v>
                </c:pt>
                <c:pt idx="746">
                  <c:v>44875</c:v>
                </c:pt>
                <c:pt idx="747">
                  <c:v>44876</c:v>
                </c:pt>
                <c:pt idx="748">
                  <c:v>44879</c:v>
                </c:pt>
                <c:pt idx="749">
                  <c:v>44880</c:v>
                </c:pt>
                <c:pt idx="750">
                  <c:v>44881</c:v>
                </c:pt>
                <c:pt idx="751">
                  <c:v>44882</c:v>
                </c:pt>
                <c:pt idx="752">
                  <c:v>44883</c:v>
                </c:pt>
                <c:pt idx="753">
                  <c:v>44886</c:v>
                </c:pt>
                <c:pt idx="754">
                  <c:v>44887</c:v>
                </c:pt>
                <c:pt idx="755">
                  <c:v>44888</c:v>
                </c:pt>
                <c:pt idx="756">
                  <c:v>44889</c:v>
                </c:pt>
                <c:pt idx="757">
                  <c:v>44890</c:v>
                </c:pt>
                <c:pt idx="758">
                  <c:v>44893</c:v>
                </c:pt>
                <c:pt idx="759">
                  <c:v>44894</c:v>
                </c:pt>
                <c:pt idx="760">
                  <c:v>44895</c:v>
                </c:pt>
                <c:pt idx="761">
                  <c:v>44896</c:v>
                </c:pt>
                <c:pt idx="762">
                  <c:v>44897</c:v>
                </c:pt>
                <c:pt idx="763">
                  <c:v>44900</c:v>
                </c:pt>
                <c:pt idx="764">
                  <c:v>44901</c:v>
                </c:pt>
                <c:pt idx="765">
                  <c:v>44902</c:v>
                </c:pt>
                <c:pt idx="766">
                  <c:v>44903</c:v>
                </c:pt>
                <c:pt idx="767">
                  <c:v>44904</c:v>
                </c:pt>
                <c:pt idx="768">
                  <c:v>44907</c:v>
                </c:pt>
                <c:pt idx="769">
                  <c:v>44908</c:v>
                </c:pt>
                <c:pt idx="770">
                  <c:v>44909</c:v>
                </c:pt>
                <c:pt idx="771">
                  <c:v>44910</c:v>
                </c:pt>
                <c:pt idx="772">
                  <c:v>44911</c:v>
                </c:pt>
                <c:pt idx="773">
                  <c:v>44914</c:v>
                </c:pt>
                <c:pt idx="774">
                  <c:v>44915</c:v>
                </c:pt>
                <c:pt idx="775">
                  <c:v>44916</c:v>
                </c:pt>
                <c:pt idx="776">
                  <c:v>44917</c:v>
                </c:pt>
                <c:pt idx="777">
                  <c:v>44918</c:v>
                </c:pt>
                <c:pt idx="778">
                  <c:v>44921</c:v>
                </c:pt>
                <c:pt idx="779">
                  <c:v>44922</c:v>
                </c:pt>
                <c:pt idx="780">
                  <c:v>44923</c:v>
                </c:pt>
                <c:pt idx="781">
                  <c:v>44924</c:v>
                </c:pt>
                <c:pt idx="782">
                  <c:v>44925</c:v>
                </c:pt>
                <c:pt idx="783">
                  <c:v>44928</c:v>
                </c:pt>
                <c:pt idx="784">
                  <c:v>44929</c:v>
                </c:pt>
                <c:pt idx="785">
                  <c:v>44930</c:v>
                </c:pt>
                <c:pt idx="786">
                  <c:v>44931</c:v>
                </c:pt>
                <c:pt idx="787">
                  <c:v>44932</c:v>
                </c:pt>
                <c:pt idx="788">
                  <c:v>44935</c:v>
                </c:pt>
                <c:pt idx="789">
                  <c:v>44936</c:v>
                </c:pt>
                <c:pt idx="790">
                  <c:v>44937</c:v>
                </c:pt>
                <c:pt idx="791">
                  <c:v>44938</c:v>
                </c:pt>
                <c:pt idx="792">
                  <c:v>44939</c:v>
                </c:pt>
                <c:pt idx="793">
                  <c:v>44942</c:v>
                </c:pt>
                <c:pt idx="794">
                  <c:v>44943</c:v>
                </c:pt>
                <c:pt idx="795">
                  <c:v>44944</c:v>
                </c:pt>
                <c:pt idx="796">
                  <c:v>44945</c:v>
                </c:pt>
                <c:pt idx="797">
                  <c:v>44946</c:v>
                </c:pt>
                <c:pt idx="798">
                  <c:v>44949</c:v>
                </c:pt>
                <c:pt idx="799">
                  <c:v>44950</c:v>
                </c:pt>
                <c:pt idx="800">
                  <c:v>44951</c:v>
                </c:pt>
                <c:pt idx="801">
                  <c:v>44952</c:v>
                </c:pt>
                <c:pt idx="802">
                  <c:v>44953</c:v>
                </c:pt>
                <c:pt idx="803">
                  <c:v>44956</c:v>
                </c:pt>
                <c:pt idx="804">
                  <c:v>44957</c:v>
                </c:pt>
                <c:pt idx="805">
                  <c:v>44958</c:v>
                </c:pt>
                <c:pt idx="806">
                  <c:v>44959</c:v>
                </c:pt>
                <c:pt idx="807">
                  <c:v>44960</c:v>
                </c:pt>
                <c:pt idx="808">
                  <c:v>44963</c:v>
                </c:pt>
                <c:pt idx="809">
                  <c:v>44964</c:v>
                </c:pt>
                <c:pt idx="810">
                  <c:v>44965</c:v>
                </c:pt>
                <c:pt idx="811">
                  <c:v>44966</c:v>
                </c:pt>
                <c:pt idx="812">
                  <c:v>44967</c:v>
                </c:pt>
                <c:pt idx="813">
                  <c:v>44970</c:v>
                </c:pt>
                <c:pt idx="814">
                  <c:v>44971</c:v>
                </c:pt>
                <c:pt idx="815">
                  <c:v>44972</c:v>
                </c:pt>
                <c:pt idx="816">
                  <c:v>44973</c:v>
                </c:pt>
                <c:pt idx="817">
                  <c:v>44974</c:v>
                </c:pt>
                <c:pt idx="818">
                  <c:v>44977</c:v>
                </c:pt>
                <c:pt idx="819">
                  <c:v>44978</c:v>
                </c:pt>
                <c:pt idx="820">
                  <c:v>44979</c:v>
                </c:pt>
                <c:pt idx="821">
                  <c:v>44980</c:v>
                </c:pt>
                <c:pt idx="822">
                  <c:v>44981</c:v>
                </c:pt>
                <c:pt idx="823">
                  <c:v>44984</c:v>
                </c:pt>
                <c:pt idx="824">
                  <c:v>44985</c:v>
                </c:pt>
                <c:pt idx="825">
                  <c:v>44986</c:v>
                </c:pt>
                <c:pt idx="826">
                  <c:v>44987</c:v>
                </c:pt>
                <c:pt idx="827">
                  <c:v>44988</c:v>
                </c:pt>
                <c:pt idx="828">
                  <c:v>44991</c:v>
                </c:pt>
                <c:pt idx="829">
                  <c:v>44992</c:v>
                </c:pt>
                <c:pt idx="830">
                  <c:v>44993</c:v>
                </c:pt>
                <c:pt idx="831">
                  <c:v>44994</c:v>
                </c:pt>
                <c:pt idx="832">
                  <c:v>44995</c:v>
                </c:pt>
                <c:pt idx="833">
                  <c:v>44998</c:v>
                </c:pt>
                <c:pt idx="834">
                  <c:v>44999</c:v>
                </c:pt>
                <c:pt idx="835">
                  <c:v>45000</c:v>
                </c:pt>
                <c:pt idx="836">
                  <c:v>45001</c:v>
                </c:pt>
                <c:pt idx="837">
                  <c:v>45002</c:v>
                </c:pt>
                <c:pt idx="838">
                  <c:v>45005</c:v>
                </c:pt>
                <c:pt idx="839">
                  <c:v>45006</c:v>
                </c:pt>
                <c:pt idx="840">
                  <c:v>45007</c:v>
                </c:pt>
                <c:pt idx="841">
                  <c:v>45008</c:v>
                </c:pt>
                <c:pt idx="842">
                  <c:v>45009</c:v>
                </c:pt>
                <c:pt idx="843">
                  <c:v>45012</c:v>
                </c:pt>
                <c:pt idx="844">
                  <c:v>45013</c:v>
                </c:pt>
                <c:pt idx="845">
                  <c:v>45014</c:v>
                </c:pt>
                <c:pt idx="846">
                  <c:v>45015</c:v>
                </c:pt>
                <c:pt idx="847">
                  <c:v>45016</c:v>
                </c:pt>
                <c:pt idx="848">
                  <c:v>45019</c:v>
                </c:pt>
                <c:pt idx="849">
                  <c:v>45020</c:v>
                </c:pt>
                <c:pt idx="850">
                  <c:v>45021</c:v>
                </c:pt>
                <c:pt idx="851">
                  <c:v>45022</c:v>
                </c:pt>
                <c:pt idx="852">
                  <c:v>45023</c:v>
                </c:pt>
                <c:pt idx="853">
                  <c:v>45026</c:v>
                </c:pt>
                <c:pt idx="854">
                  <c:v>45027</c:v>
                </c:pt>
                <c:pt idx="855">
                  <c:v>45028</c:v>
                </c:pt>
                <c:pt idx="856">
                  <c:v>45029</c:v>
                </c:pt>
                <c:pt idx="857">
                  <c:v>45030</c:v>
                </c:pt>
                <c:pt idx="858">
                  <c:v>45033</c:v>
                </c:pt>
                <c:pt idx="859">
                  <c:v>45034</c:v>
                </c:pt>
                <c:pt idx="860">
                  <c:v>45035</c:v>
                </c:pt>
                <c:pt idx="861">
                  <c:v>45036</c:v>
                </c:pt>
                <c:pt idx="862">
                  <c:v>45037</c:v>
                </c:pt>
                <c:pt idx="863">
                  <c:v>45040</c:v>
                </c:pt>
                <c:pt idx="864">
                  <c:v>45041</c:v>
                </c:pt>
                <c:pt idx="865">
                  <c:v>45042</c:v>
                </c:pt>
                <c:pt idx="866">
                  <c:v>45043</c:v>
                </c:pt>
                <c:pt idx="867">
                  <c:v>45044</c:v>
                </c:pt>
                <c:pt idx="868">
                  <c:v>45047</c:v>
                </c:pt>
                <c:pt idx="869">
                  <c:v>45048</c:v>
                </c:pt>
                <c:pt idx="870">
                  <c:v>45049</c:v>
                </c:pt>
                <c:pt idx="871">
                  <c:v>45050</c:v>
                </c:pt>
                <c:pt idx="872">
                  <c:v>45051</c:v>
                </c:pt>
                <c:pt idx="873">
                  <c:v>45054</c:v>
                </c:pt>
                <c:pt idx="874">
                  <c:v>45055</c:v>
                </c:pt>
                <c:pt idx="875">
                  <c:v>45056</c:v>
                </c:pt>
                <c:pt idx="876">
                  <c:v>45057</c:v>
                </c:pt>
                <c:pt idx="877">
                  <c:v>45058</c:v>
                </c:pt>
                <c:pt idx="878">
                  <c:v>45061</c:v>
                </c:pt>
                <c:pt idx="879">
                  <c:v>45062</c:v>
                </c:pt>
                <c:pt idx="880">
                  <c:v>45063</c:v>
                </c:pt>
                <c:pt idx="881">
                  <c:v>45064</c:v>
                </c:pt>
                <c:pt idx="882">
                  <c:v>45065</c:v>
                </c:pt>
                <c:pt idx="883">
                  <c:v>45068</c:v>
                </c:pt>
                <c:pt idx="884">
                  <c:v>45069</c:v>
                </c:pt>
                <c:pt idx="885">
                  <c:v>45070</c:v>
                </c:pt>
                <c:pt idx="886">
                  <c:v>45071</c:v>
                </c:pt>
                <c:pt idx="887">
                  <c:v>45072</c:v>
                </c:pt>
                <c:pt idx="888">
                  <c:v>45075</c:v>
                </c:pt>
                <c:pt idx="889">
                  <c:v>45076</c:v>
                </c:pt>
                <c:pt idx="890">
                  <c:v>45077</c:v>
                </c:pt>
                <c:pt idx="891">
                  <c:v>45078</c:v>
                </c:pt>
                <c:pt idx="892">
                  <c:v>45079</c:v>
                </c:pt>
                <c:pt idx="893">
                  <c:v>45082</c:v>
                </c:pt>
                <c:pt idx="894">
                  <c:v>45083</c:v>
                </c:pt>
                <c:pt idx="895">
                  <c:v>45084</c:v>
                </c:pt>
                <c:pt idx="896">
                  <c:v>45085</c:v>
                </c:pt>
                <c:pt idx="897">
                  <c:v>45086</c:v>
                </c:pt>
                <c:pt idx="898">
                  <c:v>45089</c:v>
                </c:pt>
                <c:pt idx="899">
                  <c:v>45090</c:v>
                </c:pt>
                <c:pt idx="900">
                  <c:v>45091</c:v>
                </c:pt>
                <c:pt idx="901">
                  <c:v>45092</c:v>
                </c:pt>
                <c:pt idx="902">
                  <c:v>45093</c:v>
                </c:pt>
                <c:pt idx="903">
                  <c:v>45096</c:v>
                </c:pt>
                <c:pt idx="904">
                  <c:v>45097</c:v>
                </c:pt>
                <c:pt idx="905">
                  <c:v>45098</c:v>
                </c:pt>
                <c:pt idx="906">
                  <c:v>45099</c:v>
                </c:pt>
                <c:pt idx="907">
                  <c:v>45100</c:v>
                </c:pt>
                <c:pt idx="908">
                  <c:v>45103</c:v>
                </c:pt>
                <c:pt idx="909">
                  <c:v>45104</c:v>
                </c:pt>
                <c:pt idx="910">
                  <c:v>45105</c:v>
                </c:pt>
                <c:pt idx="911">
                  <c:v>45106</c:v>
                </c:pt>
                <c:pt idx="912">
                  <c:v>45107</c:v>
                </c:pt>
                <c:pt idx="913">
                  <c:v>45110</c:v>
                </c:pt>
                <c:pt idx="914">
                  <c:v>45111</c:v>
                </c:pt>
                <c:pt idx="915">
                  <c:v>45112</c:v>
                </c:pt>
                <c:pt idx="916">
                  <c:v>45113</c:v>
                </c:pt>
                <c:pt idx="917">
                  <c:v>45114</c:v>
                </c:pt>
                <c:pt idx="918">
                  <c:v>45117</c:v>
                </c:pt>
                <c:pt idx="919">
                  <c:v>45118</c:v>
                </c:pt>
                <c:pt idx="920">
                  <c:v>45119</c:v>
                </c:pt>
                <c:pt idx="921">
                  <c:v>45120</c:v>
                </c:pt>
                <c:pt idx="922">
                  <c:v>45121</c:v>
                </c:pt>
                <c:pt idx="923">
                  <c:v>45124</c:v>
                </c:pt>
                <c:pt idx="924">
                  <c:v>45125</c:v>
                </c:pt>
                <c:pt idx="925">
                  <c:v>45126</c:v>
                </c:pt>
                <c:pt idx="926">
                  <c:v>45127</c:v>
                </c:pt>
                <c:pt idx="927">
                  <c:v>45128</c:v>
                </c:pt>
                <c:pt idx="928">
                  <c:v>45131</c:v>
                </c:pt>
                <c:pt idx="929">
                  <c:v>45132</c:v>
                </c:pt>
                <c:pt idx="930">
                  <c:v>45133</c:v>
                </c:pt>
                <c:pt idx="931">
                  <c:v>45134</c:v>
                </c:pt>
                <c:pt idx="932">
                  <c:v>45135</c:v>
                </c:pt>
                <c:pt idx="933">
                  <c:v>45138</c:v>
                </c:pt>
                <c:pt idx="934">
                  <c:v>45139</c:v>
                </c:pt>
                <c:pt idx="935">
                  <c:v>45140</c:v>
                </c:pt>
                <c:pt idx="936">
                  <c:v>45141</c:v>
                </c:pt>
                <c:pt idx="937">
                  <c:v>45142</c:v>
                </c:pt>
                <c:pt idx="938">
                  <c:v>45145</c:v>
                </c:pt>
                <c:pt idx="939">
                  <c:v>45146</c:v>
                </c:pt>
                <c:pt idx="940">
                  <c:v>45147</c:v>
                </c:pt>
                <c:pt idx="941">
                  <c:v>45148</c:v>
                </c:pt>
                <c:pt idx="942">
                  <c:v>45149</c:v>
                </c:pt>
                <c:pt idx="943">
                  <c:v>45152</c:v>
                </c:pt>
                <c:pt idx="944">
                  <c:v>45153</c:v>
                </c:pt>
                <c:pt idx="945">
                  <c:v>45154</c:v>
                </c:pt>
                <c:pt idx="946">
                  <c:v>45155</c:v>
                </c:pt>
                <c:pt idx="947">
                  <c:v>45156</c:v>
                </c:pt>
                <c:pt idx="948">
                  <c:v>45159</c:v>
                </c:pt>
                <c:pt idx="949">
                  <c:v>45160</c:v>
                </c:pt>
                <c:pt idx="950">
                  <c:v>45161</c:v>
                </c:pt>
                <c:pt idx="951">
                  <c:v>45162</c:v>
                </c:pt>
                <c:pt idx="952">
                  <c:v>45163</c:v>
                </c:pt>
                <c:pt idx="953">
                  <c:v>45166</c:v>
                </c:pt>
                <c:pt idx="954">
                  <c:v>45167</c:v>
                </c:pt>
                <c:pt idx="955">
                  <c:v>45168</c:v>
                </c:pt>
                <c:pt idx="956">
                  <c:v>45169</c:v>
                </c:pt>
                <c:pt idx="957">
                  <c:v>45170</c:v>
                </c:pt>
                <c:pt idx="958">
                  <c:v>45173</c:v>
                </c:pt>
                <c:pt idx="959">
                  <c:v>45174</c:v>
                </c:pt>
                <c:pt idx="960">
                  <c:v>45175</c:v>
                </c:pt>
                <c:pt idx="961">
                  <c:v>45176</c:v>
                </c:pt>
                <c:pt idx="962">
                  <c:v>45177</c:v>
                </c:pt>
                <c:pt idx="963">
                  <c:v>45180</c:v>
                </c:pt>
              </c:numCache>
            </c:numRef>
          </c:cat>
          <c:val>
            <c:numRef>
              <c:f>Sheet1!$E$2:$E$1226</c:f>
              <c:numCache>
                <c:formatCode>0</c:formatCode>
                <c:ptCount val="964"/>
                <c:pt idx="0">
                  <c:v>2.12114</c:v>
                </c:pt>
                <c:pt idx="1">
                  <c:v>2.1353</c:v>
                </c:pt>
                <c:pt idx="2">
                  <c:v>2.23536</c:v>
                </c:pt>
                <c:pt idx="3">
                  <c:v>2.2467799999999998</c:v>
                </c:pt>
                <c:pt idx="4">
                  <c:v>2.2223099999999998</c:v>
                </c:pt>
                <c:pt idx="5">
                  <c:v>2.1464699999999999</c:v>
                </c:pt>
                <c:pt idx="6">
                  <c:v>2.10528</c:v>
                </c:pt>
                <c:pt idx="7">
                  <c:v>2.0803600000000002</c:v>
                </c:pt>
                <c:pt idx="8">
                  <c:v>2.0828899999999999</c:v>
                </c:pt>
                <c:pt idx="9">
                  <c:v>2.0657399999999999</c:v>
                </c:pt>
                <c:pt idx="10">
                  <c:v>2.0863999999999998</c:v>
                </c:pt>
                <c:pt idx="11">
                  <c:v>1.9735400000000001</c:v>
                </c:pt>
                <c:pt idx="12">
                  <c:v>2.0033400000000001</c:v>
                </c:pt>
                <c:pt idx="13">
                  <c:v>2.0045299999999999</c:v>
                </c:pt>
                <c:pt idx="14">
                  <c:v>2.0404599999999999</c:v>
                </c:pt>
                <c:pt idx="15">
                  <c:v>2.05254</c:v>
                </c:pt>
                <c:pt idx="16">
                  <c:v>2.0810200000000001</c:v>
                </c:pt>
                <c:pt idx="17">
                  <c:v>2.12384</c:v>
                </c:pt>
                <c:pt idx="18">
                  <c:v>2.2173500000000002</c:v>
                </c:pt>
                <c:pt idx="19">
                  <c:v>2.1707000000000001</c:v>
                </c:pt>
                <c:pt idx="20">
                  <c:v>2.2183999999999999</c:v>
                </c:pt>
                <c:pt idx="21">
                  <c:v>2.2484500000000001</c:v>
                </c:pt>
                <c:pt idx="22">
                  <c:v>2.2577400000000001</c:v>
                </c:pt>
                <c:pt idx="23">
                  <c:v>2.2863699999999998</c:v>
                </c:pt>
                <c:pt idx="24">
                  <c:v>2.2288800000000002</c:v>
                </c:pt>
                <c:pt idx="25">
                  <c:v>2.1729499999999997</c:v>
                </c:pt>
                <c:pt idx="26">
                  <c:v>2.1487600000000002</c:v>
                </c:pt>
                <c:pt idx="27">
                  <c:v>2.2061899999999999</c:v>
                </c:pt>
                <c:pt idx="28">
                  <c:v>2.2209699999999999</c:v>
                </c:pt>
                <c:pt idx="29">
                  <c:v>2.1882900000000003</c:v>
                </c:pt>
                <c:pt idx="30">
                  <c:v>2.1608499999999999</c:v>
                </c:pt>
                <c:pt idx="31">
                  <c:v>2.15937</c:v>
                </c:pt>
                <c:pt idx="32">
                  <c:v>2.1473100000000001</c:v>
                </c:pt>
                <c:pt idx="33">
                  <c:v>2.1528</c:v>
                </c:pt>
                <c:pt idx="34">
                  <c:v>2.1555599999999999</c:v>
                </c:pt>
                <c:pt idx="35">
                  <c:v>2.1421899999999998</c:v>
                </c:pt>
                <c:pt idx="36">
                  <c:v>2.18146</c:v>
                </c:pt>
                <c:pt idx="37">
                  <c:v>2.2174999999999998</c:v>
                </c:pt>
                <c:pt idx="38">
                  <c:v>2.31054</c:v>
                </c:pt>
                <c:pt idx="39">
                  <c:v>2.34795</c:v>
                </c:pt>
                <c:pt idx="40">
                  <c:v>2.32748</c:v>
                </c:pt>
                <c:pt idx="41">
                  <c:v>2.4815399999999999</c:v>
                </c:pt>
                <c:pt idx="42">
                  <c:v>2.8059600000000002</c:v>
                </c:pt>
                <c:pt idx="43">
                  <c:v>2.778</c:v>
                </c:pt>
                <c:pt idx="44">
                  <c:v>2.6498899999999996</c:v>
                </c:pt>
                <c:pt idx="45">
                  <c:v>2.6928500000000004</c:v>
                </c:pt>
                <c:pt idx="46">
                  <c:v>2.7486299999999999</c:v>
                </c:pt>
                <c:pt idx="47">
                  <c:v>2.9555599999999997</c:v>
                </c:pt>
                <c:pt idx="48">
                  <c:v>3.78823</c:v>
                </c:pt>
                <c:pt idx="49">
                  <c:v>3.56264</c:v>
                </c:pt>
                <c:pt idx="50">
                  <c:v>3.4983</c:v>
                </c:pt>
                <c:pt idx="51">
                  <c:v>3.9068200000000002</c:v>
                </c:pt>
                <c:pt idx="52">
                  <c:v>3.75224</c:v>
                </c:pt>
                <c:pt idx="53">
                  <c:v>4.1019800000000002</c:v>
                </c:pt>
                <c:pt idx="54">
                  <c:v>4.0928800000000001</c:v>
                </c:pt>
                <c:pt idx="55">
                  <c:v>4.6605699999999999</c:v>
                </c:pt>
                <c:pt idx="56">
                  <c:v>4.8567099999999996</c:v>
                </c:pt>
                <c:pt idx="57">
                  <c:v>4.9901400000000002</c:v>
                </c:pt>
                <c:pt idx="58">
                  <c:v>5.3417499999999993</c:v>
                </c:pt>
                <c:pt idx="59">
                  <c:v>5.3165999999999993</c:v>
                </c:pt>
                <c:pt idx="60">
                  <c:v>5.1505600000000005</c:v>
                </c:pt>
                <c:pt idx="61">
                  <c:v>4.7224000000000004</c:v>
                </c:pt>
                <c:pt idx="62">
                  <c:v>4.7852499999999996</c:v>
                </c:pt>
                <c:pt idx="63">
                  <c:v>4.9610500000000002</c:v>
                </c:pt>
                <c:pt idx="64">
                  <c:v>4.8479999999999999</c:v>
                </c:pt>
                <c:pt idx="65">
                  <c:v>4.8105799999999999</c:v>
                </c:pt>
                <c:pt idx="66">
                  <c:v>4.8320400000000001</c:v>
                </c:pt>
                <c:pt idx="67">
                  <c:v>4.67422</c:v>
                </c:pt>
                <c:pt idx="68">
                  <c:v>4.5115600000000002</c:v>
                </c:pt>
                <c:pt idx="69">
                  <c:v>4.4511700000000003</c:v>
                </c:pt>
                <c:pt idx="70">
                  <c:v>4.4205500000000004</c:v>
                </c:pt>
                <c:pt idx="71">
                  <c:v>4.3113900000000003</c:v>
                </c:pt>
                <c:pt idx="72">
                  <c:v>4.3113900000000003</c:v>
                </c:pt>
                <c:pt idx="73">
                  <c:v>4.3113900000000003</c:v>
                </c:pt>
                <c:pt idx="74">
                  <c:v>4.1780799999999996</c:v>
                </c:pt>
                <c:pt idx="75">
                  <c:v>4.2955500000000004</c:v>
                </c:pt>
                <c:pt idx="76">
                  <c:v>4.3374300000000003</c:v>
                </c:pt>
                <c:pt idx="77">
                  <c:v>4.2530099999999997</c:v>
                </c:pt>
                <c:pt idx="78">
                  <c:v>4.2357899999999997</c:v>
                </c:pt>
                <c:pt idx="79">
                  <c:v>4.2892200000000003</c:v>
                </c:pt>
                <c:pt idx="80">
                  <c:v>4.3148599999999995</c:v>
                </c:pt>
                <c:pt idx="81">
                  <c:v>4.3129900000000001</c:v>
                </c:pt>
                <c:pt idx="82">
                  <c:v>4.3169199999999996</c:v>
                </c:pt>
                <c:pt idx="83">
                  <c:v>4.2660400000000003</c:v>
                </c:pt>
                <c:pt idx="84">
                  <c:v>4.2976600000000005</c:v>
                </c:pt>
                <c:pt idx="85">
                  <c:v>4.2947000000000006</c:v>
                </c:pt>
                <c:pt idx="86">
                  <c:v>4.1898200000000001</c:v>
                </c:pt>
                <c:pt idx="87">
                  <c:v>4.21401</c:v>
                </c:pt>
                <c:pt idx="88">
                  <c:v>4.2184300000000006</c:v>
                </c:pt>
                <c:pt idx="89">
                  <c:v>3.9559500000000001</c:v>
                </c:pt>
                <c:pt idx="90">
                  <c:v>3.85</c:v>
                </c:pt>
                <c:pt idx="91">
                  <c:v>3.9926699999999999</c:v>
                </c:pt>
                <c:pt idx="92">
                  <c:v>3.9926699999999999</c:v>
                </c:pt>
                <c:pt idx="93">
                  <c:v>3.6954199999999999</c:v>
                </c:pt>
                <c:pt idx="94">
                  <c:v>3.7346300000000001</c:v>
                </c:pt>
                <c:pt idx="95">
                  <c:v>3.7349700000000001</c:v>
                </c:pt>
                <c:pt idx="96">
                  <c:v>3.7245800000000004</c:v>
                </c:pt>
                <c:pt idx="97">
                  <c:v>3.7324400000000004</c:v>
                </c:pt>
                <c:pt idx="98">
                  <c:v>3.47932</c:v>
                </c:pt>
                <c:pt idx="99">
                  <c:v>3.4400200000000001</c:v>
                </c:pt>
                <c:pt idx="100">
                  <c:v>3.3361800000000001</c:v>
                </c:pt>
                <c:pt idx="101">
                  <c:v>3.3412299999999999</c:v>
                </c:pt>
                <c:pt idx="102">
                  <c:v>3.3314299999999997</c:v>
                </c:pt>
                <c:pt idx="103">
                  <c:v>3.3314299999999997</c:v>
                </c:pt>
                <c:pt idx="104">
                  <c:v>3.28051</c:v>
                </c:pt>
                <c:pt idx="105">
                  <c:v>3.2691599999999998</c:v>
                </c:pt>
                <c:pt idx="106">
                  <c:v>3.2620299999999998</c:v>
                </c:pt>
                <c:pt idx="107">
                  <c:v>3.29149</c:v>
                </c:pt>
                <c:pt idx="108">
                  <c:v>3.2766199999999999</c:v>
                </c:pt>
                <c:pt idx="109">
                  <c:v>3.2702599999999999</c:v>
                </c:pt>
                <c:pt idx="110">
                  <c:v>3.20445</c:v>
                </c:pt>
                <c:pt idx="111">
                  <c:v>3.1691099999999999</c:v>
                </c:pt>
                <c:pt idx="112">
                  <c:v>3.03024</c:v>
                </c:pt>
                <c:pt idx="113">
                  <c:v>3.1076600000000001</c:v>
                </c:pt>
                <c:pt idx="114">
                  <c:v>3.15591</c:v>
                </c:pt>
                <c:pt idx="115">
                  <c:v>3.1912599999999998</c:v>
                </c:pt>
                <c:pt idx="116">
                  <c:v>3.42767</c:v>
                </c:pt>
                <c:pt idx="117">
                  <c:v>3.4435500000000001</c:v>
                </c:pt>
                <c:pt idx="118">
                  <c:v>3.7258200000000001</c:v>
                </c:pt>
                <c:pt idx="119">
                  <c:v>3.5882400000000003</c:v>
                </c:pt>
                <c:pt idx="120">
                  <c:v>3.6337200000000003</c:v>
                </c:pt>
                <c:pt idx="121">
                  <c:v>3.6889299999999996</c:v>
                </c:pt>
                <c:pt idx="122">
                  <c:v>3.6746499999999997</c:v>
                </c:pt>
                <c:pt idx="123">
                  <c:v>3.6930700000000001</c:v>
                </c:pt>
                <c:pt idx="124">
                  <c:v>3.6689800000000004</c:v>
                </c:pt>
                <c:pt idx="125">
                  <c:v>3.6814999999999998</c:v>
                </c:pt>
                <c:pt idx="126">
                  <c:v>3.7766800000000003</c:v>
                </c:pt>
                <c:pt idx="127">
                  <c:v>3.7921399999999998</c:v>
                </c:pt>
                <c:pt idx="128">
                  <c:v>3.80341</c:v>
                </c:pt>
                <c:pt idx="129">
                  <c:v>3.80382</c:v>
                </c:pt>
                <c:pt idx="130">
                  <c:v>3.7665899999999999</c:v>
                </c:pt>
                <c:pt idx="131">
                  <c:v>3.5654500000000002</c:v>
                </c:pt>
                <c:pt idx="132">
                  <c:v>3.4516800000000001</c:v>
                </c:pt>
                <c:pt idx="133">
                  <c:v>3.4943200000000001</c:v>
                </c:pt>
                <c:pt idx="134">
                  <c:v>3.5576699999999999</c:v>
                </c:pt>
                <c:pt idx="135">
                  <c:v>3.5696699999999999</c:v>
                </c:pt>
                <c:pt idx="136">
                  <c:v>3.5570299999999997</c:v>
                </c:pt>
                <c:pt idx="137">
                  <c:v>3.5780599999999998</c:v>
                </c:pt>
                <c:pt idx="138">
                  <c:v>3.5792099999999998</c:v>
                </c:pt>
                <c:pt idx="139">
                  <c:v>3.5647199999999999</c:v>
                </c:pt>
                <c:pt idx="140">
                  <c:v>3.56616</c:v>
                </c:pt>
                <c:pt idx="141">
                  <c:v>3.5808200000000001</c:v>
                </c:pt>
                <c:pt idx="142">
                  <c:v>3.6112900000000003</c:v>
                </c:pt>
                <c:pt idx="143">
                  <c:v>3.6024400000000001</c:v>
                </c:pt>
                <c:pt idx="144">
                  <c:v>3.56928</c:v>
                </c:pt>
                <c:pt idx="145">
                  <c:v>3.5250599999999999</c:v>
                </c:pt>
                <c:pt idx="146">
                  <c:v>3.5199500000000001</c:v>
                </c:pt>
                <c:pt idx="147">
                  <c:v>3.5151100000000004</c:v>
                </c:pt>
                <c:pt idx="148">
                  <c:v>3.49777</c:v>
                </c:pt>
                <c:pt idx="149">
                  <c:v>3.47628</c:v>
                </c:pt>
                <c:pt idx="150">
                  <c:v>3.4767299999999999</c:v>
                </c:pt>
                <c:pt idx="151">
                  <c:v>3.4939100000000001</c:v>
                </c:pt>
                <c:pt idx="152">
                  <c:v>3.4889199999999998</c:v>
                </c:pt>
                <c:pt idx="153">
                  <c:v>3.4813000000000001</c:v>
                </c:pt>
                <c:pt idx="154">
                  <c:v>3.40455</c:v>
                </c:pt>
                <c:pt idx="155">
                  <c:v>3.3040099999999999</c:v>
                </c:pt>
                <c:pt idx="156">
                  <c:v>3.2918700000000003</c:v>
                </c:pt>
                <c:pt idx="157">
                  <c:v>3.2676699999999999</c:v>
                </c:pt>
                <c:pt idx="158">
                  <c:v>3.2231000000000001</c:v>
                </c:pt>
                <c:pt idx="159">
                  <c:v>3.1471399999999998</c:v>
                </c:pt>
                <c:pt idx="160">
                  <c:v>3.1200099999999997</c:v>
                </c:pt>
                <c:pt idx="161">
                  <c:v>3.0632100000000002</c:v>
                </c:pt>
                <c:pt idx="162">
                  <c:v>3.02956</c:v>
                </c:pt>
                <c:pt idx="163">
                  <c:v>3.0853199999999998</c:v>
                </c:pt>
                <c:pt idx="164">
                  <c:v>3.07409</c:v>
                </c:pt>
                <c:pt idx="165">
                  <c:v>3.0686599999999999</c:v>
                </c:pt>
                <c:pt idx="166">
                  <c:v>3.0996499999999996</c:v>
                </c:pt>
                <c:pt idx="167">
                  <c:v>3.1099099999999997</c:v>
                </c:pt>
                <c:pt idx="168">
                  <c:v>3.10175</c:v>
                </c:pt>
                <c:pt idx="169">
                  <c:v>3.0392000000000001</c:v>
                </c:pt>
                <c:pt idx="170">
                  <c:v>3.0394400000000004</c:v>
                </c:pt>
                <c:pt idx="171">
                  <c:v>2.9253500000000003</c:v>
                </c:pt>
                <c:pt idx="172">
                  <c:v>2.9316300000000002</c:v>
                </c:pt>
                <c:pt idx="173">
                  <c:v>2.9316300000000002</c:v>
                </c:pt>
                <c:pt idx="174">
                  <c:v>2.9904600000000001</c:v>
                </c:pt>
                <c:pt idx="175">
                  <c:v>3.0332999999999997</c:v>
                </c:pt>
                <c:pt idx="176">
                  <c:v>3.0432700000000001</c:v>
                </c:pt>
                <c:pt idx="177">
                  <c:v>2.9569799999999997</c:v>
                </c:pt>
                <c:pt idx="178">
                  <c:v>2.9237000000000002</c:v>
                </c:pt>
                <c:pt idx="179">
                  <c:v>3.0019</c:v>
                </c:pt>
                <c:pt idx="180">
                  <c:v>2.9687799999999998</c:v>
                </c:pt>
                <c:pt idx="181">
                  <c:v>2.9893200000000002</c:v>
                </c:pt>
                <c:pt idx="182">
                  <c:v>3.0132600000000003</c:v>
                </c:pt>
                <c:pt idx="183">
                  <c:v>3.02284</c:v>
                </c:pt>
                <c:pt idx="184">
                  <c:v>3.0021100000000001</c:v>
                </c:pt>
                <c:pt idx="185">
                  <c:v>2.9985899999999996</c:v>
                </c:pt>
                <c:pt idx="186">
                  <c:v>2.9978600000000002</c:v>
                </c:pt>
                <c:pt idx="187">
                  <c:v>2.9735100000000001</c:v>
                </c:pt>
                <c:pt idx="188">
                  <c:v>3.0616000000000003</c:v>
                </c:pt>
                <c:pt idx="189">
                  <c:v>3.07233</c:v>
                </c:pt>
                <c:pt idx="190">
                  <c:v>3.0861399999999999</c:v>
                </c:pt>
                <c:pt idx="191">
                  <c:v>3.1656999999999997</c:v>
                </c:pt>
                <c:pt idx="192">
                  <c:v>3.1566300000000003</c:v>
                </c:pt>
                <c:pt idx="193">
                  <c:v>3.6847699999999999</c:v>
                </c:pt>
                <c:pt idx="194">
                  <c:v>3.8935700000000004</c:v>
                </c:pt>
                <c:pt idx="195">
                  <c:v>3.6059399999999999</c:v>
                </c:pt>
                <c:pt idx="196">
                  <c:v>3.4276799999999996</c:v>
                </c:pt>
                <c:pt idx="197">
                  <c:v>3.3493300000000001</c:v>
                </c:pt>
                <c:pt idx="198">
                  <c:v>3.2947199999999999</c:v>
                </c:pt>
                <c:pt idx="199">
                  <c:v>3.2837599999999996</c:v>
                </c:pt>
                <c:pt idx="200">
                  <c:v>3.3144200000000001</c:v>
                </c:pt>
                <c:pt idx="201">
                  <c:v>3.3122199999999999</c:v>
                </c:pt>
                <c:pt idx="202">
                  <c:v>3.2530200000000002</c:v>
                </c:pt>
                <c:pt idx="203">
                  <c:v>3.2642099999999998</c:v>
                </c:pt>
                <c:pt idx="204">
                  <c:v>3.2913799999999998</c:v>
                </c:pt>
                <c:pt idx="205">
                  <c:v>3.4105700000000003</c:v>
                </c:pt>
                <c:pt idx="206">
                  <c:v>3.5555900000000005</c:v>
                </c:pt>
                <c:pt idx="207">
                  <c:v>3.5277999999999996</c:v>
                </c:pt>
                <c:pt idx="208">
                  <c:v>3.4514399999999998</c:v>
                </c:pt>
                <c:pt idx="209">
                  <c:v>3.4538799999999998</c:v>
                </c:pt>
                <c:pt idx="210">
                  <c:v>3.4641099999999998</c:v>
                </c:pt>
                <c:pt idx="211">
                  <c:v>3.4962999999999997</c:v>
                </c:pt>
                <c:pt idx="212">
                  <c:v>3.5025299999999997</c:v>
                </c:pt>
                <c:pt idx="213">
                  <c:v>3.6346499999999997</c:v>
                </c:pt>
                <c:pt idx="214">
                  <c:v>3.70445</c:v>
                </c:pt>
                <c:pt idx="215">
                  <c:v>3.7759300000000002</c:v>
                </c:pt>
                <c:pt idx="216">
                  <c:v>3.83894</c:v>
                </c:pt>
                <c:pt idx="217">
                  <c:v>3.8163799999999997</c:v>
                </c:pt>
                <c:pt idx="218">
                  <c:v>3.9576499999999997</c:v>
                </c:pt>
                <c:pt idx="219">
                  <c:v>3.84483</c:v>
                </c:pt>
                <c:pt idx="220">
                  <c:v>3.8892799999999998</c:v>
                </c:pt>
                <c:pt idx="221">
                  <c:v>3.81562</c:v>
                </c:pt>
                <c:pt idx="222">
                  <c:v>3.7986300000000002</c:v>
                </c:pt>
                <c:pt idx="223">
                  <c:v>3.5977699999999997</c:v>
                </c:pt>
                <c:pt idx="224">
                  <c:v>3.2216399999999998</c:v>
                </c:pt>
                <c:pt idx="225">
                  <c:v>3.1883300000000001</c:v>
                </c:pt>
                <c:pt idx="226">
                  <c:v>3.3195999999999999</c:v>
                </c:pt>
                <c:pt idx="227">
                  <c:v>3.2844899999999999</c:v>
                </c:pt>
                <c:pt idx="228">
                  <c:v>3.2971599999999999</c:v>
                </c:pt>
                <c:pt idx="229">
                  <c:v>3.3708800000000001</c:v>
                </c:pt>
                <c:pt idx="230">
                  <c:v>3.3854299999999999</c:v>
                </c:pt>
                <c:pt idx="231">
                  <c:v>3.4373399999999998</c:v>
                </c:pt>
                <c:pt idx="232">
                  <c:v>3.5032200000000002</c:v>
                </c:pt>
                <c:pt idx="233">
                  <c:v>3.4751100000000004</c:v>
                </c:pt>
                <c:pt idx="234">
                  <c:v>3.4048200000000004</c:v>
                </c:pt>
                <c:pt idx="235">
                  <c:v>3.3442599999999998</c:v>
                </c:pt>
                <c:pt idx="236">
                  <c:v>3.3790300000000002</c:v>
                </c:pt>
                <c:pt idx="237">
                  <c:v>3.4609500000000004</c:v>
                </c:pt>
                <c:pt idx="238">
                  <c:v>3.4643599999999997</c:v>
                </c:pt>
                <c:pt idx="239">
                  <c:v>3.3745499999999997</c:v>
                </c:pt>
                <c:pt idx="240">
                  <c:v>3.3596599999999999</c:v>
                </c:pt>
                <c:pt idx="241">
                  <c:v>3.2175199999999999</c:v>
                </c:pt>
                <c:pt idx="242">
                  <c:v>2.9546499999999996</c:v>
                </c:pt>
                <c:pt idx="243">
                  <c:v>2.97113</c:v>
                </c:pt>
                <c:pt idx="244">
                  <c:v>2.9948800000000002</c:v>
                </c:pt>
                <c:pt idx="245">
                  <c:v>2.9661200000000001</c:v>
                </c:pt>
                <c:pt idx="246">
                  <c:v>3.0306299999999999</c:v>
                </c:pt>
                <c:pt idx="247">
                  <c:v>3.0554000000000001</c:v>
                </c:pt>
                <c:pt idx="248">
                  <c:v>3.0520999999999998</c:v>
                </c:pt>
                <c:pt idx="249">
                  <c:v>2.9740800000000003</c:v>
                </c:pt>
                <c:pt idx="250">
                  <c:v>2.9401600000000001</c:v>
                </c:pt>
                <c:pt idx="251">
                  <c:v>2.8971800000000001</c:v>
                </c:pt>
                <c:pt idx="252">
                  <c:v>2.8316500000000002</c:v>
                </c:pt>
                <c:pt idx="253">
                  <c:v>2.8701499999999998</c:v>
                </c:pt>
                <c:pt idx="254">
                  <c:v>2.9148700000000001</c:v>
                </c:pt>
                <c:pt idx="255">
                  <c:v>2.8561900000000002</c:v>
                </c:pt>
                <c:pt idx="256">
                  <c:v>2.9067899999999995</c:v>
                </c:pt>
                <c:pt idx="257">
                  <c:v>2.9067899999999995</c:v>
                </c:pt>
                <c:pt idx="258">
                  <c:v>2.9067899999999995</c:v>
                </c:pt>
                <c:pt idx="259">
                  <c:v>2.9083100000000002</c:v>
                </c:pt>
                <c:pt idx="260">
                  <c:v>2.9111599999999997</c:v>
                </c:pt>
                <c:pt idx="261">
                  <c:v>2.9033499999999997</c:v>
                </c:pt>
                <c:pt idx="262">
                  <c:v>2.9033499999999997</c:v>
                </c:pt>
                <c:pt idx="263">
                  <c:v>2.8758999999999997</c:v>
                </c:pt>
                <c:pt idx="264">
                  <c:v>2.8173599999999999</c:v>
                </c:pt>
                <c:pt idx="265">
                  <c:v>2.7188699999999999</c:v>
                </c:pt>
                <c:pt idx="266">
                  <c:v>2.7028799999999999</c:v>
                </c:pt>
                <c:pt idx="267">
                  <c:v>2.65896</c:v>
                </c:pt>
                <c:pt idx="268">
                  <c:v>2.6051100000000003</c:v>
                </c:pt>
                <c:pt idx="269">
                  <c:v>2.6046199999999997</c:v>
                </c:pt>
                <c:pt idx="270">
                  <c:v>2.61591</c:v>
                </c:pt>
                <c:pt idx="271">
                  <c:v>2.4379900000000001</c:v>
                </c:pt>
                <c:pt idx="272">
                  <c:v>2.4322300000000001</c:v>
                </c:pt>
                <c:pt idx="273">
                  <c:v>2.4761500000000001</c:v>
                </c:pt>
                <c:pt idx="274">
                  <c:v>2.48089</c:v>
                </c:pt>
                <c:pt idx="275">
                  <c:v>2.5114299999999998</c:v>
                </c:pt>
                <c:pt idx="276">
                  <c:v>2.4931000000000001</c:v>
                </c:pt>
                <c:pt idx="277">
                  <c:v>2.5241799999999999</c:v>
                </c:pt>
                <c:pt idx="278">
                  <c:v>2.7080599999999997</c:v>
                </c:pt>
                <c:pt idx="279">
                  <c:v>2.6369699999999998</c:v>
                </c:pt>
                <c:pt idx="280">
                  <c:v>2.7142300000000001</c:v>
                </c:pt>
                <c:pt idx="281">
                  <c:v>2.6881699999999999</c:v>
                </c:pt>
                <c:pt idx="282">
                  <c:v>2.6342300000000001</c:v>
                </c:pt>
                <c:pt idx="283">
                  <c:v>2.6261900000000002</c:v>
                </c:pt>
                <c:pt idx="284">
                  <c:v>2.60406</c:v>
                </c:pt>
                <c:pt idx="285">
                  <c:v>2.5458600000000002</c:v>
                </c:pt>
                <c:pt idx="286">
                  <c:v>2.5775299999999999</c:v>
                </c:pt>
                <c:pt idx="287">
                  <c:v>2.5808</c:v>
                </c:pt>
                <c:pt idx="288">
                  <c:v>2.5597099999999999</c:v>
                </c:pt>
                <c:pt idx="289">
                  <c:v>2.6494600000000004</c:v>
                </c:pt>
                <c:pt idx="290">
                  <c:v>2.58738</c:v>
                </c:pt>
                <c:pt idx="291">
                  <c:v>2.7141199999999999</c:v>
                </c:pt>
                <c:pt idx="292">
                  <c:v>2.6886099999999997</c:v>
                </c:pt>
                <c:pt idx="293">
                  <c:v>2.7344799999999996</c:v>
                </c:pt>
                <c:pt idx="294">
                  <c:v>2.7591699999999997</c:v>
                </c:pt>
                <c:pt idx="295">
                  <c:v>2.7146699999999999</c:v>
                </c:pt>
                <c:pt idx="296">
                  <c:v>2.7872199999999996</c:v>
                </c:pt>
                <c:pt idx="297">
                  <c:v>2.61904</c:v>
                </c:pt>
                <c:pt idx="298">
                  <c:v>2.6998500000000001</c:v>
                </c:pt>
                <c:pt idx="299">
                  <c:v>2.6802100000000002</c:v>
                </c:pt>
                <c:pt idx="300">
                  <c:v>2.6537999999999999</c:v>
                </c:pt>
                <c:pt idx="301">
                  <c:v>2.8885899999999998</c:v>
                </c:pt>
                <c:pt idx="302">
                  <c:v>2.87649</c:v>
                </c:pt>
                <c:pt idx="303">
                  <c:v>2.8287099999999996</c:v>
                </c:pt>
                <c:pt idx="304">
                  <c:v>2.8112499999999998</c:v>
                </c:pt>
                <c:pt idx="305">
                  <c:v>2.7092700000000001</c:v>
                </c:pt>
                <c:pt idx="306">
                  <c:v>2.6944099999999995</c:v>
                </c:pt>
                <c:pt idx="307">
                  <c:v>2.8116099999999999</c:v>
                </c:pt>
                <c:pt idx="308">
                  <c:v>2.8473799999999998</c:v>
                </c:pt>
                <c:pt idx="309">
                  <c:v>2.8503400000000001</c:v>
                </c:pt>
                <c:pt idx="310">
                  <c:v>2.8662299999999998</c:v>
                </c:pt>
                <c:pt idx="311">
                  <c:v>2.79467</c:v>
                </c:pt>
                <c:pt idx="312">
                  <c:v>2.7272699999999999</c:v>
                </c:pt>
                <c:pt idx="313">
                  <c:v>2.7146699999999999</c:v>
                </c:pt>
                <c:pt idx="314">
                  <c:v>2.7329000000000003</c:v>
                </c:pt>
                <c:pt idx="315">
                  <c:v>2.9518299999999997</c:v>
                </c:pt>
                <c:pt idx="316">
                  <c:v>2.9657100000000001</c:v>
                </c:pt>
                <c:pt idx="317">
                  <c:v>2.8909500000000001</c:v>
                </c:pt>
                <c:pt idx="318">
                  <c:v>2.9470200000000002</c:v>
                </c:pt>
                <c:pt idx="319">
                  <c:v>2.9878100000000001</c:v>
                </c:pt>
                <c:pt idx="320">
                  <c:v>3.0067000000000004</c:v>
                </c:pt>
                <c:pt idx="321">
                  <c:v>3.0230799999999998</c:v>
                </c:pt>
                <c:pt idx="322">
                  <c:v>3.0347500000000003</c:v>
                </c:pt>
                <c:pt idx="323">
                  <c:v>2.9066800000000002</c:v>
                </c:pt>
                <c:pt idx="324">
                  <c:v>2.8964999999999996</c:v>
                </c:pt>
                <c:pt idx="325">
                  <c:v>2.89927</c:v>
                </c:pt>
                <c:pt idx="326">
                  <c:v>2.93188</c:v>
                </c:pt>
                <c:pt idx="327">
                  <c:v>2.93188</c:v>
                </c:pt>
                <c:pt idx="328">
                  <c:v>2.93188</c:v>
                </c:pt>
                <c:pt idx="329">
                  <c:v>2.9581599999999999</c:v>
                </c:pt>
                <c:pt idx="330">
                  <c:v>2.9210000000000003</c:v>
                </c:pt>
                <c:pt idx="331">
                  <c:v>2.91262</c:v>
                </c:pt>
                <c:pt idx="332">
                  <c:v>2.9518</c:v>
                </c:pt>
                <c:pt idx="333">
                  <c:v>2.9180299999999999</c:v>
                </c:pt>
                <c:pt idx="334">
                  <c:v>2.9063600000000003</c:v>
                </c:pt>
                <c:pt idx="335">
                  <c:v>2.90435</c:v>
                </c:pt>
                <c:pt idx="336">
                  <c:v>2.9813999999999998</c:v>
                </c:pt>
                <c:pt idx="337">
                  <c:v>2.9254500000000001</c:v>
                </c:pt>
                <c:pt idx="338">
                  <c:v>2.8895999999999997</c:v>
                </c:pt>
                <c:pt idx="339">
                  <c:v>2.8310199999999996</c:v>
                </c:pt>
                <c:pt idx="340">
                  <c:v>2.8712999999999997</c:v>
                </c:pt>
                <c:pt idx="341">
                  <c:v>2.9012200000000004</c:v>
                </c:pt>
                <c:pt idx="342">
                  <c:v>2.8950299999999998</c:v>
                </c:pt>
                <c:pt idx="343">
                  <c:v>2.8454299999999999</c:v>
                </c:pt>
                <c:pt idx="344">
                  <c:v>2.8259799999999999</c:v>
                </c:pt>
                <c:pt idx="345">
                  <c:v>2.8719700000000001</c:v>
                </c:pt>
                <c:pt idx="346">
                  <c:v>2.8244199999999999</c:v>
                </c:pt>
                <c:pt idx="347">
                  <c:v>2.93431</c:v>
                </c:pt>
                <c:pt idx="348">
                  <c:v>2.93431</c:v>
                </c:pt>
                <c:pt idx="349">
                  <c:v>2.9524699999999999</c:v>
                </c:pt>
                <c:pt idx="350">
                  <c:v>2.83609</c:v>
                </c:pt>
                <c:pt idx="351">
                  <c:v>2.7835899999999998</c:v>
                </c:pt>
                <c:pt idx="352">
                  <c:v>2.6335500000000001</c:v>
                </c:pt>
                <c:pt idx="353">
                  <c:v>2.5724200000000002</c:v>
                </c:pt>
                <c:pt idx="354">
                  <c:v>2.6089499999999997</c:v>
                </c:pt>
                <c:pt idx="355">
                  <c:v>2.5678699999999997</c:v>
                </c:pt>
                <c:pt idx="356">
                  <c:v>2.6526399999999999</c:v>
                </c:pt>
                <c:pt idx="357">
                  <c:v>2.6623600000000001</c:v>
                </c:pt>
                <c:pt idx="358">
                  <c:v>2.6933699999999998</c:v>
                </c:pt>
                <c:pt idx="359">
                  <c:v>2.7058900000000001</c:v>
                </c:pt>
                <c:pt idx="360">
                  <c:v>2.65612</c:v>
                </c:pt>
                <c:pt idx="361">
                  <c:v>2.7226499999999998</c:v>
                </c:pt>
                <c:pt idx="362">
                  <c:v>2.7202699999999997</c:v>
                </c:pt>
                <c:pt idx="363">
                  <c:v>2.7407999999999997</c:v>
                </c:pt>
                <c:pt idx="364">
                  <c:v>2.7545699999999997</c:v>
                </c:pt>
                <c:pt idx="365">
                  <c:v>2.74641</c:v>
                </c:pt>
                <c:pt idx="366">
                  <c:v>2.7134800000000001</c:v>
                </c:pt>
                <c:pt idx="367">
                  <c:v>2.7837200000000002</c:v>
                </c:pt>
                <c:pt idx="368">
                  <c:v>2.7837200000000002</c:v>
                </c:pt>
                <c:pt idx="369">
                  <c:v>2.70452</c:v>
                </c:pt>
                <c:pt idx="370">
                  <c:v>2.7683599999999999</c:v>
                </c:pt>
                <c:pt idx="371">
                  <c:v>2.7414299999999998</c:v>
                </c:pt>
                <c:pt idx="372">
                  <c:v>2.77284</c:v>
                </c:pt>
                <c:pt idx="373">
                  <c:v>2.7826799999999996</c:v>
                </c:pt>
                <c:pt idx="374">
                  <c:v>2.80044</c:v>
                </c:pt>
                <c:pt idx="375">
                  <c:v>2.8151600000000001</c:v>
                </c:pt>
                <c:pt idx="376">
                  <c:v>2.8450900000000003</c:v>
                </c:pt>
                <c:pt idx="377">
                  <c:v>2.8125900000000001</c:v>
                </c:pt>
                <c:pt idx="378">
                  <c:v>2.79399</c:v>
                </c:pt>
                <c:pt idx="379">
                  <c:v>2.7882100000000003</c:v>
                </c:pt>
                <c:pt idx="380">
                  <c:v>2.7313999999999998</c:v>
                </c:pt>
                <c:pt idx="381">
                  <c:v>2.8324900000000004</c:v>
                </c:pt>
                <c:pt idx="382">
                  <c:v>2.8721300000000003</c:v>
                </c:pt>
                <c:pt idx="383">
                  <c:v>2.7291099999999999</c:v>
                </c:pt>
                <c:pt idx="384">
                  <c:v>2.7676499999999997</c:v>
                </c:pt>
                <c:pt idx="385">
                  <c:v>2.6858400000000002</c:v>
                </c:pt>
                <c:pt idx="386">
                  <c:v>2.5966899999999997</c:v>
                </c:pt>
                <c:pt idx="387">
                  <c:v>2.4983500000000003</c:v>
                </c:pt>
                <c:pt idx="388">
                  <c:v>2.5894600000000003</c:v>
                </c:pt>
                <c:pt idx="389">
                  <c:v>2.6082000000000001</c:v>
                </c:pt>
                <c:pt idx="390">
                  <c:v>2.6353899999999997</c:v>
                </c:pt>
                <c:pt idx="391">
                  <c:v>2.55802</c:v>
                </c:pt>
                <c:pt idx="392">
                  <c:v>2.65401</c:v>
                </c:pt>
                <c:pt idx="393">
                  <c:v>2.6688900000000002</c:v>
                </c:pt>
                <c:pt idx="394">
                  <c:v>2.6783699999999997</c:v>
                </c:pt>
                <c:pt idx="395">
                  <c:v>2.6292</c:v>
                </c:pt>
                <c:pt idx="396">
                  <c:v>2.6669900000000002</c:v>
                </c:pt>
                <c:pt idx="397">
                  <c:v>2.6004199999999997</c:v>
                </c:pt>
                <c:pt idx="398">
                  <c:v>2.5952100000000002</c:v>
                </c:pt>
                <c:pt idx="399">
                  <c:v>2.5552899999999998</c:v>
                </c:pt>
                <c:pt idx="400">
                  <c:v>2.5970400000000002</c:v>
                </c:pt>
                <c:pt idx="401">
                  <c:v>2.6362599999999996</c:v>
                </c:pt>
                <c:pt idx="402">
                  <c:v>2.6571699999999998</c:v>
                </c:pt>
                <c:pt idx="403">
                  <c:v>2.7686999999999999</c:v>
                </c:pt>
                <c:pt idx="404">
                  <c:v>2.7069200000000002</c:v>
                </c:pt>
                <c:pt idx="405">
                  <c:v>2.7186000000000003</c:v>
                </c:pt>
                <c:pt idx="406">
                  <c:v>2.76688</c:v>
                </c:pt>
                <c:pt idx="407">
                  <c:v>2.75454</c:v>
                </c:pt>
                <c:pt idx="408">
                  <c:v>2.76423</c:v>
                </c:pt>
                <c:pt idx="409">
                  <c:v>2.7903600000000002</c:v>
                </c:pt>
                <c:pt idx="410">
                  <c:v>2.7832499999999998</c:v>
                </c:pt>
                <c:pt idx="411">
                  <c:v>2.7734899999999998</c:v>
                </c:pt>
                <c:pt idx="412">
                  <c:v>2.8010999999999999</c:v>
                </c:pt>
                <c:pt idx="413">
                  <c:v>2.8293599999999999</c:v>
                </c:pt>
                <c:pt idx="414">
                  <c:v>2.8311500000000001</c:v>
                </c:pt>
                <c:pt idx="415">
                  <c:v>2.8368200000000003</c:v>
                </c:pt>
                <c:pt idx="416">
                  <c:v>2.7975300000000001</c:v>
                </c:pt>
                <c:pt idx="417">
                  <c:v>2.7561399999999998</c:v>
                </c:pt>
                <c:pt idx="418">
                  <c:v>2.7448700000000001</c:v>
                </c:pt>
                <c:pt idx="419">
                  <c:v>2.7296800000000001</c:v>
                </c:pt>
                <c:pt idx="420">
                  <c:v>2.7444900000000003</c:v>
                </c:pt>
                <c:pt idx="421">
                  <c:v>2.7902300000000002</c:v>
                </c:pt>
                <c:pt idx="422">
                  <c:v>2.7913900000000003</c:v>
                </c:pt>
                <c:pt idx="423">
                  <c:v>2.8076299999999996</c:v>
                </c:pt>
                <c:pt idx="424">
                  <c:v>2.8046199999999999</c:v>
                </c:pt>
                <c:pt idx="425">
                  <c:v>2.81311</c:v>
                </c:pt>
                <c:pt idx="426">
                  <c:v>2.81915</c:v>
                </c:pt>
                <c:pt idx="427">
                  <c:v>2.80199</c:v>
                </c:pt>
                <c:pt idx="428">
                  <c:v>2.8174999999999999</c:v>
                </c:pt>
                <c:pt idx="429">
                  <c:v>2.7925499999999999</c:v>
                </c:pt>
                <c:pt idx="430">
                  <c:v>2.7357100000000001</c:v>
                </c:pt>
                <c:pt idx="431">
                  <c:v>2.74519</c:v>
                </c:pt>
                <c:pt idx="432">
                  <c:v>2.7508600000000003</c:v>
                </c:pt>
                <c:pt idx="433">
                  <c:v>2.7508600000000003</c:v>
                </c:pt>
                <c:pt idx="434">
                  <c:v>2.7551900000000002</c:v>
                </c:pt>
                <c:pt idx="435">
                  <c:v>2.7182299999999997</c:v>
                </c:pt>
                <c:pt idx="436">
                  <c:v>2.69007</c:v>
                </c:pt>
                <c:pt idx="437">
                  <c:v>2.6245299999999996</c:v>
                </c:pt>
                <c:pt idx="438">
                  <c:v>2.6738799999999996</c:v>
                </c:pt>
                <c:pt idx="439">
                  <c:v>2.6492599999999999</c:v>
                </c:pt>
                <c:pt idx="440">
                  <c:v>2.61199</c:v>
                </c:pt>
                <c:pt idx="441">
                  <c:v>2.6539100000000002</c:v>
                </c:pt>
                <c:pt idx="442">
                  <c:v>2.5851999999999999</c:v>
                </c:pt>
                <c:pt idx="443">
                  <c:v>2.6006099999999996</c:v>
                </c:pt>
                <c:pt idx="444">
                  <c:v>2.63503</c:v>
                </c:pt>
                <c:pt idx="445">
                  <c:v>2.5987900000000002</c:v>
                </c:pt>
                <c:pt idx="446">
                  <c:v>2.5870800000000003</c:v>
                </c:pt>
                <c:pt idx="447">
                  <c:v>2.5880299999999998</c:v>
                </c:pt>
                <c:pt idx="448">
                  <c:v>2.6738400000000002</c:v>
                </c:pt>
                <c:pt idx="449">
                  <c:v>2.64168</c:v>
                </c:pt>
                <c:pt idx="450">
                  <c:v>2.6526799999999997</c:v>
                </c:pt>
                <c:pt idx="451">
                  <c:v>2.5986399999999996</c:v>
                </c:pt>
                <c:pt idx="452">
                  <c:v>2.6459100000000002</c:v>
                </c:pt>
                <c:pt idx="453">
                  <c:v>2.6434300000000004</c:v>
                </c:pt>
                <c:pt idx="454">
                  <c:v>2.6900099999999996</c:v>
                </c:pt>
                <c:pt idx="455">
                  <c:v>2.7340399999999998</c:v>
                </c:pt>
                <c:pt idx="456">
                  <c:v>2.7643499999999999</c:v>
                </c:pt>
                <c:pt idx="457">
                  <c:v>2.8085100000000001</c:v>
                </c:pt>
                <c:pt idx="458">
                  <c:v>2.8419600000000003</c:v>
                </c:pt>
                <c:pt idx="459">
                  <c:v>2.85168</c:v>
                </c:pt>
                <c:pt idx="460">
                  <c:v>2.8577900000000001</c:v>
                </c:pt>
                <c:pt idx="461">
                  <c:v>2.8031000000000001</c:v>
                </c:pt>
                <c:pt idx="462">
                  <c:v>2.7974599999999996</c:v>
                </c:pt>
                <c:pt idx="463">
                  <c:v>2.7843099999999996</c:v>
                </c:pt>
                <c:pt idx="464">
                  <c:v>2.7969200000000001</c:v>
                </c:pt>
                <c:pt idx="465">
                  <c:v>2.75217</c:v>
                </c:pt>
                <c:pt idx="466">
                  <c:v>2.6082000000000001</c:v>
                </c:pt>
                <c:pt idx="467">
                  <c:v>2.6749900000000002</c:v>
                </c:pt>
                <c:pt idx="468">
                  <c:v>2.6242999999999999</c:v>
                </c:pt>
                <c:pt idx="469">
                  <c:v>2.6213500000000001</c:v>
                </c:pt>
                <c:pt idx="470">
                  <c:v>2.6347800000000001</c:v>
                </c:pt>
                <c:pt idx="471">
                  <c:v>2.5814600000000003</c:v>
                </c:pt>
                <c:pt idx="472">
                  <c:v>2.6058499999999998</c:v>
                </c:pt>
                <c:pt idx="473">
                  <c:v>2.6131799999999998</c:v>
                </c:pt>
                <c:pt idx="474">
                  <c:v>2.64141</c:v>
                </c:pt>
                <c:pt idx="475">
                  <c:v>2.7074700000000003</c:v>
                </c:pt>
                <c:pt idx="476">
                  <c:v>2.6866699999999999</c:v>
                </c:pt>
                <c:pt idx="477">
                  <c:v>2.68526</c:v>
                </c:pt>
                <c:pt idx="478">
                  <c:v>2.6894299999999998</c:v>
                </c:pt>
                <c:pt idx="479">
                  <c:v>2.7415800000000004</c:v>
                </c:pt>
                <c:pt idx="480">
                  <c:v>2.7043599999999999</c:v>
                </c:pt>
                <c:pt idx="481">
                  <c:v>2.7415699999999998</c:v>
                </c:pt>
                <c:pt idx="482">
                  <c:v>2.8172600000000001</c:v>
                </c:pt>
                <c:pt idx="483">
                  <c:v>2.7625799999999998</c:v>
                </c:pt>
                <c:pt idx="484">
                  <c:v>2.7911700000000002</c:v>
                </c:pt>
                <c:pt idx="485">
                  <c:v>2.7550299999999996</c:v>
                </c:pt>
                <c:pt idx="486">
                  <c:v>2.7479</c:v>
                </c:pt>
                <c:pt idx="487">
                  <c:v>2.7645499999999998</c:v>
                </c:pt>
                <c:pt idx="488">
                  <c:v>2.6791699999999996</c:v>
                </c:pt>
                <c:pt idx="489">
                  <c:v>2.7011399999999997</c:v>
                </c:pt>
                <c:pt idx="490">
                  <c:v>2.7894600000000001</c:v>
                </c:pt>
                <c:pt idx="491">
                  <c:v>2.8207600000000004</c:v>
                </c:pt>
                <c:pt idx="492">
                  <c:v>2.7944999999999998</c:v>
                </c:pt>
                <c:pt idx="493">
                  <c:v>2.7424400000000002</c:v>
                </c:pt>
                <c:pt idx="494">
                  <c:v>2.8418999999999999</c:v>
                </c:pt>
                <c:pt idx="495">
                  <c:v>2.8363400000000003</c:v>
                </c:pt>
                <c:pt idx="496">
                  <c:v>2.8475900000000003</c:v>
                </c:pt>
                <c:pt idx="497">
                  <c:v>3.0674200000000003</c:v>
                </c:pt>
                <c:pt idx="498">
                  <c:v>3.0123899999999999</c:v>
                </c:pt>
                <c:pt idx="499">
                  <c:v>3.1105200000000002</c:v>
                </c:pt>
                <c:pt idx="500">
                  <c:v>3.0734399999999997</c:v>
                </c:pt>
                <c:pt idx="501">
                  <c:v>3.0170999999999997</c:v>
                </c:pt>
                <c:pt idx="502">
                  <c:v>3.1050400000000002</c:v>
                </c:pt>
                <c:pt idx="503">
                  <c:v>3.0481400000000001</c:v>
                </c:pt>
                <c:pt idx="504">
                  <c:v>2.9275500000000001</c:v>
                </c:pt>
                <c:pt idx="505">
                  <c:v>2.8853500000000003</c:v>
                </c:pt>
                <c:pt idx="506">
                  <c:v>2.9010700000000003</c:v>
                </c:pt>
                <c:pt idx="507">
                  <c:v>2.8889399999999998</c:v>
                </c:pt>
                <c:pt idx="508">
                  <c:v>2.9290400000000001</c:v>
                </c:pt>
                <c:pt idx="509">
                  <c:v>2.9192100000000001</c:v>
                </c:pt>
                <c:pt idx="510">
                  <c:v>2.89811</c:v>
                </c:pt>
                <c:pt idx="511">
                  <c:v>2.9204000000000003</c:v>
                </c:pt>
                <c:pt idx="512">
                  <c:v>2.9007400000000003</c:v>
                </c:pt>
                <c:pt idx="513">
                  <c:v>2.8939499999999998</c:v>
                </c:pt>
                <c:pt idx="514">
                  <c:v>2.8643799999999997</c:v>
                </c:pt>
                <c:pt idx="515">
                  <c:v>2.8901400000000002</c:v>
                </c:pt>
                <c:pt idx="516">
                  <c:v>2.8375900000000001</c:v>
                </c:pt>
                <c:pt idx="517">
                  <c:v>2.8371499999999998</c:v>
                </c:pt>
                <c:pt idx="518">
                  <c:v>2.8371499999999998</c:v>
                </c:pt>
                <c:pt idx="519">
                  <c:v>2.8371499999999998</c:v>
                </c:pt>
                <c:pt idx="520">
                  <c:v>2.8134199999999998</c:v>
                </c:pt>
                <c:pt idx="521">
                  <c:v>2.8376299999999999</c:v>
                </c:pt>
                <c:pt idx="522">
                  <c:v>2.8422300000000003</c:v>
                </c:pt>
                <c:pt idx="523">
                  <c:v>2.8422300000000003</c:v>
                </c:pt>
                <c:pt idx="524">
                  <c:v>2.7143400000000004</c:v>
                </c:pt>
                <c:pt idx="525">
                  <c:v>2.7103800000000002</c:v>
                </c:pt>
                <c:pt idx="526">
                  <c:v>2.6797000000000004</c:v>
                </c:pt>
                <c:pt idx="527">
                  <c:v>2.7189399999999999</c:v>
                </c:pt>
                <c:pt idx="528">
                  <c:v>2.7002100000000002</c:v>
                </c:pt>
                <c:pt idx="529">
                  <c:v>2.6968299999999998</c:v>
                </c:pt>
                <c:pt idx="530">
                  <c:v>2.7022500000000003</c:v>
                </c:pt>
                <c:pt idx="531">
                  <c:v>2.7494099999999997</c:v>
                </c:pt>
                <c:pt idx="532">
                  <c:v>2.79135</c:v>
                </c:pt>
                <c:pt idx="533">
                  <c:v>2.75623</c:v>
                </c:pt>
                <c:pt idx="534">
                  <c:v>2.7533699999999999</c:v>
                </c:pt>
                <c:pt idx="535">
                  <c:v>2.7565499999999998</c:v>
                </c:pt>
                <c:pt idx="536">
                  <c:v>2.7716799999999999</c:v>
                </c:pt>
                <c:pt idx="537">
                  <c:v>2.8542700000000001</c:v>
                </c:pt>
                <c:pt idx="538">
                  <c:v>2.89472</c:v>
                </c:pt>
                <c:pt idx="539">
                  <c:v>2.8935399999999998</c:v>
                </c:pt>
                <c:pt idx="540">
                  <c:v>2.8803800000000002</c:v>
                </c:pt>
                <c:pt idx="541">
                  <c:v>2.90544</c:v>
                </c:pt>
                <c:pt idx="542">
                  <c:v>2.9779399999999998</c:v>
                </c:pt>
                <c:pt idx="543">
                  <c:v>2.9696699999999998</c:v>
                </c:pt>
                <c:pt idx="544">
                  <c:v>2.9659500000000003</c:v>
                </c:pt>
                <c:pt idx="545">
                  <c:v>2.9817800000000001</c:v>
                </c:pt>
                <c:pt idx="546">
                  <c:v>2.9430999999999998</c:v>
                </c:pt>
                <c:pt idx="547">
                  <c:v>2.9757899999999999</c:v>
                </c:pt>
                <c:pt idx="548">
                  <c:v>2.9776600000000002</c:v>
                </c:pt>
                <c:pt idx="549">
                  <c:v>2.9960100000000001</c:v>
                </c:pt>
                <c:pt idx="550">
                  <c:v>2.9974799999999999</c:v>
                </c:pt>
                <c:pt idx="551">
                  <c:v>3.0145499999999998</c:v>
                </c:pt>
                <c:pt idx="552">
                  <c:v>3.1365600000000002</c:v>
                </c:pt>
                <c:pt idx="553">
                  <c:v>3.1506500000000002</c:v>
                </c:pt>
                <c:pt idx="554">
                  <c:v>3.1017799999999998</c:v>
                </c:pt>
                <c:pt idx="555">
                  <c:v>3.0585300000000002</c:v>
                </c:pt>
                <c:pt idx="556">
                  <c:v>3.0664100000000003</c:v>
                </c:pt>
                <c:pt idx="557">
                  <c:v>3.1587900000000002</c:v>
                </c:pt>
                <c:pt idx="558">
                  <c:v>3.1600200000000003</c:v>
                </c:pt>
                <c:pt idx="559">
                  <c:v>3.1800900000000003</c:v>
                </c:pt>
                <c:pt idx="560">
                  <c:v>3.1755</c:v>
                </c:pt>
                <c:pt idx="561">
                  <c:v>3.23156</c:v>
                </c:pt>
                <c:pt idx="562">
                  <c:v>3.1242700000000001</c:v>
                </c:pt>
                <c:pt idx="563">
                  <c:v>3.4112900000000002</c:v>
                </c:pt>
                <c:pt idx="564">
                  <c:v>3.5588899999999999</c:v>
                </c:pt>
                <c:pt idx="565">
                  <c:v>3.7706200000000001</c:v>
                </c:pt>
                <c:pt idx="566">
                  <c:v>4.5861700000000001</c:v>
                </c:pt>
                <c:pt idx="567">
                  <c:v>4.8966399999999997</c:v>
                </c:pt>
                <c:pt idx="568">
                  <c:v>5.5370200000000001</c:v>
                </c:pt>
                <c:pt idx="569">
                  <c:v>5.7734400000000008</c:v>
                </c:pt>
                <c:pt idx="570">
                  <c:v>5.7181500000000005</c:v>
                </c:pt>
                <c:pt idx="571">
                  <c:v>5.6756399999999996</c:v>
                </c:pt>
                <c:pt idx="572">
                  <c:v>5.6942100000000009</c:v>
                </c:pt>
                <c:pt idx="573">
                  <c:v>5.3118499999999997</c:v>
                </c:pt>
                <c:pt idx="574">
                  <c:v>5.2231300000000003</c:v>
                </c:pt>
                <c:pt idx="575">
                  <c:v>4.68309</c:v>
                </c:pt>
                <c:pt idx="576">
                  <c:v>4.7469999999999999</c:v>
                </c:pt>
                <c:pt idx="577">
                  <c:v>4.5038999999999998</c:v>
                </c:pt>
                <c:pt idx="578">
                  <c:v>4.1564699999999997</c:v>
                </c:pt>
                <c:pt idx="579">
                  <c:v>4.1149000000000004</c:v>
                </c:pt>
                <c:pt idx="580">
                  <c:v>4.1573899999999995</c:v>
                </c:pt>
                <c:pt idx="581">
                  <c:v>4.1244800000000001</c:v>
                </c:pt>
                <c:pt idx="582">
                  <c:v>4.0095400000000003</c:v>
                </c:pt>
                <c:pt idx="583">
                  <c:v>4.0874600000000001</c:v>
                </c:pt>
                <c:pt idx="584">
                  <c:v>4.1494900000000001</c:v>
                </c:pt>
                <c:pt idx="585">
                  <c:v>4.1992399999999996</c:v>
                </c:pt>
                <c:pt idx="586">
                  <c:v>4.1940300000000006</c:v>
                </c:pt>
                <c:pt idx="587">
                  <c:v>4.2351700000000001</c:v>
                </c:pt>
                <c:pt idx="588">
                  <c:v>4.2038200000000003</c:v>
                </c:pt>
                <c:pt idx="589">
                  <c:v>4.0087299999999999</c:v>
                </c:pt>
                <c:pt idx="590">
                  <c:v>3.9909500000000002</c:v>
                </c:pt>
                <c:pt idx="591">
                  <c:v>3.9455200000000001</c:v>
                </c:pt>
                <c:pt idx="592">
                  <c:v>3.9352999999999998</c:v>
                </c:pt>
                <c:pt idx="593">
                  <c:v>3.9250400000000001</c:v>
                </c:pt>
                <c:pt idx="594">
                  <c:v>3.9231099999999999</c:v>
                </c:pt>
                <c:pt idx="595">
                  <c:v>3.9767200000000003</c:v>
                </c:pt>
                <c:pt idx="596">
                  <c:v>3.8898099999999998</c:v>
                </c:pt>
                <c:pt idx="597">
                  <c:v>3.8898099999999998</c:v>
                </c:pt>
                <c:pt idx="598">
                  <c:v>3.8898099999999998</c:v>
                </c:pt>
                <c:pt idx="599">
                  <c:v>3.8961600000000001</c:v>
                </c:pt>
                <c:pt idx="600">
                  <c:v>3.9703599999999999</c:v>
                </c:pt>
                <c:pt idx="601">
                  <c:v>3.9896199999999999</c:v>
                </c:pt>
                <c:pt idx="602">
                  <c:v>4.0417500000000004</c:v>
                </c:pt>
                <c:pt idx="603">
                  <c:v>4.11972</c:v>
                </c:pt>
                <c:pt idx="604">
                  <c:v>4.3407799999999996</c:v>
                </c:pt>
                <c:pt idx="605">
                  <c:v>4.3706500000000004</c:v>
                </c:pt>
                <c:pt idx="606">
                  <c:v>4.3141500000000006</c:v>
                </c:pt>
                <c:pt idx="607">
                  <c:v>4.4000000000000004</c:v>
                </c:pt>
                <c:pt idx="608">
                  <c:v>4.4000000000000004</c:v>
                </c:pt>
                <c:pt idx="609">
                  <c:v>4.27895</c:v>
                </c:pt>
                <c:pt idx="610">
                  <c:v>4.3858100000000002</c:v>
                </c:pt>
                <c:pt idx="611">
                  <c:v>4.3234699999999995</c:v>
                </c:pt>
                <c:pt idx="612">
                  <c:v>4.3339600000000003</c:v>
                </c:pt>
                <c:pt idx="613">
                  <c:v>4.3689200000000001</c:v>
                </c:pt>
                <c:pt idx="614">
                  <c:v>4.6206199999999997</c:v>
                </c:pt>
                <c:pt idx="615">
                  <c:v>4.7327699999999995</c:v>
                </c:pt>
                <c:pt idx="616">
                  <c:v>4.6425299999999998</c:v>
                </c:pt>
                <c:pt idx="617">
                  <c:v>4.6423500000000004</c:v>
                </c:pt>
                <c:pt idx="618">
                  <c:v>4.7393599999999996</c:v>
                </c:pt>
                <c:pt idx="619">
                  <c:v>4.5929099999999998</c:v>
                </c:pt>
                <c:pt idx="620">
                  <c:v>4.7552399999999997</c:v>
                </c:pt>
                <c:pt idx="621">
                  <c:v>4.83277</c:v>
                </c:pt>
                <c:pt idx="622">
                  <c:v>4.8201900000000002</c:v>
                </c:pt>
                <c:pt idx="623">
                  <c:v>4.8474900000000005</c:v>
                </c:pt>
                <c:pt idx="624">
                  <c:v>4.9705200000000005</c:v>
                </c:pt>
                <c:pt idx="625">
                  <c:v>4.9521699999999997</c:v>
                </c:pt>
                <c:pt idx="626">
                  <c:v>4.99</c:v>
                </c:pt>
                <c:pt idx="627">
                  <c:v>4.9662299999999995</c:v>
                </c:pt>
                <c:pt idx="628">
                  <c:v>4.8934500000000005</c:v>
                </c:pt>
                <c:pt idx="629">
                  <c:v>4.8364000000000003</c:v>
                </c:pt>
                <c:pt idx="630">
                  <c:v>4.7394099999999995</c:v>
                </c:pt>
                <c:pt idx="631">
                  <c:v>4.7394099999999995</c:v>
                </c:pt>
                <c:pt idx="632">
                  <c:v>4.7394099999999995</c:v>
                </c:pt>
                <c:pt idx="633">
                  <c:v>4.6758499999999996</c:v>
                </c:pt>
                <c:pt idx="634">
                  <c:v>4.6933600000000002</c:v>
                </c:pt>
                <c:pt idx="635">
                  <c:v>4.6762899999999998</c:v>
                </c:pt>
                <c:pt idx="636">
                  <c:v>4.6581099999999998</c:v>
                </c:pt>
                <c:pt idx="637">
                  <c:v>4.6282899999999998</c:v>
                </c:pt>
                <c:pt idx="638">
                  <c:v>4.7417499999999997</c:v>
                </c:pt>
                <c:pt idx="639">
                  <c:v>4.6935199999999995</c:v>
                </c:pt>
                <c:pt idx="640">
                  <c:v>4.8195899999999998</c:v>
                </c:pt>
                <c:pt idx="641">
                  <c:v>5.07057</c:v>
                </c:pt>
                <c:pt idx="642">
                  <c:v>5.1721500000000002</c:v>
                </c:pt>
                <c:pt idx="643">
                  <c:v>5.2191399999999994</c:v>
                </c:pt>
                <c:pt idx="644">
                  <c:v>5.1219200000000003</c:v>
                </c:pt>
                <c:pt idx="645">
                  <c:v>5.2979799999999999</c:v>
                </c:pt>
                <c:pt idx="646">
                  <c:v>5.3632899999999992</c:v>
                </c:pt>
                <c:pt idx="647">
                  <c:v>5.3912500000000003</c:v>
                </c:pt>
                <c:pt idx="648">
                  <c:v>5.3065300000000004</c:v>
                </c:pt>
                <c:pt idx="649">
                  <c:v>5.3819600000000003</c:v>
                </c:pt>
                <c:pt idx="650">
                  <c:v>5.5448500000000003</c:v>
                </c:pt>
                <c:pt idx="651">
                  <c:v>5.7774599999999996</c:v>
                </c:pt>
                <c:pt idx="652">
                  <c:v>5.8550500000000003</c:v>
                </c:pt>
                <c:pt idx="653">
                  <c:v>5.8581200000000004</c:v>
                </c:pt>
                <c:pt idx="654">
                  <c:v>5.9838699999999996</c:v>
                </c:pt>
                <c:pt idx="655">
                  <c:v>5.8648500000000006</c:v>
                </c:pt>
                <c:pt idx="656">
                  <c:v>5.7890700000000006</c:v>
                </c:pt>
                <c:pt idx="657">
                  <c:v>5.8172799999999993</c:v>
                </c:pt>
                <c:pt idx="658">
                  <c:v>5.9370500000000002</c:v>
                </c:pt>
                <c:pt idx="659">
                  <c:v>6.0526099999999996</c:v>
                </c:pt>
                <c:pt idx="660">
                  <c:v>6.19095</c:v>
                </c:pt>
                <c:pt idx="661">
                  <c:v>6.2776399999999999</c:v>
                </c:pt>
                <c:pt idx="662">
                  <c:v>6.2850699999999993</c:v>
                </c:pt>
                <c:pt idx="663">
                  <c:v>6.1816999999999993</c:v>
                </c:pt>
                <c:pt idx="664">
                  <c:v>6.1374500000000003</c:v>
                </c:pt>
                <c:pt idx="665">
                  <c:v>6.0567799999999998</c:v>
                </c:pt>
                <c:pt idx="666">
                  <c:v>6.1390599999999997</c:v>
                </c:pt>
                <c:pt idx="667">
                  <c:v>6.1159299999999996</c:v>
                </c:pt>
                <c:pt idx="668">
                  <c:v>6.0007600000000005</c:v>
                </c:pt>
                <c:pt idx="669">
                  <c:v>6.0229499999999998</c:v>
                </c:pt>
                <c:pt idx="670">
                  <c:v>6.0588599999999992</c:v>
                </c:pt>
                <c:pt idx="671">
                  <c:v>5.9924499999999998</c:v>
                </c:pt>
                <c:pt idx="672">
                  <c:v>6.0571700000000002</c:v>
                </c:pt>
                <c:pt idx="673">
                  <c:v>5.9715300000000004</c:v>
                </c:pt>
                <c:pt idx="674">
                  <c:v>5.8697400000000002</c:v>
                </c:pt>
                <c:pt idx="675">
                  <c:v>5.8546699999999996</c:v>
                </c:pt>
                <c:pt idx="676">
                  <c:v>5.8776700000000002</c:v>
                </c:pt>
                <c:pt idx="677">
                  <c:v>5.6567800000000004</c:v>
                </c:pt>
                <c:pt idx="678">
                  <c:v>5.7599</c:v>
                </c:pt>
                <c:pt idx="679">
                  <c:v>5.7352700000000008</c:v>
                </c:pt>
                <c:pt idx="680">
                  <c:v>5.7516999999999996</c:v>
                </c:pt>
                <c:pt idx="681">
                  <c:v>5.4568899999999996</c:v>
                </c:pt>
                <c:pt idx="682">
                  <c:v>5.4763599999999997</c:v>
                </c:pt>
                <c:pt idx="683">
                  <c:v>5.5437000000000003</c:v>
                </c:pt>
                <c:pt idx="684">
                  <c:v>5.5064700000000002</c:v>
                </c:pt>
                <c:pt idx="685">
                  <c:v>5.4869200000000005</c:v>
                </c:pt>
                <c:pt idx="686">
                  <c:v>5.4327999999999994</c:v>
                </c:pt>
                <c:pt idx="687">
                  <c:v>5.4376800000000003</c:v>
                </c:pt>
                <c:pt idx="688">
                  <c:v>5.48163</c:v>
                </c:pt>
                <c:pt idx="689">
                  <c:v>5.4474199999999993</c:v>
                </c:pt>
                <c:pt idx="690">
                  <c:v>5.4021400000000002</c:v>
                </c:pt>
                <c:pt idx="691">
                  <c:v>5.36388</c:v>
                </c:pt>
                <c:pt idx="692">
                  <c:v>5.3865999999999996</c:v>
                </c:pt>
                <c:pt idx="693">
                  <c:v>5.3865999999999996</c:v>
                </c:pt>
                <c:pt idx="694">
                  <c:v>5.3666999999999998</c:v>
                </c:pt>
                <c:pt idx="695">
                  <c:v>5.3247799999999996</c:v>
                </c:pt>
                <c:pt idx="696">
                  <c:v>5.1519700000000004</c:v>
                </c:pt>
                <c:pt idx="697">
                  <c:v>5.2201199999999996</c:v>
                </c:pt>
                <c:pt idx="698">
                  <c:v>5.2811900000000005</c:v>
                </c:pt>
                <c:pt idx="699">
                  <c:v>4.9907199999999996</c:v>
                </c:pt>
                <c:pt idx="700">
                  <c:v>5.0048899999999996</c:v>
                </c:pt>
                <c:pt idx="701">
                  <c:v>4.9746800000000002</c:v>
                </c:pt>
                <c:pt idx="702">
                  <c:v>4.8206799999999994</c:v>
                </c:pt>
                <c:pt idx="703">
                  <c:v>4.8668399999999998</c:v>
                </c:pt>
                <c:pt idx="704">
                  <c:v>4.9194700000000005</c:v>
                </c:pt>
                <c:pt idx="705">
                  <c:v>5.2336499999999999</c:v>
                </c:pt>
                <c:pt idx="706">
                  <c:v>5.1988300000000001</c:v>
                </c:pt>
                <c:pt idx="707">
                  <c:v>5.3562800000000008</c:v>
                </c:pt>
                <c:pt idx="708">
                  <c:v>5.3562800000000008</c:v>
                </c:pt>
                <c:pt idx="709">
                  <c:v>5.15984</c:v>
                </c:pt>
                <c:pt idx="710">
                  <c:v>5.2585100000000002</c:v>
                </c:pt>
                <c:pt idx="711">
                  <c:v>5.0980400000000001</c:v>
                </c:pt>
                <c:pt idx="712">
                  <c:v>5.1648400000000008</c:v>
                </c:pt>
                <c:pt idx="713">
                  <c:v>5.1673499999999999</c:v>
                </c:pt>
                <c:pt idx="714">
                  <c:v>5.22133</c:v>
                </c:pt>
                <c:pt idx="715">
                  <c:v>5.7781700000000003</c:v>
                </c:pt>
                <c:pt idx="716">
                  <c:v>5.8116499999999993</c:v>
                </c:pt>
                <c:pt idx="717">
                  <c:v>5.8128099999999998</c:v>
                </c:pt>
                <c:pt idx="718">
                  <c:v>5.9775699999999992</c:v>
                </c:pt>
                <c:pt idx="719">
                  <c:v>5.8935799999999992</c:v>
                </c:pt>
                <c:pt idx="720">
                  <c:v>5.8315799999999998</c:v>
                </c:pt>
                <c:pt idx="721">
                  <c:v>5.7488999999999999</c:v>
                </c:pt>
                <c:pt idx="722">
                  <c:v>5.7111999999999998</c:v>
                </c:pt>
                <c:pt idx="723">
                  <c:v>5.6835900000000006</c:v>
                </c:pt>
                <c:pt idx="724">
                  <c:v>5.7547199999999998</c:v>
                </c:pt>
                <c:pt idx="725">
                  <c:v>5.76044</c:v>
                </c:pt>
                <c:pt idx="726">
                  <c:v>5.7337199999999999</c:v>
                </c:pt>
                <c:pt idx="727">
                  <c:v>5.6316999999999995</c:v>
                </c:pt>
                <c:pt idx="728">
                  <c:v>5.6477399999999998</c:v>
                </c:pt>
                <c:pt idx="729">
                  <c:v>5.6096699999999995</c:v>
                </c:pt>
                <c:pt idx="730">
                  <c:v>5.5158799999999992</c:v>
                </c:pt>
                <c:pt idx="731">
                  <c:v>5.3264200000000006</c:v>
                </c:pt>
                <c:pt idx="732">
                  <c:v>5.4139599999999994</c:v>
                </c:pt>
                <c:pt idx="733">
                  <c:v>5.3913900000000003</c:v>
                </c:pt>
                <c:pt idx="734">
                  <c:v>5.4892499999999993</c:v>
                </c:pt>
                <c:pt idx="735">
                  <c:v>5.51938</c:v>
                </c:pt>
                <c:pt idx="736">
                  <c:v>5.5523899999999999</c:v>
                </c:pt>
                <c:pt idx="737">
                  <c:v>5.5269700000000004</c:v>
                </c:pt>
                <c:pt idx="738">
                  <c:v>5.5119100000000003</c:v>
                </c:pt>
                <c:pt idx="739">
                  <c:v>5.4726499999999998</c:v>
                </c:pt>
                <c:pt idx="740">
                  <c:v>5.4118399999999998</c:v>
                </c:pt>
                <c:pt idx="741">
                  <c:v>5.4098299999999995</c:v>
                </c:pt>
                <c:pt idx="742">
                  <c:v>5.3921700000000001</c:v>
                </c:pt>
                <c:pt idx="743">
                  <c:v>5.2551800000000002</c:v>
                </c:pt>
                <c:pt idx="744">
                  <c:v>5.3020399999999999</c:v>
                </c:pt>
                <c:pt idx="745">
                  <c:v>5.2829600000000001</c:v>
                </c:pt>
                <c:pt idx="746">
                  <c:v>5.2941099999999999</c:v>
                </c:pt>
                <c:pt idx="747">
                  <c:v>5.3215899999999996</c:v>
                </c:pt>
                <c:pt idx="748">
                  <c:v>4.1354000000000006</c:v>
                </c:pt>
                <c:pt idx="749">
                  <c:v>4.1917499999999999</c:v>
                </c:pt>
                <c:pt idx="750">
                  <c:v>4.1965899999999996</c:v>
                </c:pt>
                <c:pt idx="751">
                  <c:v>4.2368899999999998</c:v>
                </c:pt>
                <c:pt idx="752">
                  <c:v>4.1634500000000001</c:v>
                </c:pt>
                <c:pt idx="753">
                  <c:v>4.19834</c:v>
                </c:pt>
                <c:pt idx="754">
                  <c:v>4.25075</c:v>
                </c:pt>
                <c:pt idx="755">
                  <c:v>4.2252000000000001</c:v>
                </c:pt>
                <c:pt idx="756">
                  <c:v>4.2892700000000001</c:v>
                </c:pt>
                <c:pt idx="757">
                  <c:v>4.1234500000000001</c:v>
                </c:pt>
                <c:pt idx="758">
                  <c:v>4.18004</c:v>
                </c:pt>
                <c:pt idx="759">
                  <c:v>3.9288799999999999</c:v>
                </c:pt>
                <c:pt idx="760">
                  <c:v>3.8851200000000001</c:v>
                </c:pt>
                <c:pt idx="761">
                  <c:v>3.8649800000000001</c:v>
                </c:pt>
                <c:pt idx="762">
                  <c:v>3.5899000000000001</c:v>
                </c:pt>
                <c:pt idx="763">
                  <c:v>3.4782299999999999</c:v>
                </c:pt>
                <c:pt idx="764">
                  <c:v>3.55402</c:v>
                </c:pt>
                <c:pt idx="765">
                  <c:v>3.6732999999999998</c:v>
                </c:pt>
                <c:pt idx="766">
                  <c:v>3.6528100000000001</c:v>
                </c:pt>
                <c:pt idx="767">
                  <c:v>3.5886800000000001</c:v>
                </c:pt>
                <c:pt idx="768">
                  <c:v>3.5351900000000001</c:v>
                </c:pt>
                <c:pt idx="769">
                  <c:v>3.5484599999999999</c:v>
                </c:pt>
                <c:pt idx="770">
                  <c:v>3.3379099999999999</c:v>
                </c:pt>
                <c:pt idx="771">
                  <c:v>3.4377300000000002</c:v>
                </c:pt>
                <c:pt idx="772">
                  <c:v>3.4133300000000002</c:v>
                </c:pt>
                <c:pt idx="773">
                  <c:v>3.3468900000000001</c:v>
                </c:pt>
                <c:pt idx="774">
                  <c:v>3.2357400000000003</c:v>
                </c:pt>
                <c:pt idx="775">
                  <c:v>3.3224900000000002</c:v>
                </c:pt>
                <c:pt idx="776">
                  <c:v>3.3107699999999998</c:v>
                </c:pt>
                <c:pt idx="777">
                  <c:v>3.24038</c:v>
                </c:pt>
                <c:pt idx="778">
                  <c:v>3.24038</c:v>
                </c:pt>
                <c:pt idx="779">
                  <c:v>3.24038</c:v>
                </c:pt>
                <c:pt idx="780">
                  <c:v>3.1406099999999997</c:v>
                </c:pt>
                <c:pt idx="781">
                  <c:v>3.2120699999999998</c:v>
                </c:pt>
                <c:pt idx="782">
                  <c:v>3.2426299999999997</c:v>
                </c:pt>
                <c:pt idx="783">
                  <c:v>3.2426299999999997</c:v>
                </c:pt>
                <c:pt idx="784">
                  <c:v>3.1217000000000001</c:v>
                </c:pt>
                <c:pt idx="785">
                  <c:v>3.2240600000000001</c:v>
                </c:pt>
                <c:pt idx="786">
                  <c:v>3.1639299999999997</c:v>
                </c:pt>
                <c:pt idx="787">
                  <c:v>3.3696699999999997</c:v>
                </c:pt>
                <c:pt idx="788">
                  <c:v>3.3409500000000003</c:v>
                </c:pt>
                <c:pt idx="789">
                  <c:v>3.2806500000000001</c:v>
                </c:pt>
                <c:pt idx="790">
                  <c:v>3.2966000000000002</c:v>
                </c:pt>
                <c:pt idx="791">
                  <c:v>3.4337400000000002</c:v>
                </c:pt>
                <c:pt idx="792">
                  <c:v>3.4170299999999996</c:v>
                </c:pt>
                <c:pt idx="793">
                  <c:v>3.3893299999999997</c:v>
                </c:pt>
                <c:pt idx="794">
                  <c:v>3.4295200000000001</c:v>
                </c:pt>
                <c:pt idx="795">
                  <c:v>3.5181299999999998</c:v>
                </c:pt>
                <c:pt idx="796">
                  <c:v>3.4945200000000001</c:v>
                </c:pt>
                <c:pt idx="797">
                  <c:v>3.4475500000000001</c:v>
                </c:pt>
                <c:pt idx="798">
                  <c:v>3.3607900000000002</c:v>
                </c:pt>
                <c:pt idx="799">
                  <c:v>3.3927300000000002</c:v>
                </c:pt>
                <c:pt idx="800">
                  <c:v>3.3934899999999999</c:v>
                </c:pt>
                <c:pt idx="801">
                  <c:v>3.3641199999999998</c:v>
                </c:pt>
                <c:pt idx="802">
                  <c:v>3.3394900000000001</c:v>
                </c:pt>
                <c:pt idx="803">
                  <c:v>3.3459599999999998</c:v>
                </c:pt>
                <c:pt idx="804">
                  <c:v>3.4102499999999996</c:v>
                </c:pt>
                <c:pt idx="805">
                  <c:v>3.4039699999999997</c:v>
                </c:pt>
                <c:pt idx="806">
                  <c:v>3.4654700000000003</c:v>
                </c:pt>
                <c:pt idx="807">
                  <c:v>3.3481099999999997</c:v>
                </c:pt>
                <c:pt idx="808">
                  <c:v>3.24037</c:v>
                </c:pt>
                <c:pt idx="809">
                  <c:v>3.2355700000000001</c:v>
                </c:pt>
                <c:pt idx="810">
                  <c:v>3.2460800000000001</c:v>
                </c:pt>
                <c:pt idx="811">
                  <c:v>3.1859800000000003</c:v>
                </c:pt>
                <c:pt idx="812">
                  <c:v>3.1782600000000003</c:v>
                </c:pt>
                <c:pt idx="813">
                  <c:v>3.1872799999999999</c:v>
                </c:pt>
                <c:pt idx="814">
                  <c:v>3.1363499999999997</c:v>
                </c:pt>
                <c:pt idx="815">
                  <c:v>3.11802</c:v>
                </c:pt>
                <c:pt idx="816">
                  <c:v>3.1631900000000002</c:v>
                </c:pt>
                <c:pt idx="817">
                  <c:v>3.19503</c:v>
                </c:pt>
                <c:pt idx="818">
                  <c:v>3.19868</c:v>
                </c:pt>
                <c:pt idx="819">
                  <c:v>3.1348099999999999</c:v>
                </c:pt>
                <c:pt idx="820">
                  <c:v>3.18472</c:v>
                </c:pt>
                <c:pt idx="821">
                  <c:v>3.2001100000000005</c:v>
                </c:pt>
                <c:pt idx="822">
                  <c:v>3.1530399999999998</c:v>
                </c:pt>
                <c:pt idx="823">
                  <c:v>3.1757200000000001</c:v>
                </c:pt>
                <c:pt idx="824">
                  <c:v>3.1751900000000002</c:v>
                </c:pt>
                <c:pt idx="825">
                  <c:v>3.0948399999999996</c:v>
                </c:pt>
                <c:pt idx="826">
                  <c:v>3.1324099999999997</c:v>
                </c:pt>
                <c:pt idx="827">
                  <c:v>3.19651</c:v>
                </c:pt>
                <c:pt idx="828">
                  <c:v>3.19435</c:v>
                </c:pt>
                <c:pt idx="829">
                  <c:v>3.1569400000000001</c:v>
                </c:pt>
                <c:pt idx="830">
                  <c:v>3.1379899999999998</c:v>
                </c:pt>
                <c:pt idx="831">
                  <c:v>3.3843400000000003</c:v>
                </c:pt>
                <c:pt idx="832">
                  <c:v>3.6737500000000001</c:v>
                </c:pt>
                <c:pt idx="833">
                  <c:v>3.9110199999999997</c:v>
                </c:pt>
                <c:pt idx="834">
                  <c:v>3.85459</c:v>
                </c:pt>
                <c:pt idx="835">
                  <c:v>3.97709</c:v>
                </c:pt>
                <c:pt idx="836">
                  <c:v>3.8768200000000004</c:v>
                </c:pt>
                <c:pt idx="837">
                  <c:v>4.0938600000000003</c:v>
                </c:pt>
                <c:pt idx="838">
                  <c:v>4.12371</c:v>
                </c:pt>
                <c:pt idx="839">
                  <c:v>3.9973000000000001</c:v>
                </c:pt>
                <c:pt idx="840">
                  <c:v>4.1633199999999997</c:v>
                </c:pt>
                <c:pt idx="841">
                  <c:v>4.1806099999999997</c:v>
                </c:pt>
                <c:pt idx="842">
                  <c:v>4.1881000000000004</c:v>
                </c:pt>
                <c:pt idx="843">
                  <c:v>3.9971699999999997</c:v>
                </c:pt>
                <c:pt idx="844">
                  <c:v>3.9639899999999999</c:v>
                </c:pt>
                <c:pt idx="845">
                  <c:v>3.9104299999999999</c:v>
                </c:pt>
                <c:pt idx="846">
                  <c:v>3.94862</c:v>
                </c:pt>
                <c:pt idx="847">
                  <c:v>3.8993099999999998</c:v>
                </c:pt>
                <c:pt idx="848">
                  <c:v>3.94102</c:v>
                </c:pt>
                <c:pt idx="849">
                  <c:v>4.0153500000000006</c:v>
                </c:pt>
                <c:pt idx="850">
                  <c:v>4.0350700000000002</c:v>
                </c:pt>
                <c:pt idx="851">
                  <c:v>4.0207799999999994</c:v>
                </c:pt>
                <c:pt idx="852">
                  <c:v>3.9586799999999998</c:v>
                </c:pt>
                <c:pt idx="853">
                  <c:v>3.9721499999999996</c:v>
                </c:pt>
                <c:pt idx="854">
                  <c:v>3.7969600000000003</c:v>
                </c:pt>
                <c:pt idx="855">
                  <c:v>3.8488500000000001</c:v>
                </c:pt>
                <c:pt idx="856">
                  <c:v>3.8506999999999998</c:v>
                </c:pt>
                <c:pt idx="857">
                  <c:v>3.7829999999999999</c:v>
                </c:pt>
                <c:pt idx="858">
                  <c:v>3.6701299999999999</c:v>
                </c:pt>
                <c:pt idx="859">
                  <c:v>3.7117200000000001</c:v>
                </c:pt>
                <c:pt idx="860">
                  <c:v>3.7263500000000001</c:v>
                </c:pt>
                <c:pt idx="861">
                  <c:v>3.7376400000000003</c:v>
                </c:pt>
                <c:pt idx="862">
                  <c:v>3.7069799999999997</c:v>
                </c:pt>
                <c:pt idx="863">
                  <c:v>3.7841000000000005</c:v>
                </c:pt>
                <c:pt idx="864">
                  <c:v>3.8138700000000001</c:v>
                </c:pt>
                <c:pt idx="865">
                  <c:v>3.83534</c:v>
                </c:pt>
                <c:pt idx="866">
                  <c:v>3.7392700000000003</c:v>
                </c:pt>
                <c:pt idx="867">
                  <c:v>3.7905799999999998</c:v>
                </c:pt>
                <c:pt idx="868">
                  <c:v>3.7905799999999998</c:v>
                </c:pt>
                <c:pt idx="869">
                  <c:v>3.8280799999999999</c:v>
                </c:pt>
                <c:pt idx="870">
                  <c:v>3.9149799999999999</c:v>
                </c:pt>
                <c:pt idx="871">
                  <c:v>3.9022300000000003</c:v>
                </c:pt>
                <c:pt idx="872">
                  <c:v>3.8520299999999996</c:v>
                </c:pt>
                <c:pt idx="873">
                  <c:v>3.8520299999999996</c:v>
                </c:pt>
                <c:pt idx="874">
                  <c:v>3.8003100000000001</c:v>
                </c:pt>
                <c:pt idx="875">
                  <c:v>3.9490800000000004</c:v>
                </c:pt>
                <c:pt idx="876">
                  <c:v>3.9847399999999999</c:v>
                </c:pt>
                <c:pt idx="877">
                  <c:v>3.86876</c:v>
                </c:pt>
                <c:pt idx="878">
                  <c:v>3.8676999999999997</c:v>
                </c:pt>
                <c:pt idx="879">
                  <c:v>3.78091</c:v>
                </c:pt>
                <c:pt idx="880">
                  <c:v>3.7277900000000002</c:v>
                </c:pt>
                <c:pt idx="881">
                  <c:v>3.6655200000000003</c:v>
                </c:pt>
                <c:pt idx="882">
                  <c:v>3.6347100000000001</c:v>
                </c:pt>
                <c:pt idx="883">
                  <c:v>3.6317899999999996</c:v>
                </c:pt>
                <c:pt idx="884">
                  <c:v>3.6842999999999999</c:v>
                </c:pt>
                <c:pt idx="885">
                  <c:v>3.6561000000000003</c:v>
                </c:pt>
                <c:pt idx="886">
                  <c:v>3.5331900000000003</c:v>
                </c:pt>
                <c:pt idx="887">
                  <c:v>3.52223</c:v>
                </c:pt>
                <c:pt idx="888">
                  <c:v>3.5544700000000002</c:v>
                </c:pt>
                <c:pt idx="889">
                  <c:v>3.5852300000000001</c:v>
                </c:pt>
                <c:pt idx="890">
                  <c:v>3.6406200000000002</c:v>
                </c:pt>
                <c:pt idx="891">
                  <c:v>3.6546800000000004</c:v>
                </c:pt>
                <c:pt idx="892">
                  <c:v>3.6012200000000001</c:v>
                </c:pt>
                <c:pt idx="893">
                  <c:v>3.6003400000000001</c:v>
                </c:pt>
                <c:pt idx="894">
                  <c:v>3.5266299999999999</c:v>
                </c:pt>
                <c:pt idx="895">
                  <c:v>3.51918</c:v>
                </c:pt>
                <c:pt idx="896">
                  <c:v>3.5206999999999997</c:v>
                </c:pt>
                <c:pt idx="897">
                  <c:v>3.4789100000000004</c:v>
                </c:pt>
                <c:pt idx="898">
                  <c:v>3.4669699999999999</c:v>
                </c:pt>
                <c:pt idx="899">
                  <c:v>3.44123</c:v>
                </c:pt>
                <c:pt idx="900">
                  <c:v>3.3866500000000004</c:v>
                </c:pt>
                <c:pt idx="901">
                  <c:v>3.4338099999999998</c:v>
                </c:pt>
                <c:pt idx="902">
                  <c:v>3.3748399999999998</c:v>
                </c:pt>
                <c:pt idx="903">
                  <c:v>3.3926299999999996</c:v>
                </c:pt>
                <c:pt idx="904">
                  <c:v>3.4114299999999997</c:v>
                </c:pt>
                <c:pt idx="905">
                  <c:v>3.3965899999999998</c:v>
                </c:pt>
                <c:pt idx="906">
                  <c:v>3.3232400000000002</c:v>
                </c:pt>
                <c:pt idx="907">
                  <c:v>3.3746199999999997</c:v>
                </c:pt>
                <c:pt idx="908">
                  <c:v>3.3986700000000001</c:v>
                </c:pt>
                <c:pt idx="909">
                  <c:v>3.3036200000000004</c:v>
                </c:pt>
                <c:pt idx="910">
                  <c:v>3.3502700000000001</c:v>
                </c:pt>
                <c:pt idx="911">
                  <c:v>3.2512799999999999</c:v>
                </c:pt>
                <c:pt idx="912">
                  <c:v>3.2716000000000003</c:v>
                </c:pt>
                <c:pt idx="913">
                  <c:v>3.2239200000000001</c:v>
                </c:pt>
                <c:pt idx="914">
                  <c:v>3.2159800000000001</c:v>
                </c:pt>
                <c:pt idx="915">
                  <c:v>3.1742300000000001</c:v>
                </c:pt>
                <c:pt idx="916">
                  <c:v>3.0842000000000001</c:v>
                </c:pt>
                <c:pt idx="917">
                  <c:v>3.1341300000000003</c:v>
                </c:pt>
                <c:pt idx="918">
                  <c:v>3.1987700000000001</c:v>
                </c:pt>
                <c:pt idx="919">
                  <c:v>3.2251299999999996</c:v>
                </c:pt>
                <c:pt idx="920">
                  <c:v>3.3386800000000001</c:v>
                </c:pt>
                <c:pt idx="921">
                  <c:v>3.4234899999999997</c:v>
                </c:pt>
                <c:pt idx="922">
                  <c:v>3.3452999999999999</c:v>
                </c:pt>
                <c:pt idx="923">
                  <c:v>3.3606400000000001</c:v>
                </c:pt>
                <c:pt idx="924">
                  <c:v>3.3969200000000002</c:v>
                </c:pt>
                <c:pt idx="925">
                  <c:v>3.3779700000000004</c:v>
                </c:pt>
                <c:pt idx="926">
                  <c:v>3.2447900000000001</c:v>
                </c:pt>
                <c:pt idx="927">
                  <c:v>3.2425799999999998</c:v>
                </c:pt>
                <c:pt idx="928">
                  <c:v>3.1994400000000001</c:v>
                </c:pt>
                <c:pt idx="929">
                  <c:v>3.1114199999999999</c:v>
                </c:pt>
                <c:pt idx="930">
                  <c:v>3.1644299999999999</c:v>
                </c:pt>
                <c:pt idx="931">
                  <c:v>3.0093799999999997</c:v>
                </c:pt>
                <c:pt idx="932">
                  <c:v>3.0216099999999999</c:v>
                </c:pt>
                <c:pt idx="933">
                  <c:v>3.0082400000000002</c:v>
                </c:pt>
                <c:pt idx="934">
                  <c:v>2.9892399999999997</c:v>
                </c:pt>
                <c:pt idx="935">
                  <c:v>2.9538600000000002</c:v>
                </c:pt>
                <c:pt idx="936">
                  <c:v>2.9502699999999997</c:v>
                </c:pt>
                <c:pt idx="937">
                  <c:v>3.0518400000000003</c:v>
                </c:pt>
                <c:pt idx="938">
                  <c:v>3.0648</c:v>
                </c:pt>
                <c:pt idx="939">
                  <c:v>3.09443</c:v>
                </c:pt>
                <c:pt idx="940">
                  <c:v>3.0955500000000002</c:v>
                </c:pt>
                <c:pt idx="941">
                  <c:v>3.0140699999999998</c:v>
                </c:pt>
                <c:pt idx="942">
                  <c:v>2.9268700000000001</c:v>
                </c:pt>
                <c:pt idx="943">
                  <c:v>2.9250599999999998</c:v>
                </c:pt>
                <c:pt idx="944">
                  <c:v>2.9884599999999999</c:v>
                </c:pt>
                <c:pt idx="945">
                  <c:v>2.9887799999999998</c:v>
                </c:pt>
                <c:pt idx="946">
                  <c:v>3.0142099999999998</c:v>
                </c:pt>
                <c:pt idx="947">
                  <c:v>3.0479700000000003</c:v>
                </c:pt>
                <c:pt idx="948">
                  <c:v>3.0057900000000002</c:v>
                </c:pt>
                <c:pt idx="949">
                  <c:v>2.9877100000000003</c:v>
                </c:pt>
                <c:pt idx="950">
                  <c:v>3.0340100000000003</c:v>
                </c:pt>
                <c:pt idx="951">
                  <c:v>2.9556099999999996</c:v>
                </c:pt>
                <c:pt idx="952">
                  <c:v>2.9677600000000002</c:v>
                </c:pt>
                <c:pt idx="953">
                  <c:v>2.9677600000000002</c:v>
                </c:pt>
                <c:pt idx="954">
                  <c:v>3.0783</c:v>
                </c:pt>
                <c:pt idx="955">
                  <c:v>3.0420699999999998</c:v>
                </c:pt>
                <c:pt idx="956">
                  <c:v>3.07395</c:v>
                </c:pt>
                <c:pt idx="957">
                  <c:v>2.9775900000000002</c:v>
                </c:pt>
                <c:pt idx="958">
                  <c:v>2.9937299999999998</c:v>
                </c:pt>
                <c:pt idx="959">
                  <c:v>2.9649700000000001</c:v>
                </c:pt>
                <c:pt idx="960">
                  <c:v>2.9313099999999999</c:v>
                </c:pt>
                <c:pt idx="961">
                  <c:v>2.97471</c:v>
                </c:pt>
                <c:pt idx="962">
                  <c:v>2.9906200000000003</c:v>
                </c:pt>
                <c:pt idx="963">
                  <c:v>2.9761900000000003</c:v>
                </c:pt>
              </c:numCache>
            </c:numRef>
          </c:val>
          <c:smooth val="0"/>
          <c:extLst>
            <c:ext xmlns:c16="http://schemas.microsoft.com/office/drawing/2014/chart" uri="{C3380CC4-5D6E-409C-BE32-E72D297353CC}">
              <c16:uniqueId val="{00000002-EBC4-4222-8B88-73469225685A}"/>
            </c:ext>
          </c:extLst>
        </c:ser>
        <c:ser>
          <c:idx val="4"/>
          <c:order val="4"/>
          <c:tx>
            <c:strRef>
              <c:f>Sheet1!$F$1</c:f>
              <c:strCache>
                <c:ptCount val="1"/>
                <c:pt idx="0">
                  <c:v>Ադրբեջան (2024թ.)</c:v>
                </c:pt>
              </c:strCache>
            </c:strRef>
          </c:tx>
          <c:spPr>
            <a:ln w="12700" cap="rnd">
              <a:solidFill>
                <a:srgbClr val="002060"/>
              </a:solidFill>
              <a:round/>
            </a:ln>
            <a:effectLst/>
          </c:spPr>
          <c:marker>
            <c:symbol val="none"/>
          </c:marker>
          <c:cat>
            <c:numRef>
              <c:f>Sheet1!$A$2:$A$1226</c:f>
              <c:numCache>
                <c:formatCode>m\/d\/yyyy</c:formatCode>
                <c:ptCount val="964"/>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pt idx="708">
                  <c:v>44823</c:v>
                </c:pt>
                <c:pt idx="709">
                  <c:v>44824</c:v>
                </c:pt>
                <c:pt idx="710">
                  <c:v>44825</c:v>
                </c:pt>
                <c:pt idx="711">
                  <c:v>44826</c:v>
                </c:pt>
                <c:pt idx="712">
                  <c:v>44827</c:v>
                </c:pt>
                <c:pt idx="713">
                  <c:v>44830</c:v>
                </c:pt>
                <c:pt idx="714">
                  <c:v>44831</c:v>
                </c:pt>
                <c:pt idx="715">
                  <c:v>44832</c:v>
                </c:pt>
                <c:pt idx="716">
                  <c:v>44833</c:v>
                </c:pt>
                <c:pt idx="717">
                  <c:v>44834</c:v>
                </c:pt>
                <c:pt idx="718">
                  <c:v>44837</c:v>
                </c:pt>
                <c:pt idx="719">
                  <c:v>44838</c:v>
                </c:pt>
                <c:pt idx="720">
                  <c:v>44839</c:v>
                </c:pt>
                <c:pt idx="721">
                  <c:v>44840</c:v>
                </c:pt>
                <c:pt idx="722">
                  <c:v>44841</c:v>
                </c:pt>
                <c:pt idx="723">
                  <c:v>44844</c:v>
                </c:pt>
                <c:pt idx="724">
                  <c:v>44845</c:v>
                </c:pt>
                <c:pt idx="725">
                  <c:v>44846</c:v>
                </c:pt>
                <c:pt idx="726">
                  <c:v>44847</c:v>
                </c:pt>
                <c:pt idx="727">
                  <c:v>44848</c:v>
                </c:pt>
                <c:pt idx="728">
                  <c:v>44851</c:v>
                </c:pt>
                <c:pt idx="729">
                  <c:v>44852</c:v>
                </c:pt>
                <c:pt idx="730">
                  <c:v>44853</c:v>
                </c:pt>
                <c:pt idx="731">
                  <c:v>44854</c:v>
                </c:pt>
                <c:pt idx="732">
                  <c:v>44855</c:v>
                </c:pt>
                <c:pt idx="733">
                  <c:v>44858</c:v>
                </c:pt>
                <c:pt idx="734">
                  <c:v>44859</c:v>
                </c:pt>
                <c:pt idx="735">
                  <c:v>44860</c:v>
                </c:pt>
                <c:pt idx="736">
                  <c:v>44861</c:v>
                </c:pt>
                <c:pt idx="737">
                  <c:v>44862</c:v>
                </c:pt>
                <c:pt idx="738">
                  <c:v>44865</c:v>
                </c:pt>
                <c:pt idx="739">
                  <c:v>44866</c:v>
                </c:pt>
                <c:pt idx="740">
                  <c:v>44867</c:v>
                </c:pt>
                <c:pt idx="741">
                  <c:v>44868</c:v>
                </c:pt>
                <c:pt idx="742">
                  <c:v>44869</c:v>
                </c:pt>
                <c:pt idx="743">
                  <c:v>44872</c:v>
                </c:pt>
                <c:pt idx="744">
                  <c:v>44873</c:v>
                </c:pt>
                <c:pt idx="745">
                  <c:v>44874</c:v>
                </c:pt>
                <c:pt idx="746">
                  <c:v>44875</c:v>
                </c:pt>
                <c:pt idx="747">
                  <c:v>44876</c:v>
                </c:pt>
                <c:pt idx="748">
                  <c:v>44879</c:v>
                </c:pt>
                <c:pt idx="749">
                  <c:v>44880</c:v>
                </c:pt>
                <c:pt idx="750">
                  <c:v>44881</c:v>
                </c:pt>
                <c:pt idx="751">
                  <c:v>44882</c:v>
                </c:pt>
                <c:pt idx="752">
                  <c:v>44883</c:v>
                </c:pt>
                <c:pt idx="753">
                  <c:v>44886</c:v>
                </c:pt>
                <c:pt idx="754">
                  <c:v>44887</c:v>
                </c:pt>
                <c:pt idx="755">
                  <c:v>44888</c:v>
                </c:pt>
                <c:pt idx="756">
                  <c:v>44889</c:v>
                </c:pt>
                <c:pt idx="757">
                  <c:v>44890</c:v>
                </c:pt>
                <c:pt idx="758">
                  <c:v>44893</c:v>
                </c:pt>
                <c:pt idx="759">
                  <c:v>44894</c:v>
                </c:pt>
                <c:pt idx="760">
                  <c:v>44895</c:v>
                </c:pt>
                <c:pt idx="761">
                  <c:v>44896</c:v>
                </c:pt>
                <c:pt idx="762">
                  <c:v>44897</c:v>
                </c:pt>
                <c:pt idx="763">
                  <c:v>44900</c:v>
                </c:pt>
                <c:pt idx="764">
                  <c:v>44901</c:v>
                </c:pt>
                <c:pt idx="765">
                  <c:v>44902</c:v>
                </c:pt>
                <c:pt idx="766">
                  <c:v>44903</c:v>
                </c:pt>
                <c:pt idx="767">
                  <c:v>44904</c:v>
                </c:pt>
                <c:pt idx="768">
                  <c:v>44907</c:v>
                </c:pt>
                <c:pt idx="769">
                  <c:v>44908</c:v>
                </c:pt>
                <c:pt idx="770">
                  <c:v>44909</c:v>
                </c:pt>
                <c:pt idx="771">
                  <c:v>44910</c:v>
                </c:pt>
                <c:pt idx="772">
                  <c:v>44911</c:v>
                </c:pt>
                <c:pt idx="773">
                  <c:v>44914</c:v>
                </c:pt>
                <c:pt idx="774">
                  <c:v>44915</c:v>
                </c:pt>
                <c:pt idx="775">
                  <c:v>44916</c:v>
                </c:pt>
                <c:pt idx="776">
                  <c:v>44917</c:v>
                </c:pt>
                <c:pt idx="777">
                  <c:v>44918</c:v>
                </c:pt>
                <c:pt idx="778">
                  <c:v>44921</c:v>
                </c:pt>
                <c:pt idx="779">
                  <c:v>44922</c:v>
                </c:pt>
                <c:pt idx="780">
                  <c:v>44923</c:v>
                </c:pt>
                <c:pt idx="781">
                  <c:v>44924</c:v>
                </c:pt>
                <c:pt idx="782">
                  <c:v>44925</c:v>
                </c:pt>
                <c:pt idx="783">
                  <c:v>44928</c:v>
                </c:pt>
                <c:pt idx="784">
                  <c:v>44929</c:v>
                </c:pt>
                <c:pt idx="785">
                  <c:v>44930</c:v>
                </c:pt>
                <c:pt idx="786">
                  <c:v>44931</c:v>
                </c:pt>
                <c:pt idx="787">
                  <c:v>44932</c:v>
                </c:pt>
                <c:pt idx="788">
                  <c:v>44935</c:v>
                </c:pt>
                <c:pt idx="789">
                  <c:v>44936</c:v>
                </c:pt>
                <c:pt idx="790">
                  <c:v>44937</c:v>
                </c:pt>
                <c:pt idx="791">
                  <c:v>44938</c:v>
                </c:pt>
                <c:pt idx="792">
                  <c:v>44939</c:v>
                </c:pt>
                <c:pt idx="793">
                  <c:v>44942</c:v>
                </c:pt>
                <c:pt idx="794">
                  <c:v>44943</c:v>
                </c:pt>
                <c:pt idx="795">
                  <c:v>44944</c:v>
                </c:pt>
                <c:pt idx="796">
                  <c:v>44945</c:v>
                </c:pt>
                <c:pt idx="797">
                  <c:v>44946</c:v>
                </c:pt>
                <c:pt idx="798">
                  <c:v>44949</c:v>
                </c:pt>
                <c:pt idx="799">
                  <c:v>44950</c:v>
                </c:pt>
                <c:pt idx="800">
                  <c:v>44951</c:v>
                </c:pt>
                <c:pt idx="801">
                  <c:v>44952</c:v>
                </c:pt>
                <c:pt idx="802">
                  <c:v>44953</c:v>
                </c:pt>
                <c:pt idx="803">
                  <c:v>44956</c:v>
                </c:pt>
                <c:pt idx="804">
                  <c:v>44957</c:v>
                </c:pt>
                <c:pt idx="805">
                  <c:v>44958</c:v>
                </c:pt>
                <c:pt idx="806">
                  <c:v>44959</c:v>
                </c:pt>
                <c:pt idx="807">
                  <c:v>44960</c:v>
                </c:pt>
                <c:pt idx="808">
                  <c:v>44963</c:v>
                </c:pt>
                <c:pt idx="809">
                  <c:v>44964</c:v>
                </c:pt>
                <c:pt idx="810">
                  <c:v>44965</c:v>
                </c:pt>
                <c:pt idx="811">
                  <c:v>44966</c:v>
                </c:pt>
                <c:pt idx="812">
                  <c:v>44967</c:v>
                </c:pt>
                <c:pt idx="813">
                  <c:v>44970</c:v>
                </c:pt>
                <c:pt idx="814">
                  <c:v>44971</c:v>
                </c:pt>
                <c:pt idx="815">
                  <c:v>44972</c:v>
                </c:pt>
                <c:pt idx="816">
                  <c:v>44973</c:v>
                </c:pt>
                <c:pt idx="817">
                  <c:v>44974</c:v>
                </c:pt>
                <c:pt idx="818">
                  <c:v>44977</c:v>
                </c:pt>
                <c:pt idx="819">
                  <c:v>44978</c:v>
                </c:pt>
                <c:pt idx="820">
                  <c:v>44979</c:v>
                </c:pt>
                <c:pt idx="821">
                  <c:v>44980</c:v>
                </c:pt>
                <c:pt idx="822">
                  <c:v>44981</c:v>
                </c:pt>
                <c:pt idx="823">
                  <c:v>44984</c:v>
                </c:pt>
                <c:pt idx="824">
                  <c:v>44985</c:v>
                </c:pt>
                <c:pt idx="825">
                  <c:v>44986</c:v>
                </c:pt>
                <c:pt idx="826">
                  <c:v>44987</c:v>
                </c:pt>
                <c:pt idx="827">
                  <c:v>44988</c:v>
                </c:pt>
                <c:pt idx="828">
                  <c:v>44991</c:v>
                </c:pt>
                <c:pt idx="829">
                  <c:v>44992</c:v>
                </c:pt>
                <c:pt idx="830">
                  <c:v>44993</c:v>
                </c:pt>
                <c:pt idx="831">
                  <c:v>44994</c:v>
                </c:pt>
                <c:pt idx="832">
                  <c:v>44995</c:v>
                </c:pt>
                <c:pt idx="833">
                  <c:v>44998</c:v>
                </c:pt>
                <c:pt idx="834">
                  <c:v>44999</c:v>
                </c:pt>
                <c:pt idx="835">
                  <c:v>45000</c:v>
                </c:pt>
                <c:pt idx="836">
                  <c:v>45001</c:v>
                </c:pt>
                <c:pt idx="837">
                  <c:v>45002</c:v>
                </c:pt>
                <c:pt idx="838">
                  <c:v>45005</c:v>
                </c:pt>
                <c:pt idx="839">
                  <c:v>45006</c:v>
                </c:pt>
                <c:pt idx="840">
                  <c:v>45007</c:v>
                </c:pt>
                <c:pt idx="841">
                  <c:v>45008</c:v>
                </c:pt>
                <c:pt idx="842">
                  <c:v>45009</c:v>
                </c:pt>
                <c:pt idx="843">
                  <c:v>45012</c:v>
                </c:pt>
                <c:pt idx="844">
                  <c:v>45013</c:v>
                </c:pt>
                <c:pt idx="845">
                  <c:v>45014</c:v>
                </c:pt>
                <c:pt idx="846">
                  <c:v>45015</c:v>
                </c:pt>
                <c:pt idx="847">
                  <c:v>45016</c:v>
                </c:pt>
                <c:pt idx="848">
                  <c:v>45019</c:v>
                </c:pt>
                <c:pt idx="849">
                  <c:v>45020</c:v>
                </c:pt>
                <c:pt idx="850">
                  <c:v>45021</c:v>
                </c:pt>
                <c:pt idx="851">
                  <c:v>45022</c:v>
                </c:pt>
                <c:pt idx="852">
                  <c:v>45023</c:v>
                </c:pt>
                <c:pt idx="853">
                  <c:v>45026</c:v>
                </c:pt>
                <c:pt idx="854">
                  <c:v>45027</c:v>
                </c:pt>
                <c:pt idx="855">
                  <c:v>45028</c:v>
                </c:pt>
                <c:pt idx="856">
                  <c:v>45029</c:v>
                </c:pt>
                <c:pt idx="857">
                  <c:v>45030</c:v>
                </c:pt>
                <c:pt idx="858">
                  <c:v>45033</c:v>
                </c:pt>
                <c:pt idx="859">
                  <c:v>45034</c:v>
                </c:pt>
                <c:pt idx="860">
                  <c:v>45035</c:v>
                </c:pt>
                <c:pt idx="861">
                  <c:v>45036</c:v>
                </c:pt>
                <c:pt idx="862">
                  <c:v>45037</c:v>
                </c:pt>
                <c:pt idx="863">
                  <c:v>45040</c:v>
                </c:pt>
                <c:pt idx="864">
                  <c:v>45041</c:v>
                </c:pt>
                <c:pt idx="865">
                  <c:v>45042</c:v>
                </c:pt>
                <c:pt idx="866">
                  <c:v>45043</c:v>
                </c:pt>
                <c:pt idx="867">
                  <c:v>45044</c:v>
                </c:pt>
                <c:pt idx="868">
                  <c:v>45047</c:v>
                </c:pt>
                <c:pt idx="869">
                  <c:v>45048</c:v>
                </c:pt>
                <c:pt idx="870">
                  <c:v>45049</c:v>
                </c:pt>
                <c:pt idx="871">
                  <c:v>45050</c:v>
                </c:pt>
                <c:pt idx="872">
                  <c:v>45051</c:v>
                </c:pt>
                <c:pt idx="873">
                  <c:v>45054</c:v>
                </c:pt>
                <c:pt idx="874">
                  <c:v>45055</c:v>
                </c:pt>
                <c:pt idx="875">
                  <c:v>45056</c:v>
                </c:pt>
                <c:pt idx="876">
                  <c:v>45057</c:v>
                </c:pt>
                <c:pt idx="877">
                  <c:v>45058</c:v>
                </c:pt>
                <c:pt idx="878">
                  <c:v>45061</c:v>
                </c:pt>
                <c:pt idx="879">
                  <c:v>45062</c:v>
                </c:pt>
                <c:pt idx="880">
                  <c:v>45063</c:v>
                </c:pt>
                <c:pt idx="881">
                  <c:v>45064</c:v>
                </c:pt>
                <c:pt idx="882">
                  <c:v>45065</c:v>
                </c:pt>
                <c:pt idx="883">
                  <c:v>45068</c:v>
                </c:pt>
                <c:pt idx="884">
                  <c:v>45069</c:v>
                </c:pt>
                <c:pt idx="885">
                  <c:v>45070</c:v>
                </c:pt>
                <c:pt idx="886">
                  <c:v>45071</c:v>
                </c:pt>
                <c:pt idx="887">
                  <c:v>45072</c:v>
                </c:pt>
                <c:pt idx="888">
                  <c:v>45075</c:v>
                </c:pt>
                <c:pt idx="889">
                  <c:v>45076</c:v>
                </c:pt>
                <c:pt idx="890">
                  <c:v>45077</c:v>
                </c:pt>
                <c:pt idx="891">
                  <c:v>45078</c:v>
                </c:pt>
                <c:pt idx="892">
                  <c:v>45079</c:v>
                </c:pt>
                <c:pt idx="893">
                  <c:v>45082</c:v>
                </c:pt>
                <c:pt idx="894">
                  <c:v>45083</c:v>
                </c:pt>
                <c:pt idx="895">
                  <c:v>45084</c:v>
                </c:pt>
                <c:pt idx="896">
                  <c:v>45085</c:v>
                </c:pt>
                <c:pt idx="897">
                  <c:v>45086</c:v>
                </c:pt>
                <c:pt idx="898">
                  <c:v>45089</c:v>
                </c:pt>
                <c:pt idx="899">
                  <c:v>45090</c:v>
                </c:pt>
                <c:pt idx="900">
                  <c:v>45091</c:v>
                </c:pt>
                <c:pt idx="901">
                  <c:v>45092</c:v>
                </c:pt>
                <c:pt idx="902">
                  <c:v>45093</c:v>
                </c:pt>
                <c:pt idx="903">
                  <c:v>45096</c:v>
                </c:pt>
                <c:pt idx="904">
                  <c:v>45097</c:v>
                </c:pt>
                <c:pt idx="905">
                  <c:v>45098</c:v>
                </c:pt>
                <c:pt idx="906">
                  <c:v>45099</c:v>
                </c:pt>
                <c:pt idx="907">
                  <c:v>45100</c:v>
                </c:pt>
                <c:pt idx="908">
                  <c:v>45103</c:v>
                </c:pt>
                <c:pt idx="909">
                  <c:v>45104</c:v>
                </c:pt>
                <c:pt idx="910">
                  <c:v>45105</c:v>
                </c:pt>
                <c:pt idx="911">
                  <c:v>45106</c:v>
                </c:pt>
                <c:pt idx="912">
                  <c:v>45107</c:v>
                </c:pt>
                <c:pt idx="913">
                  <c:v>45110</c:v>
                </c:pt>
                <c:pt idx="914">
                  <c:v>45111</c:v>
                </c:pt>
                <c:pt idx="915">
                  <c:v>45112</c:v>
                </c:pt>
                <c:pt idx="916">
                  <c:v>45113</c:v>
                </c:pt>
                <c:pt idx="917">
                  <c:v>45114</c:v>
                </c:pt>
                <c:pt idx="918">
                  <c:v>45117</c:v>
                </c:pt>
                <c:pt idx="919">
                  <c:v>45118</c:v>
                </c:pt>
                <c:pt idx="920">
                  <c:v>45119</c:v>
                </c:pt>
                <c:pt idx="921">
                  <c:v>45120</c:v>
                </c:pt>
                <c:pt idx="922">
                  <c:v>45121</c:v>
                </c:pt>
                <c:pt idx="923">
                  <c:v>45124</c:v>
                </c:pt>
                <c:pt idx="924">
                  <c:v>45125</c:v>
                </c:pt>
                <c:pt idx="925">
                  <c:v>45126</c:v>
                </c:pt>
                <c:pt idx="926">
                  <c:v>45127</c:v>
                </c:pt>
                <c:pt idx="927">
                  <c:v>45128</c:v>
                </c:pt>
                <c:pt idx="928">
                  <c:v>45131</c:v>
                </c:pt>
                <c:pt idx="929">
                  <c:v>45132</c:v>
                </c:pt>
                <c:pt idx="930">
                  <c:v>45133</c:v>
                </c:pt>
                <c:pt idx="931">
                  <c:v>45134</c:v>
                </c:pt>
                <c:pt idx="932">
                  <c:v>45135</c:v>
                </c:pt>
                <c:pt idx="933">
                  <c:v>45138</c:v>
                </c:pt>
                <c:pt idx="934">
                  <c:v>45139</c:v>
                </c:pt>
                <c:pt idx="935">
                  <c:v>45140</c:v>
                </c:pt>
                <c:pt idx="936">
                  <c:v>45141</c:v>
                </c:pt>
                <c:pt idx="937">
                  <c:v>45142</c:v>
                </c:pt>
                <c:pt idx="938">
                  <c:v>45145</c:v>
                </c:pt>
                <c:pt idx="939">
                  <c:v>45146</c:v>
                </c:pt>
                <c:pt idx="940">
                  <c:v>45147</c:v>
                </c:pt>
                <c:pt idx="941">
                  <c:v>45148</c:v>
                </c:pt>
                <c:pt idx="942">
                  <c:v>45149</c:v>
                </c:pt>
                <c:pt idx="943">
                  <c:v>45152</c:v>
                </c:pt>
                <c:pt idx="944">
                  <c:v>45153</c:v>
                </c:pt>
                <c:pt idx="945">
                  <c:v>45154</c:v>
                </c:pt>
                <c:pt idx="946">
                  <c:v>45155</c:v>
                </c:pt>
                <c:pt idx="947">
                  <c:v>45156</c:v>
                </c:pt>
                <c:pt idx="948">
                  <c:v>45159</c:v>
                </c:pt>
                <c:pt idx="949">
                  <c:v>45160</c:v>
                </c:pt>
                <c:pt idx="950">
                  <c:v>45161</c:v>
                </c:pt>
                <c:pt idx="951">
                  <c:v>45162</c:v>
                </c:pt>
                <c:pt idx="952">
                  <c:v>45163</c:v>
                </c:pt>
                <c:pt idx="953">
                  <c:v>45166</c:v>
                </c:pt>
                <c:pt idx="954">
                  <c:v>45167</c:v>
                </c:pt>
                <c:pt idx="955">
                  <c:v>45168</c:v>
                </c:pt>
                <c:pt idx="956">
                  <c:v>45169</c:v>
                </c:pt>
                <c:pt idx="957">
                  <c:v>45170</c:v>
                </c:pt>
                <c:pt idx="958">
                  <c:v>45173</c:v>
                </c:pt>
                <c:pt idx="959">
                  <c:v>45174</c:v>
                </c:pt>
                <c:pt idx="960">
                  <c:v>45175</c:v>
                </c:pt>
                <c:pt idx="961">
                  <c:v>45176</c:v>
                </c:pt>
                <c:pt idx="962">
                  <c:v>45177</c:v>
                </c:pt>
                <c:pt idx="963">
                  <c:v>45180</c:v>
                </c:pt>
              </c:numCache>
            </c:numRef>
          </c:cat>
          <c:val>
            <c:numRef>
              <c:f>Sheet1!$F$2:$F$1226</c:f>
              <c:numCache>
                <c:formatCode>0</c:formatCode>
                <c:ptCount val="964"/>
                <c:pt idx="0">
                  <c:v>1.23468</c:v>
                </c:pt>
                <c:pt idx="1">
                  <c:v>1.20689</c:v>
                </c:pt>
                <c:pt idx="2">
                  <c:v>1.2267600000000001</c:v>
                </c:pt>
                <c:pt idx="3">
                  <c:v>1.2432099999999999</c:v>
                </c:pt>
                <c:pt idx="4">
                  <c:v>1.2323600000000001</c:v>
                </c:pt>
                <c:pt idx="5">
                  <c:v>1.16144</c:v>
                </c:pt>
                <c:pt idx="6">
                  <c:v>1.17648</c:v>
                </c:pt>
                <c:pt idx="7">
                  <c:v>1.1886300000000001</c:v>
                </c:pt>
                <c:pt idx="8">
                  <c:v>1.1829700000000001</c:v>
                </c:pt>
                <c:pt idx="9">
                  <c:v>1.1881200000000001</c:v>
                </c:pt>
                <c:pt idx="10">
                  <c:v>1.1734499999999999</c:v>
                </c:pt>
                <c:pt idx="11">
                  <c:v>1.1579200000000001</c:v>
                </c:pt>
                <c:pt idx="12">
                  <c:v>1.1709499999999999</c:v>
                </c:pt>
                <c:pt idx="13">
                  <c:v>1.17259</c:v>
                </c:pt>
                <c:pt idx="14">
                  <c:v>1.1762900000000001</c:v>
                </c:pt>
                <c:pt idx="15">
                  <c:v>1.1757899999999999</c:v>
                </c:pt>
                <c:pt idx="16">
                  <c:v>1.2204200000000001</c:v>
                </c:pt>
                <c:pt idx="17">
                  <c:v>1.2450300000000001</c:v>
                </c:pt>
                <c:pt idx="18">
                  <c:v>1.3548800000000001</c:v>
                </c:pt>
                <c:pt idx="19">
                  <c:v>1.2954599999999998</c:v>
                </c:pt>
                <c:pt idx="20">
                  <c:v>1.3664799999999999</c:v>
                </c:pt>
                <c:pt idx="21">
                  <c:v>1.3691499999999999</c:v>
                </c:pt>
                <c:pt idx="22">
                  <c:v>1.2956700000000001</c:v>
                </c:pt>
                <c:pt idx="23">
                  <c:v>1.29921</c:v>
                </c:pt>
                <c:pt idx="24">
                  <c:v>1.18801</c:v>
                </c:pt>
                <c:pt idx="25">
                  <c:v>1.12873</c:v>
                </c:pt>
                <c:pt idx="26">
                  <c:v>1.10284</c:v>
                </c:pt>
                <c:pt idx="27">
                  <c:v>1.12788</c:v>
                </c:pt>
                <c:pt idx="28">
                  <c:v>1.1428499999999999</c:v>
                </c:pt>
                <c:pt idx="29">
                  <c:v>1.0477400000000001</c:v>
                </c:pt>
                <c:pt idx="30">
                  <c:v>0.99474000000000007</c:v>
                </c:pt>
                <c:pt idx="31">
                  <c:v>0.94007999999999992</c:v>
                </c:pt>
                <c:pt idx="32">
                  <c:v>1.0031600000000001</c:v>
                </c:pt>
                <c:pt idx="33">
                  <c:v>0.98268</c:v>
                </c:pt>
                <c:pt idx="34">
                  <c:v>1.0300499999999999</c:v>
                </c:pt>
                <c:pt idx="35">
                  <c:v>1.01834</c:v>
                </c:pt>
                <c:pt idx="36">
                  <c:v>1.0665500000000001</c:v>
                </c:pt>
                <c:pt idx="37">
                  <c:v>1.0963500000000002</c:v>
                </c:pt>
                <c:pt idx="38">
                  <c:v>1.2351799999999999</c:v>
                </c:pt>
                <c:pt idx="39">
                  <c:v>1.3313599999999999</c:v>
                </c:pt>
                <c:pt idx="40">
                  <c:v>1.3819999999999999</c:v>
                </c:pt>
                <c:pt idx="41">
                  <c:v>1.61775</c:v>
                </c:pt>
                <c:pt idx="42">
                  <c:v>1.9553800000000001</c:v>
                </c:pt>
                <c:pt idx="43">
                  <c:v>2.0169000000000001</c:v>
                </c:pt>
                <c:pt idx="44">
                  <c:v>1.86005</c:v>
                </c:pt>
                <c:pt idx="45">
                  <c:v>1.7989599999999999</c:v>
                </c:pt>
                <c:pt idx="46">
                  <c:v>1.76579</c:v>
                </c:pt>
                <c:pt idx="47">
                  <c:v>1.8933099999999998</c:v>
                </c:pt>
                <c:pt idx="48">
                  <c:v>3.1762999999999999</c:v>
                </c:pt>
                <c:pt idx="49">
                  <c:v>2.9641099999999998</c:v>
                </c:pt>
                <c:pt idx="50">
                  <c:v>3.0916699999999997</c:v>
                </c:pt>
                <c:pt idx="51">
                  <c:v>4.4428099999999997</c:v>
                </c:pt>
                <c:pt idx="52">
                  <c:v>4.2756799999999995</c:v>
                </c:pt>
                <c:pt idx="53">
                  <c:v>5.2324800000000007</c:v>
                </c:pt>
                <c:pt idx="54">
                  <c:v>5.02393</c:v>
                </c:pt>
                <c:pt idx="55">
                  <c:v>6.3774600000000001</c:v>
                </c:pt>
                <c:pt idx="56">
                  <c:v>6.9503300000000001</c:v>
                </c:pt>
                <c:pt idx="57">
                  <c:v>6.7553599999999996</c:v>
                </c:pt>
                <c:pt idx="58">
                  <c:v>7.6551800000000005</c:v>
                </c:pt>
                <c:pt idx="59">
                  <c:v>6.71875</c:v>
                </c:pt>
                <c:pt idx="60">
                  <c:v>5.79087</c:v>
                </c:pt>
                <c:pt idx="61">
                  <c:v>5.8168600000000001</c:v>
                </c:pt>
                <c:pt idx="62">
                  <c:v>4.8578900000000003</c:v>
                </c:pt>
                <c:pt idx="63">
                  <c:v>5.3749099999999999</c:v>
                </c:pt>
                <c:pt idx="64">
                  <c:v>5.0855600000000001</c:v>
                </c:pt>
                <c:pt idx="65">
                  <c:v>4.9614399999999996</c:v>
                </c:pt>
                <c:pt idx="66">
                  <c:v>4.7730199999999998</c:v>
                </c:pt>
                <c:pt idx="67">
                  <c:v>4.3204799999999999</c:v>
                </c:pt>
                <c:pt idx="68">
                  <c:v>3.9333399999999998</c:v>
                </c:pt>
                <c:pt idx="69">
                  <c:v>3.6818900000000001</c:v>
                </c:pt>
                <c:pt idx="70">
                  <c:v>3.6785399999999999</c:v>
                </c:pt>
                <c:pt idx="71">
                  <c:v>3.5757400000000001</c:v>
                </c:pt>
                <c:pt idx="72">
                  <c:v>3.5757400000000001</c:v>
                </c:pt>
                <c:pt idx="73">
                  <c:v>3.5757400000000001</c:v>
                </c:pt>
                <c:pt idx="74">
                  <c:v>3.3679100000000002</c:v>
                </c:pt>
                <c:pt idx="75">
                  <c:v>3.5610500000000003</c:v>
                </c:pt>
                <c:pt idx="76">
                  <c:v>3.6024599999999998</c:v>
                </c:pt>
                <c:pt idx="77">
                  <c:v>3.5285000000000002</c:v>
                </c:pt>
                <c:pt idx="78">
                  <c:v>3.5989599999999999</c:v>
                </c:pt>
                <c:pt idx="79">
                  <c:v>4.2244200000000003</c:v>
                </c:pt>
                <c:pt idx="80">
                  <c:v>4.0825100000000001</c:v>
                </c:pt>
                <c:pt idx="81">
                  <c:v>3.9408499999999997</c:v>
                </c:pt>
                <c:pt idx="82">
                  <c:v>3.9464199999999998</c:v>
                </c:pt>
                <c:pt idx="83">
                  <c:v>4.1466799999999999</c:v>
                </c:pt>
                <c:pt idx="84">
                  <c:v>4.20648</c:v>
                </c:pt>
                <c:pt idx="85">
                  <c:v>4.2329499999999998</c:v>
                </c:pt>
                <c:pt idx="86">
                  <c:v>4.0659799999999997</c:v>
                </c:pt>
                <c:pt idx="87">
                  <c:v>4.0389600000000003</c:v>
                </c:pt>
                <c:pt idx="88">
                  <c:v>4.3093000000000004</c:v>
                </c:pt>
                <c:pt idx="89">
                  <c:v>3.9536099999999998</c:v>
                </c:pt>
                <c:pt idx="90">
                  <c:v>3.9249099999999997</c:v>
                </c:pt>
                <c:pt idx="91">
                  <c:v>4.0300799999999999</c:v>
                </c:pt>
                <c:pt idx="92">
                  <c:v>4.0300799999999999</c:v>
                </c:pt>
                <c:pt idx="93">
                  <c:v>3.8527300000000002</c:v>
                </c:pt>
                <c:pt idx="94">
                  <c:v>3.6079700000000003</c:v>
                </c:pt>
                <c:pt idx="95">
                  <c:v>3.5604199999999997</c:v>
                </c:pt>
                <c:pt idx="96">
                  <c:v>3.6022000000000003</c:v>
                </c:pt>
                <c:pt idx="97">
                  <c:v>3.4348200000000002</c:v>
                </c:pt>
                <c:pt idx="98">
                  <c:v>3.2334699999999996</c:v>
                </c:pt>
                <c:pt idx="99">
                  <c:v>3.1645499999999998</c:v>
                </c:pt>
                <c:pt idx="100">
                  <c:v>3.0733800000000002</c:v>
                </c:pt>
                <c:pt idx="101">
                  <c:v>2.9800999999999997</c:v>
                </c:pt>
                <c:pt idx="102">
                  <c:v>3.0502100000000003</c:v>
                </c:pt>
                <c:pt idx="103">
                  <c:v>3.0502100000000003</c:v>
                </c:pt>
                <c:pt idx="104">
                  <c:v>2.9054599999999997</c:v>
                </c:pt>
                <c:pt idx="105">
                  <c:v>2.8150900000000001</c:v>
                </c:pt>
                <c:pt idx="106">
                  <c:v>2.8096399999999999</c:v>
                </c:pt>
                <c:pt idx="107">
                  <c:v>2.9141300000000001</c:v>
                </c:pt>
                <c:pt idx="108">
                  <c:v>2.8711599999999997</c:v>
                </c:pt>
                <c:pt idx="109">
                  <c:v>2.77101</c:v>
                </c:pt>
                <c:pt idx="110">
                  <c:v>2.5754000000000001</c:v>
                </c:pt>
                <c:pt idx="111">
                  <c:v>2.5012699999999999</c:v>
                </c:pt>
                <c:pt idx="112">
                  <c:v>2.3018799999999997</c:v>
                </c:pt>
                <c:pt idx="113">
                  <c:v>2.2763300000000002</c:v>
                </c:pt>
                <c:pt idx="114">
                  <c:v>2.3016000000000001</c:v>
                </c:pt>
                <c:pt idx="115">
                  <c:v>2.30769</c:v>
                </c:pt>
                <c:pt idx="116">
                  <c:v>2.4420899999999999</c:v>
                </c:pt>
                <c:pt idx="117">
                  <c:v>2.5310199999999998</c:v>
                </c:pt>
                <c:pt idx="118">
                  <c:v>2.82945</c:v>
                </c:pt>
                <c:pt idx="119">
                  <c:v>2.5683699999999998</c:v>
                </c:pt>
                <c:pt idx="120">
                  <c:v>2.6128199999999997</c:v>
                </c:pt>
                <c:pt idx="121">
                  <c:v>2.6408100000000001</c:v>
                </c:pt>
                <c:pt idx="122">
                  <c:v>2.6838700000000002</c:v>
                </c:pt>
                <c:pt idx="123">
                  <c:v>2.6538200000000001</c:v>
                </c:pt>
                <c:pt idx="124">
                  <c:v>2.4981</c:v>
                </c:pt>
                <c:pt idx="125">
                  <c:v>2.45004</c:v>
                </c:pt>
                <c:pt idx="126">
                  <c:v>2.5012699999999999</c:v>
                </c:pt>
                <c:pt idx="127">
                  <c:v>2.6213899999999999</c:v>
                </c:pt>
                <c:pt idx="128">
                  <c:v>2.68512</c:v>
                </c:pt>
                <c:pt idx="129">
                  <c:v>2.6305200000000002</c:v>
                </c:pt>
                <c:pt idx="130">
                  <c:v>2.5922100000000001</c:v>
                </c:pt>
                <c:pt idx="131">
                  <c:v>2.47336</c:v>
                </c:pt>
                <c:pt idx="132">
                  <c:v>2.4712100000000001</c:v>
                </c:pt>
                <c:pt idx="133">
                  <c:v>2.4099500000000003</c:v>
                </c:pt>
                <c:pt idx="134">
                  <c:v>2.4259399999999998</c:v>
                </c:pt>
                <c:pt idx="135">
                  <c:v>2.4565299999999999</c:v>
                </c:pt>
                <c:pt idx="136">
                  <c:v>2.3628100000000001</c:v>
                </c:pt>
                <c:pt idx="137">
                  <c:v>2.35128</c:v>
                </c:pt>
                <c:pt idx="138">
                  <c:v>2.3355199999999998</c:v>
                </c:pt>
                <c:pt idx="139">
                  <c:v>2.2693400000000001</c:v>
                </c:pt>
                <c:pt idx="140">
                  <c:v>2.286</c:v>
                </c:pt>
                <c:pt idx="141">
                  <c:v>2.2883100000000001</c:v>
                </c:pt>
                <c:pt idx="142">
                  <c:v>2.2637299999999998</c:v>
                </c:pt>
                <c:pt idx="143">
                  <c:v>2.2477800000000001</c:v>
                </c:pt>
                <c:pt idx="144">
                  <c:v>2.2258900000000001</c:v>
                </c:pt>
                <c:pt idx="145">
                  <c:v>2.21638</c:v>
                </c:pt>
                <c:pt idx="146">
                  <c:v>2.1633499999999999</c:v>
                </c:pt>
                <c:pt idx="147">
                  <c:v>2.19293</c:v>
                </c:pt>
                <c:pt idx="148">
                  <c:v>2.1592500000000001</c:v>
                </c:pt>
                <c:pt idx="149">
                  <c:v>2.18391</c:v>
                </c:pt>
                <c:pt idx="150">
                  <c:v>2.2071399999999999</c:v>
                </c:pt>
                <c:pt idx="151">
                  <c:v>2.21461</c:v>
                </c:pt>
                <c:pt idx="152">
                  <c:v>2.1606399999999999</c:v>
                </c:pt>
                <c:pt idx="153">
                  <c:v>2.11991</c:v>
                </c:pt>
                <c:pt idx="154">
                  <c:v>2.05342</c:v>
                </c:pt>
                <c:pt idx="155">
                  <c:v>1.94055</c:v>
                </c:pt>
                <c:pt idx="156">
                  <c:v>1.9018999999999999</c:v>
                </c:pt>
                <c:pt idx="157">
                  <c:v>1.8440799999999999</c:v>
                </c:pt>
                <c:pt idx="158">
                  <c:v>1.7527699999999999</c:v>
                </c:pt>
                <c:pt idx="159">
                  <c:v>1.6776499999999999</c:v>
                </c:pt>
                <c:pt idx="160">
                  <c:v>1.69563</c:v>
                </c:pt>
                <c:pt idx="161">
                  <c:v>1.62934</c:v>
                </c:pt>
                <c:pt idx="162">
                  <c:v>1.6131800000000001</c:v>
                </c:pt>
                <c:pt idx="163">
                  <c:v>1.67083</c:v>
                </c:pt>
                <c:pt idx="164">
                  <c:v>1.6675599999999999</c:v>
                </c:pt>
                <c:pt idx="165">
                  <c:v>1.72095</c:v>
                </c:pt>
                <c:pt idx="166">
                  <c:v>1.7687600000000001</c:v>
                </c:pt>
                <c:pt idx="167">
                  <c:v>1.7350700000000001</c:v>
                </c:pt>
                <c:pt idx="168">
                  <c:v>1.73967</c:v>
                </c:pt>
                <c:pt idx="169">
                  <c:v>1.7281500000000001</c:v>
                </c:pt>
                <c:pt idx="170">
                  <c:v>1.7498800000000001</c:v>
                </c:pt>
                <c:pt idx="171">
                  <c:v>1.77084</c:v>
                </c:pt>
                <c:pt idx="172">
                  <c:v>1.81132</c:v>
                </c:pt>
                <c:pt idx="173">
                  <c:v>1.81132</c:v>
                </c:pt>
                <c:pt idx="174">
                  <c:v>1.8093600000000001</c:v>
                </c:pt>
                <c:pt idx="175">
                  <c:v>1.7907900000000001</c:v>
                </c:pt>
                <c:pt idx="176">
                  <c:v>1.7926299999999999</c:v>
                </c:pt>
                <c:pt idx="177">
                  <c:v>1.78725</c:v>
                </c:pt>
                <c:pt idx="178">
                  <c:v>1.7779499999999999</c:v>
                </c:pt>
                <c:pt idx="179">
                  <c:v>1.8576400000000002</c:v>
                </c:pt>
                <c:pt idx="180">
                  <c:v>1.8853800000000001</c:v>
                </c:pt>
                <c:pt idx="181">
                  <c:v>1.8868499999999999</c:v>
                </c:pt>
                <c:pt idx="182">
                  <c:v>1.9613800000000001</c:v>
                </c:pt>
                <c:pt idx="183">
                  <c:v>1.9516399999999998</c:v>
                </c:pt>
                <c:pt idx="184">
                  <c:v>1.9359299999999999</c:v>
                </c:pt>
                <c:pt idx="185">
                  <c:v>1.9016900000000001</c:v>
                </c:pt>
                <c:pt idx="186">
                  <c:v>1.9941300000000002</c:v>
                </c:pt>
                <c:pt idx="187">
                  <c:v>1.99329</c:v>
                </c:pt>
                <c:pt idx="188">
                  <c:v>2.1331899999999999</c:v>
                </c:pt>
                <c:pt idx="189">
                  <c:v>2.19245</c:v>
                </c:pt>
                <c:pt idx="190">
                  <c:v>2.3373599999999999</c:v>
                </c:pt>
                <c:pt idx="191">
                  <c:v>2.4892300000000001</c:v>
                </c:pt>
                <c:pt idx="192">
                  <c:v>2.5099900000000002</c:v>
                </c:pt>
                <c:pt idx="193">
                  <c:v>2.8295400000000002</c:v>
                </c:pt>
                <c:pt idx="194">
                  <c:v>3.0179100000000001</c:v>
                </c:pt>
                <c:pt idx="195">
                  <c:v>2.8484099999999999</c:v>
                </c:pt>
                <c:pt idx="196">
                  <c:v>2.7829299999999999</c:v>
                </c:pt>
                <c:pt idx="197">
                  <c:v>2.6823800000000002</c:v>
                </c:pt>
                <c:pt idx="198">
                  <c:v>2.6606700000000001</c:v>
                </c:pt>
                <c:pt idx="199">
                  <c:v>2.5639400000000001</c:v>
                </c:pt>
                <c:pt idx="200">
                  <c:v>2.5027699999999999</c:v>
                </c:pt>
                <c:pt idx="201">
                  <c:v>2.41391</c:v>
                </c:pt>
                <c:pt idx="202">
                  <c:v>2.20574</c:v>
                </c:pt>
                <c:pt idx="203">
                  <c:v>2.22051</c:v>
                </c:pt>
                <c:pt idx="204">
                  <c:v>2.2380300000000002</c:v>
                </c:pt>
                <c:pt idx="205">
                  <c:v>2.2706200000000001</c:v>
                </c:pt>
                <c:pt idx="206">
                  <c:v>2.4603999999999999</c:v>
                </c:pt>
                <c:pt idx="207">
                  <c:v>2.41683</c:v>
                </c:pt>
                <c:pt idx="208">
                  <c:v>2.4205899999999998</c:v>
                </c:pt>
                <c:pt idx="209">
                  <c:v>2.4350200000000002</c:v>
                </c:pt>
                <c:pt idx="210">
                  <c:v>2.4119600000000001</c:v>
                </c:pt>
                <c:pt idx="211">
                  <c:v>2.5036399999999999</c:v>
                </c:pt>
                <c:pt idx="212">
                  <c:v>2.5107900000000001</c:v>
                </c:pt>
                <c:pt idx="213">
                  <c:v>2.6170400000000003</c:v>
                </c:pt>
                <c:pt idx="214">
                  <c:v>2.6512200000000004</c:v>
                </c:pt>
                <c:pt idx="215">
                  <c:v>2.65123</c:v>
                </c:pt>
                <c:pt idx="216">
                  <c:v>2.5371000000000001</c:v>
                </c:pt>
                <c:pt idx="217">
                  <c:v>2.5456799999999999</c:v>
                </c:pt>
                <c:pt idx="218">
                  <c:v>2.5445500000000001</c:v>
                </c:pt>
                <c:pt idx="219">
                  <c:v>2.36782</c:v>
                </c:pt>
                <c:pt idx="220">
                  <c:v>2.3221799999999999</c:v>
                </c:pt>
                <c:pt idx="221">
                  <c:v>2.2164099999999998</c:v>
                </c:pt>
                <c:pt idx="222">
                  <c:v>2.0535100000000002</c:v>
                </c:pt>
                <c:pt idx="223">
                  <c:v>1.9663900000000001</c:v>
                </c:pt>
                <c:pt idx="224">
                  <c:v>1.72861</c:v>
                </c:pt>
                <c:pt idx="225">
                  <c:v>1.63696</c:v>
                </c:pt>
                <c:pt idx="226">
                  <c:v>1.5858300000000001</c:v>
                </c:pt>
                <c:pt idx="227">
                  <c:v>1.5969599999999999</c:v>
                </c:pt>
                <c:pt idx="228">
                  <c:v>1.6081899999999998</c:v>
                </c:pt>
                <c:pt idx="229">
                  <c:v>1.6304400000000001</c:v>
                </c:pt>
                <c:pt idx="230">
                  <c:v>1.62422</c:v>
                </c:pt>
                <c:pt idx="231">
                  <c:v>1.6318700000000002</c:v>
                </c:pt>
                <c:pt idx="232">
                  <c:v>1.68516</c:v>
                </c:pt>
                <c:pt idx="233">
                  <c:v>1.60053</c:v>
                </c:pt>
                <c:pt idx="234">
                  <c:v>1.5870199999999999</c:v>
                </c:pt>
                <c:pt idx="235">
                  <c:v>1.5528599999999999</c:v>
                </c:pt>
                <c:pt idx="236">
                  <c:v>1.5117699999999998</c:v>
                </c:pt>
                <c:pt idx="237">
                  <c:v>1.54928</c:v>
                </c:pt>
                <c:pt idx="238">
                  <c:v>1.4902099999999998</c:v>
                </c:pt>
                <c:pt idx="239">
                  <c:v>1.3548</c:v>
                </c:pt>
                <c:pt idx="240">
                  <c:v>1.35663</c:v>
                </c:pt>
                <c:pt idx="241">
                  <c:v>1.26742</c:v>
                </c:pt>
                <c:pt idx="242">
                  <c:v>1.22353</c:v>
                </c:pt>
                <c:pt idx="243">
                  <c:v>1.28746</c:v>
                </c:pt>
                <c:pt idx="244">
                  <c:v>1.25346</c:v>
                </c:pt>
                <c:pt idx="245">
                  <c:v>1.2363299999999999</c:v>
                </c:pt>
                <c:pt idx="246">
                  <c:v>1.2585999999999999</c:v>
                </c:pt>
                <c:pt idx="247">
                  <c:v>1.30819</c:v>
                </c:pt>
                <c:pt idx="248">
                  <c:v>1.3162700000000001</c:v>
                </c:pt>
                <c:pt idx="249">
                  <c:v>1.32585</c:v>
                </c:pt>
                <c:pt idx="250">
                  <c:v>1.26894</c:v>
                </c:pt>
                <c:pt idx="251">
                  <c:v>1.24638</c:v>
                </c:pt>
                <c:pt idx="252">
                  <c:v>1.22804</c:v>
                </c:pt>
                <c:pt idx="253">
                  <c:v>1.2251799999999999</c:v>
                </c:pt>
                <c:pt idx="254">
                  <c:v>1.2945800000000001</c:v>
                </c:pt>
                <c:pt idx="255">
                  <c:v>1.24664</c:v>
                </c:pt>
                <c:pt idx="256">
                  <c:v>1.2680899999999999</c:v>
                </c:pt>
                <c:pt idx="257">
                  <c:v>1.2680899999999999</c:v>
                </c:pt>
                <c:pt idx="258">
                  <c:v>1.2680899999999999</c:v>
                </c:pt>
                <c:pt idx="259">
                  <c:v>1.2601599999999999</c:v>
                </c:pt>
                <c:pt idx="260">
                  <c:v>1.1756199999999999</c:v>
                </c:pt>
                <c:pt idx="261">
                  <c:v>1.25356</c:v>
                </c:pt>
                <c:pt idx="262">
                  <c:v>1.25356</c:v>
                </c:pt>
                <c:pt idx="263">
                  <c:v>1.3905099999999999</c:v>
                </c:pt>
                <c:pt idx="264">
                  <c:v>1.4502600000000001</c:v>
                </c:pt>
                <c:pt idx="265">
                  <c:v>1.4451099999999999</c:v>
                </c:pt>
                <c:pt idx="266">
                  <c:v>1.5023299999999999</c:v>
                </c:pt>
                <c:pt idx="267">
                  <c:v>1.4450899999999998</c:v>
                </c:pt>
                <c:pt idx="268">
                  <c:v>1.4552799999999999</c:v>
                </c:pt>
                <c:pt idx="269">
                  <c:v>1.4753499999999999</c:v>
                </c:pt>
                <c:pt idx="270">
                  <c:v>1.4822499999999998</c:v>
                </c:pt>
                <c:pt idx="271">
                  <c:v>1.3687</c:v>
                </c:pt>
                <c:pt idx="272">
                  <c:v>1.4323699999999999</c:v>
                </c:pt>
                <c:pt idx="273">
                  <c:v>1.4508799999999999</c:v>
                </c:pt>
                <c:pt idx="274">
                  <c:v>1.4475200000000001</c:v>
                </c:pt>
                <c:pt idx="275">
                  <c:v>1.45831</c:v>
                </c:pt>
                <c:pt idx="276">
                  <c:v>1.4397599999999999</c:v>
                </c:pt>
                <c:pt idx="277">
                  <c:v>1.5179199999999999</c:v>
                </c:pt>
                <c:pt idx="278">
                  <c:v>1.5730600000000001</c:v>
                </c:pt>
                <c:pt idx="279">
                  <c:v>1.54819</c:v>
                </c:pt>
                <c:pt idx="280">
                  <c:v>1.4145699999999999</c:v>
                </c:pt>
                <c:pt idx="281">
                  <c:v>1.4264300000000001</c:v>
                </c:pt>
                <c:pt idx="282">
                  <c:v>1.38595</c:v>
                </c:pt>
                <c:pt idx="283">
                  <c:v>1.29054</c:v>
                </c:pt>
                <c:pt idx="284">
                  <c:v>1.2545500000000001</c:v>
                </c:pt>
                <c:pt idx="285">
                  <c:v>1.24997</c:v>
                </c:pt>
                <c:pt idx="286">
                  <c:v>1.2210399999999999</c:v>
                </c:pt>
                <c:pt idx="287">
                  <c:v>1.2603900000000001</c:v>
                </c:pt>
                <c:pt idx="288">
                  <c:v>1.2398099999999999</c:v>
                </c:pt>
                <c:pt idx="289">
                  <c:v>1.24268</c:v>
                </c:pt>
                <c:pt idx="290">
                  <c:v>1.2646299999999999</c:v>
                </c:pt>
                <c:pt idx="291">
                  <c:v>1.26312</c:v>
                </c:pt>
                <c:pt idx="292">
                  <c:v>1.3266200000000001</c:v>
                </c:pt>
                <c:pt idx="293">
                  <c:v>1.3666200000000002</c:v>
                </c:pt>
                <c:pt idx="294">
                  <c:v>1.4687100000000002</c:v>
                </c:pt>
                <c:pt idx="295">
                  <c:v>1.5361400000000001</c:v>
                </c:pt>
                <c:pt idx="296">
                  <c:v>1.4497</c:v>
                </c:pt>
                <c:pt idx="297">
                  <c:v>1.4175800000000001</c:v>
                </c:pt>
                <c:pt idx="298">
                  <c:v>1.4184000000000001</c:v>
                </c:pt>
                <c:pt idx="299">
                  <c:v>1.43276</c:v>
                </c:pt>
                <c:pt idx="300">
                  <c:v>1.41415</c:v>
                </c:pt>
                <c:pt idx="301">
                  <c:v>1.36805</c:v>
                </c:pt>
                <c:pt idx="302">
                  <c:v>1.44468</c:v>
                </c:pt>
                <c:pt idx="303">
                  <c:v>1.41245</c:v>
                </c:pt>
                <c:pt idx="304">
                  <c:v>1.2975299999999999</c:v>
                </c:pt>
                <c:pt idx="305">
                  <c:v>1.25631</c:v>
                </c:pt>
                <c:pt idx="306">
                  <c:v>1.2561199999999999</c:v>
                </c:pt>
                <c:pt idx="307">
                  <c:v>1.2801800000000001</c:v>
                </c:pt>
                <c:pt idx="308">
                  <c:v>1.44987</c:v>
                </c:pt>
                <c:pt idx="309">
                  <c:v>1.2886500000000001</c:v>
                </c:pt>
                <c:pt idx="310">
                  <c:v>1.2760800000000001</c:v>
                </c:pt>
                <c:pt idx="311">
                  <c:v>1.3209899999999999</c:v>
                </c:pt>
                <c:pt idx="312">
                  <c:v>1.30216</c:v>
                </c:pt>
                <c:pt idx="313">
                  <c:v>1.2782500000000001</c:v>
                </c:pt>
                <c:pt idx="314">
                  <c:v>1.2485999999999999</c:v>
                </c:pt>
                <c:pt idx="315">
                  <c:v>1.3570099999999998</c:v>
                </c:pt>
                <c:pt idx="316">
                  <c:v>1.3563000000000001</c:v>
                </c:pt>
                <c:pt idx="317">
                  <c:v>1.3870400000000001</c:v>
                </c:pt>
                <c:pt idx="318">
                  <c:v>1.3091999999999999</c:v>
                </c:pt>
                <c:pt idx="319">
                  <c:v>1.3951199999999999</c:v>
                </c:pt>
                <c:pt idx="320">
                  <c:v>1.40892</c:v>
                </c:pt>
                <c:pt idx="321">
                  <c:v>1.3490199999999999</c:v>
                </c:pt>
                <c:pt idx="322">
                  <c:v>1.43285</c:v>
                </c:pt>
                <c:pt idx="323">
                  <c:v>1.41083</c:v>
                </c:pt>
                <c:pt idx="324">
                  <c:v>1.48285</c:v>
                </c:pt>
                <c:pt idx="325">
                  <c:v>1.4240799999999998</c:v>
                </c:pt>
                <c:pt idx="326">
                  <c:v>1.40869</c:v>
                </c:pt>
                <c:pt idx="327">
                  <c:v>1.40869</c:v>
                </c:pt>
                <c:pt idx="328">
                  <c:v>1.40869</c:v>
                </c:pt>
                <c:pt idx="329">
                  <c:v>1.3769100000000001</c:v>
                </c:pt>
                <c:pt idx="330">
                  <c:v>1.3972200000000001</c:v>
                </c:pt>
                <c:pt idx="331">
                  <c:v>1.4011500000000001</c:v>
                </c:pt>
                <c:pt idx="332">
                  <c:v>1.3471600000000001</c:v>
                </c:pt>
                <c:pt idx="333">
                  <c:v>1.3318100000000002</c:v>
                </c:pt>
                <c:pt idx="334">
                  <c:v>1.36036</c:v>
                </c:pt>
                <c:pt idx="335">
                  <c:v>1.3342799999999999</c:v>
                </c:pt>
                <c:pt idx="336">
                  <c:v>1.32304</c:v>
                </c:pt>
                <c:pt idx="337">
                  <c:v>1.19103</c:v>
                </c:pt>
                <c:pt idx="338">
                  <c:v>1.1641599999999999</c:v>
                </c:pt>
                <c:pt idx="339">
                  <c:v>1.20221</c:v>
                </c:pt>
                <c:pt idx="340">
                  <c:v>1.2568899999999998</c:v>
                </c:pt>
                <c:pt idx="341">
                  <c:v>1.19695</c:v>
                </c:pt>
                <c:pt idx="342">
                  <c:v>1.16347</c:v>
                </c:pt>
                <c:pt idx="343">
                  <c:v>1.13357</c:v>
                </c:pt>
                <c:pt idx="344">
                  <c:v>1.1480699999999999</c:v>
                </c:pt>
                <c:pt idx="345">
                  <c:v>1.1921599999999999</c:v>
                </c:pt>
                <c:pt idx="346">
                  <c:v>1.1927300000000001</c:v>
                </c:pt>
                <c:pt idx="347">
                  <c:v>1.21323</c:v>
                </c:pt>
                <c:pt idx="348">
                  <c:v>1.21323</c:v>
                </c:pt>
                <c:pt idx="349">
                  <c:v>1.2219199999999999</c:v>
                </c:pt>
                <c:pt idx="350">
                  <c:v>1.2362600000000001</c:v>
                </c:pt>
                <c:pt idx="351">
                  <c:v>1.1896100000000001</c:v>
                </c:pt>
                <c:pt idx="352">
                  <c:v>1.2100499999999998</c:v>
                </c:pt>
                <c:pt idx="353">
                  <c:v>1.1409499999999999</c:v>
                </c:pt>
                <c:pt idx="354">
                  <c:v>1.2438500000000001</c:v>
                </c:pt>
                <c:pt idx="355">
                  <c:v>1.2523</c:v>
                </c:pt>
                <c:pt idx="356">
                  <c:v>1.3415100000000002</c:v>
                </c:pt>
                <c:pt idx="357">
                  <c:v>1.3162200000000002</c:v>
                </c:pt>
                <c:pt idx="358">
                  <c:v>1.3153999999999999</c:v>
                </c:pt>
                <c:pt idx="359">
                  <c:v>1.2663800000000001</c:v>
                </c:pt>
                <c:pt idx="360">
                  <c:v>1.3471899999999999</c:v>
                </c:pt>
                <c:pt idx="361">
                  <c:v>1.3109700000000002</c:v>
                </c:pt>
                <c:pt idx="362">
                  <c:v>1.3157400000000001</c:v>
                </c:pt>
                <c:pt idx="363">
                  <c:v>1.3135699999999999</c:v>
                </c:pt>
                <c:pt idx="364">
                  <c:v>1.2802600000000002</c:v>
                </c:pt>
                <c:pt idx="365">
                  <c:v>1.28382</c:v>
                </c:pt>
                <c:pt idx="366">
                  <c:v>1.23847</c:v>
                </c:pt>
                <c:pt idx="367">
                  <c:v>1.2362200000000001</c:v>
                </c:pt>
                <c:pt idx="368">
                  <c:v>1.2362200000000001</c:v>
                </c:pt>
                <c:pt idx="369">
                  <c:v>1.2643899999999999</c:v>
                </c:pt>
                <c:pt idx="370">
                  <c:v>1.1870799999999999</c:v>
                </c:pt>
                <c:pt idx="371">
                  <c:v>1.1527000000000001</c:v>
                </c:pt>
                <c:pt idx="372">
                  <c:v>1.1716299999999999</c:v>
                </c:pt>
                <c:pt idx="373">
                  <c:v>1.1617500000000001</c:v>
                </c:pt>
                <c:pt idx="374">
                  <c:v>1.1441699999999999</c:v>
                </c:pt>
                <c:pt idx="375">
                  <c:v>1.0948599999999999</c:v>
                </c:pt>
                <c:pt idx="376">
                  <c:v>1.1072599999999999</c:v>
                </c:pt>
                <c:pt idx="377">
                  <c:v>1.0130699999999999</c:v>
                </c:pt>
                <c:pt idx="378">
                  <c:v>0.99372000000000005</c:v>
                </c:pt>
                <c:pt idx="379">
                  <c:v>1.0379099999999999</c:v>
                </c:pt>
                <c:pt idx="380">
                  <c:v>0.91900999999999999</c:v>
                </c:pt>
                <c:pt idx="381">
                  <c:v>1.0471999999999999</c:v>
                </c:pt>
                <c:pt idx="382">
                  <c:v>0.92641999999999991</c:v>
                </c:pt>
                <c:pt idx="383">
                  <c:v>1.02559</c:v>
                </c:pt>
                <c:pt idx="384">
                  <c:v>1.0119899999999999</c:v>
                </c:pt>
                <c:pt idx="385">
                  <c:v>1.01214</c:v>
                </c:pt>
                <c:pt idx="386">
                  <c:v>1.01464</c:v>
                </c:pt>
                <c:pt idx="387">
                  <c:v>0.96420000000000006</c:v>
                </c:pt>
                <c:pt idx="388">
                  <c:v>1.0081499999999999</c:v>
                </c:pt>
                <c:pt idx="389">
                  <c:v>0.97177999999999998</c:v>
                </c:pt>
                <c:pt idx="390">
                  <c:v>1.06172</c:v>
                </c:pt>
                <c:pt idx="391">
                  <c:v>1.0227200000000001</c:v>
                </c:pt>
                <c:pt idx="392">
                  <c:v>1.0148200000000001</c:v>
                </c:pt>
                <c:pt idx="393">
                  <c:v>1.01603</c:v>
                </c:pt>
                <c:pt idx="394">
                  <c:v>1.0754900000000001</c:v>
                </c:pt>
                <c:pt idx="395">
                  <c:v>1.0735599999999998</c:v>
                </c:pt>
                <c:pt idx="396">
                  <c:v>1.12199</c:v>
                </c:pt>
                <c:pt idx="397">
                  <c:v>1.0883499999999999</c:v>
                </c:pt>
                <c:pt idx="398">
                  <c:v>1.0758099999999999</c:v>
                </c:pt>
                <c:pt idx="399">
                  <c:v>1.00773</c:v>
                </c:pt>
                <c:pt idx="400">
                  <c:v>1.0837600000000001</c:v>
                </c:pt>
                <c:pt idx="401">
                  <c:v>1.08209</c:v>
                </c:pt>
                <c:pt idx="402">
                  <c:v>1.05969</c:v>
                </c:pt>
                <c:pt idx="403">
                  <c:v>1.0694699999999999</c:v>
                </c:pt>
                <c:pt idx="404">
                  <c:v>1.1286700000000001</c:v>
                </c:pt>
                <c:pt idx="405">
                  <c:v>1.0998000000000001</c:v>
                </c:pt>
                <c:pt idx="406">
                  <c:v>1.1036700000000002</c:v>
                </c:pt>
                <c:pt idx="407">
                  <c:v>1.10073</c:v>
                </c:pt>
                <c:pt idx="408">
                  <c:v>1.0837699999999999</c:v>
                </c:pt>
                <c:pt idx="409">
                  <c:v>1.1114199999999999</c:v>
                </c:pt>
                <c:pt idx="410">
                  <c:v>1.11117</c:v>
                </c:pt>
                <c:pt idx="411">
                  <c:v>1.0881799999999999</c:v>
                </c:pt>
                <c:pt idx="412">
                  <c:v>1.0888599999999999</c:v>
                </c:pt>
                <c:pt idx="413">
                  <c:v>1.10029</c:v>
                </c:pt>
                <c:pt idx="414">
                  <c:v>1.02024</c:v>
                </c:pt>
                <c:pt idx="415">
                  <c:v>0.96162000000000003</c:v>
                </c:pt>
                <c:pt idx="416">
                  <c:v>0.91</c:v>
                </c:pt>
                <c:pt idx="417">
                  <c:v>0.96433999999999997</c:v>
                </c:pt>
                <c:pt idx="418">
                  <c:v>0.90795000000000003</c:v>
                </c:pt>
                <c:pt idx="419">
                  <c:v>0.85034999999999994</c:v>
                </c:pt>
                <c:pt idx="420">
                  <c:v>0.92676000000000003</c:v>
                </c:pt>
                <c:pt idx="421">
                  <c:v>0.89844999999999997</c:v>
                </c:pt>
                <c:pt idx="422">
                  <c:v>0.88751000000000002</c:v>
                </c:pt>
                <c:pt idx="423">
                  <c:v>0.88751999999999998</c:v>
                </c:pt>
                <c:pt idx="424">
                  <c:v>0.85263999999999995</c:v>
                </c:pt>
                <c:pt idx="425">
                  <c:v>0.8349899999999999</c:v>
                </c:pt>
                <c:pt idx="426">
                  <c:v>0.87890000000000001</c:v>
                </c:pt>
                <c:pt idx="427">
                  <c:v>0.83923000000000003</c:v>
                </c:pt>
                <c:pt idx="428">
                  <c:v>0.89290999999999998</c:v>
                </c:pt>
                <c:pt idx="429">
                  <c:v>0.85597999999999996</c:v>
                </c:pt>
                <c:pt idx="430">
                  <c:v>0.84841999999999995</c:v>
                </c:pt>
                <c:pt idx="431">
                  <c:v>0.86647000000000007</c:v>
                </c:pt>
                <c:pt idx="432">
                  <c:v>0.90695999999999999</c:v>
                </c:pt>
                <c:pt idx="433">
                  <c:v>0.90695999999999999</c:v>
                </c:pt>
                <c:pt idx="434">
                  <c:v>0.88891999999999993</c:v>
                </c:pt>
                <c:pt idx="435">
                  <c:v>0.88513999999999993</c:v>
                </c:pt>
                <c:pt idx="436">
                  <c:v>0.8424299999999999</c:v>
                </c:pt>
                <c:pt idx="437">
                  <c:v>0.84057000000000004</c:v>
                </c:pt>
                <c:pt idx="438">
                  <c:v>0.85053000000000001</c:v>
                </c:pt>
                <c:pt idx="439">
                  <c:v>0.82991000000000004</c:v>
                </c:pt>
                <c:pt idx="440">
                  <c:v>0.82322000000000006</c:v>
                </c:pt>
                <c:pt idx="441">
                  <c:v>0.82616000000000001</c:v>
                </c:pt>
                <c:pt idx="442">
                  <c:v>0.78709000000000007</c:v>
                </c:pt>
                <c:pt idx="443">
                  <c:v>0.77754999999999996</c:v>
                </c:pt>
                <c:pt idx="444">
                  <c:v>0.77323999999999993</c:v>
                </c:pt>
                <c:pt idx="445">
                  <c:v>0.75162000000000007</c:v>
                </c:pt>
                <c:pt idx="446">
                  <c:v>0.71782999999999997</c:v>
                </c:pt>
                <c:pt idx="447">
                  <c:v>0.72572000000000003</c:v>
                </c:pt>
                <c:pt idx="448">
                  <c:v>0.86209999999999998</c:v>
                </c:pt>
                <c:pt idx="449">
                  <c:v>0.84537000000000007</c:v>
                </c:pt>
                <c:pt idx="450">
                  <c:v>0.92929000000000006</c:v>
                </c:pt>
                <c:pt idx="451">
                  <c:v>0.87683000000000011</c:v>
                </c:pt>
                <c:pt idx="452">
                  <c:v>0.96602999999999994</c:v>
                </c:pt>
                <c:pt idx="453">
                  <c:v>1.0049699999999999</c:v>
                </c:pt>
                <c:pt idx="454">
                  <c:v>1.17279</c:v>
                </c:pt>
                <c:pt idx="455">
                  <c:v>1.23021</c:v>
                </c:pt>
                <c:pt idx="456">
                  <c:v>1.2006100000000002</c:v>
                </c:pt>
                <c:pt idx="457">
                  <c:v>1.2843600000000002</c:v>
                </c:pt>
                <c:pt idx="458">
                  <c:v>1.2584600000000001</c:v>
                </c:pt>
                <c:pt idx="459">
                  <c:v>1.21479</c:v>
                </c:pt>
                <c:pt idx="460">
                  <c:v>1.2110799999999999</c:v>
                </c:pt>
                <c:pt idx="461">
                  <c:v>1.13795</c:v>
                </c:pt>
                <c:pt idx="462">
                  <c:v>1.0753700000000002</c:v>
                </c:pt>
                <c:pt idx="463">
                  <c:v>1.1817800000000001</c:v>
                </c:pt>
                <c:pt idx="464">
                  <c:v>1.0856999999999999</c:v>
                </c:pt>
                <c:pt idx="465">
                  <c:v>1.05155</c:v>
                </c:pt>
                <c:pt idx="466">
                  <c:v>0.97894000000000003</c:v>
                </c:pt>
                <c:pt idx="467">
                  <c:v>0.90441000000000005</c:v>
                </c:pt>
                <c:pt idx="468">
                  <c:v>0.85947999999999991</c:v>
                </c:pt>
                <c:pt idx="469">
                  <c:v>0.86516000000000004</c:v>
                </c:pt>
                <c:pt idx="470">
                  <c:v>0.87959999999999994</c:v>
                </c:pt>
                <c:pt idx="471">
                  <c:v>0.87229000000000001</c:v>
                </c:pt>
                <c:pt idx="472">
                  <c:v>0.88388999999999995</c:v>
                </c:pt>
                <c:pt idx="473">
                  <c:v>0.88644000000000001</c:v>
                </c:pt>
                <c:pt idx="474">
                  <c:v>0.82911000000000001</c:v>
                </c:pt>
                <c:pt idx="475">
                  <c:v>0.79507000000000005</c:v>
                </c:pt>
                <c:pt idx="476">
                  <c:v>0.80641999999999991</c:v>
                </c:pt>
                <c:pt idx="477">
                  <c:v>0.82114999999999994</c:v>
                </c:pt>
                <c:pt idx="478">
                  <c:v>0.82699</c:v>
                </c:pt>
                <c:pt idx="479">
                  <c:v>0.8549500000000001</c:v>
                </c:pt>
                <c:pt idx="480">
                  <c:v>0.83075999999999994</c:v>
                </c:pt>
                <c:pt idx="481">
                  <c:v>0.80072999999999994</c:v>
                </c:pt>
                <c:pt idx="482">
                  <c:v>0.86775999999999998</c:v>
                </c:pt>
                <c:pt idx="483">
                  <c:v>0.69492000000000009</c:v>
                </c:pt>
                <c:pt idx="484">
                  <c:v>0.72022999999999993</c:v>
                </c:pt>
                <c:pt idx="485">
                  <c:v>0.69959999999999989</c:v>
                </c:pt>
                <c:pt idx="486">
                  <c:v>0.64663999999999999</c:v>
                </c:pt>
                <c:pt idx="487">
                  <c:v>0.73626999999999998</c:v>
                </c:pt>
                <c:pt idx="488">
                  <c:v>0.68252999999999997</c:v>
                </c:pt>
                <c:pt idx="489">
                  <c:v>0.65677000000000008</c:v>
                </c:pt>
                <c:pt idx="490">
                  <c:v>0.74644999999999995</c:v>
                </c:pt>
                <c:pt idx="491">
                  <c:v>0.74108999999999992</c:v>
                </c:pt>
                <c:pt idx="492">
                  <c:v>0.76717000000000002</c:v>
                </c:pt>
                <c:pt idx="493">
                  <c:v>0.72748000000000002</c:v>
                </c:pt>
                <c:pt idx="494">
                  <c:v>0.91488000000000003</c:v>
                </c:pt>
                <c:pt idx="495">
                  <c:v>0.93850999999999996</c:v>
                </c:pt>
                <c:pt idx="496">
                  <c:v>0.91170000000000007</c:v>
                </c:pt>
                <c:pt idx="497">
                  <c:v>1.1669700000000001</c:v>
                </c:pt>
                <c:pt idx="498">
                  <c:v>1.1045499999999999</c:v>
                </c:pt>
                <c:pt idx="499">
                  <c:v>1.21333</c:v>
                </c:pt>
                <c:pt idx="500">
                  <c:v>1.17533</c:v>
                </c:pt>
                <c:pt idx="501">
                  <c:v>1.1584099999999999</c:v>
                </c:pt>
                <c:pt idx="502">
                  <c:v>1.0828100000000001</c:v>
                </c:pt>
                <c:pt idx="503">
                  <c:v>1.08375</c:v>
                </c:pt>
                <c:pt idx="504">
                  <c:v>1.14615</c:v>
                </c:pt>
                <c:pt idx="505">
                  <c:v>1.0030700000000001</c:v>
                </c:pt>
                <c:pt idx="506">
                  <c:v>0.93206999999999995</c:v>
                </c:pt>
                <c:pt idx="507">
                  <c:v>0.96120000000000005</c:v>
                </c:pt>
                <c:pt idx="508">
                  <c:v>0.94102999999999992</c:v>
                </c:pt>
                <c:pt idx="509">
                  <c:v>0.87236999999999998</c:v>
                </c:pt>
                <c:pt idx="510">
                  <c:v>0.90505999999999998</c:v>
                </c:pt>
                <c:pt idx="511">
                  <c:v>1.00152</c:v>
                </c:pt>
                <c:pt idx="512">
                  <c:v>0.97971999999999992</c:v>
                </c:pt>
                <c:pt idx="513">
                  <c:v>0.99320999999999993</c:v>
                </c:pt>
                <c:pt idx="514">
                  <c:v>0.95406000000000002</c:v>
                </c:pt>
                <c:pt idx="515">
                  <c:v>0.92587999999999993</c:v>
                </c:pt>
                <c:pt idx="516">
                  <c:v>0.97147000000000006</c:v>
                </c:pt>
                <c:pt idx="517">
                  <c:v>0.95555999999999996</c:v>
                </c:pt>
                <c:pt idx="518">
                  <c:v>0.95555999999999996</c:v>
                </c:pt>
                <c:pt idx="519">
                  <c:v>0.95555999999999996</c:v>
                </c:pt>
                <c:pt idx="520">
                  <c:v>0.99293999999999993</c:v>
                </c:pt>
                <c:pt idx="521">
                  <c:v>0.9522799999999999</c:v>
                </c:pt>
                <c:pt idx="522">
                  <c:v>0.93161000000000005</c:v>
                </c:pt>
                <c:pt idx="523">
                  <c:v>0.93161000000000005</c:v>
                </c:pt>
                <c:pt idx="524">
                  <c:v>1.2321599999999999</c:v>
                </c:pt>
                <c:pt idx="525">
                  <c:v>1.1596599999999999</c:v>
                </c:pt>
                <c:pt idx="526">
                  <c:v>1.27193</c:v>
                </c:pt>
                <c:pt idx="527">
                  <c:v>1.23455</c:v>
                </c:pt>
                <c:pt idx="528">
                  <c:v>1.30131</c:v>
                </c:pt>
                <c:pt idx="529">
                  <c:v>1.3128299999999999</c:v>
                </c:pt>
                <c:pt idx="530">
                  <c:v>1.2742499999999999</c:v>
                </c:pt>
                <c:pt idx="531">
                  <c:v>1.2867599999999999</c:v>
                </c:pt>
                <c:pt idx="532">
                  <c:v>1.2650399999999999</c:v>
                </c:pt>
                <c:pt idx="533">
                  <c:v>1.2397799999999999</c:v>
                </c:pt>
                <c:pt idx="534">
                  <c:v>1.2290300000000001</c:v>
                </c:pt>
                <c:pt idx="535">
                  <c:v>1.2565999999999999</c:v>
                </c:pt>
                <c:pt idx="536">
                  <c:v>1.17808</c:v>
                </c:pt>
                <c:pt idx="537">
                  <c:v>1.22557</c:v>
                </c:pt>
                <c:pt idx="538">
                  <c:v>1.23908</c:v>
                </c:pt>
                <c:pt idx="539">
                  <c:v>1.2000599999999999</c:v>
                </c:pt>
                <c:pt idx="540">
                  <c:v>1.1590400000000001</c:v>
                </c:pt>
                <c:pt idx="541">
                  <c:v>0.87961</c:v>
                </c:pt>
                <c:pt idx="542">
                  <c:v>0.79264999999999997</c:v>
                </c:pt>
                <c:pt idx="543">
                  <c:v>0.74797000000000002</c:v>
                </c:pt>
                <c:pt idx="544">
                  <c:v>0.74320999999999993</c:v>
                </c:pt>
                <c:pt idx="545">
                  <c:v>0.72325000000000006</c:v>
                </c:pt>
                <c:pt idx="546">
                  <c:v>0.72479000000000005</c:v>
                </c:pt>
                <c:pt idx="547">
                  <c:v>0.58762999999999999</c:v>
                </c:pt>
                <c:pt idx="548">
                  <c:v>0.65532999999999997</c:v>
                </c:pt>
                <c:pt idx="549">
                  <c:v>0.67918000000000012</c:v>
                </c:pt>
                <c:pt idx="550">
                  <c:v>0.65096999999999994</c:v>
                </c:pt>
                <c:pt idx="551">
                  <c:v>0.54520999999999997</c:v>
                </c:pt>
                <c:pt idx="552">
                  <c:v>0.62874000000000008</c:v>
                </c:pt>
                <c:pt idx="553">
                  <c:v>0.43194000000000005</c:v>
                </c:pt>
                <c:pt idx="554">
                  <c:v>0.55420000000000003</c:v>
                </c:pt>
                <c:pt idx="555">
                  <c:v>0.48314000000000001</c:v>
                </c:pt>
                <c:pt idx="556">
                  <c:v>0.54337000000000002</c:v>
                </c:pt>
                <c:pt idx="557">
                  <c:v>0.61976999999999993</c:v>
                </c:pt>
                <c:pt idx="558">
                  <c:v>0.58155000000000001</c:v>
                </c:pt>
                <c:pt idx="559">
                  <c:v>0.69469999999999998</c:v>
                </c:pt>
                <c:pt idx="560">
                  <c:v>0.74513000000000007</c:v>
                </c:pt>
                <c:pt idx="561">
                  <c:v>1.04901</c:v>
                </c:pt>
                <c:pt idx="562">
                  <c:v>1.12209</c:v>
                </c:pt>
                <c:pt idx="563">
                  <c:v>1.46224</c:v>
                </c:pt>
                <c:pt idx="564">
                  <c:v>2.5630999999999999</c:v>
                </c:pt>
                <c:pt idx="565">
                  <c:v>3.0717700000000003</c:v>
                </c:pt>
                <c:pt idx="566">
                  <c:v>3.0341399999999998</c:v>
                </c:pt>
                <c:pt idx="567">
                  <c:v>3.5142000000000002</c:v>
                </c:pt>
                <c:pt idx="568">
                  <c:v>4.0177899999999998</c:v>
                </c:pt>
                <c:pt idx="569">
                  <c:v>4.0960799999999997</c:v>
                </c:pt>
                <c:pt idx="570">
                  <c:v>3.8539699999999999</c:v>
                </c:pt>
                <c:pt idx="571">
                  <c:v>3.8871499999999997</c:v>
                </c:pt>
                <c:pt idx="572">
                  <c:v>3.87134</c:v>
                </c:pt>
                <c:pt idx="573">
                  <c:v>3.6512500000000001</c:v>
                </c:pt>
                <c:pt idx="574">
                  <c:v>3.7031700000000001</c:v>
                </c:pt>
                <c:pt idx="575">
                  <c:v>2.6654800000000001</c:v>
                </c:pt>
                <c:pt idx="576">
                  <c:v>2.3847300000000002</c:v>
                </c:pt>
                <c:pt idx="577">
                  <c:v>1.9855799999999999</c:v>
                </c:pt>
                <c:pt idx="578">
                  <c:v>1.57117</c:v>
                </c:pt>
                <c:pt idx="579">
                  <c:v>1.48552</c:v>
                </c:pt>
                <c:pt idx="580">
                  <c:v>1.3798500000000002</c:v>
                </c:pt>
                <c:pt idx="581">
                  <c:v>1.33958</c:v>
                </c:pt>
                <c:pt idx="582">
                  <c:v>1.4220900000000001</c:v>
                </c:pt>
                <c:pt idx="583">
                  <c:v>1.37026</c:v>
                </c:pt>
                <c:pt idx="584">
                  <c:v>1.4862500000000001</c:v>
                </c:pt>
                <c:pt idx="585">
                  <c:v>1.47214</c:v>
                </c:pt>
                <c:pt idx="586">
                  <c:v>1.45618</c:v>
                </c:pt>
                <c:pt idx="587">
                  <c:v>1.4611400000000001</c:v>
                </c:pt>
                <c:pt idx="588">
                  <c:v>1.3928299999999998</c:v>
                </c:pt>
                <c:pt idx="589">
                  <c:v>1.32446</c:v>
                </c:pt>
                <c:pt idx="590">
                  <c:v>1.4043999999999999</c:v>
                </c:pt>
                <c:pt idx="591">
                  <c:v>1.44004</c:v>
                </c:pt>
                <c:pt idx="592">
                  <c:v>1.3902699999999999</c:v>
                </c:pt>
                <c:pt idx="593">
                  <c:v>1.4313399999999998</c:v>
                </c:pt>
                <c:pt idx="594">
                  <c:v>1.5181800000000001</c:v>
                </c:pt>
                <c:pt idx="595">
                  <c:v>1.5702600000000002</c:v>
                </c:pt>
                <c:pt idx="596">
                  <c:v>1.5487899999999999</c:v>
                </c:pt>
                <c:pt idx="597">
                  <c:v>1.5487899999999999</c:v>
                </c:pt>
                <c:pt idx="598">
                  <c:v>1.5487899999999999</c:v>
                </c:pt>
                <c:pt idx="599">
                  <c:v>1.7300899999999999</c:v>
                </c:pt>
                <c:pt idx="600">
                  <c:v>1.6210499999999999</c:v>
                </c:pt>
                <c:pt idx="601">
                  <c:v>1.5877000000000001</c:v>
                </c:pt>
                <c:pt idx="602">
                  <c:v>1.6266100000000001</c:v>
                </c:pt>
                <c:pt idx="603">
                  <c:v>1.7891999999999999</c:v>
                </c:pt>
                <c:pt idx="604">
                  <c:v>1.8818100000000002</c:v>
                </c:pt>
                <c:pt idx="605">
                  <c:v>1.9115199999999999</c:v>
                </c:pt>
                <c:pt idx="606">
                  <c:v>1.9561900000000001</c:v>
                </c:pt>
                <c:pt idx="607">
                  <c:v>1.9698599999999999</c:v>
                </c:pt>
                <c:pt idx="608">
                  <c:v>1.9698599999999999</c:v>
                </c:pt>
                <c:pt idx="609">
                  <c:v>2.0612399999999997</c:v>
                </c:pt>
                <c:pt idx="610">
                  <c:v>2.1017799999999998</c:v>
                </c:pt>
                <c:pt idx="611">
                  <c:v>2.3422499999999999</c:v>
                </c:pt>
                <c:pt idx="612">
                  <c:v>2.51606</c:v>
                </c:pt>
                <c:pt idx="613">
                  <c:v>2.5669999999999997</c:v>
                </c:pt>
                <c:pt idx="614">
                  <c:v>2.54284</c:v>
                </c:pt>
                <c:pt idx="615">
                  <c:v>2.5072300000000003</c:v>
                </c:pt>
                <c:pt idx="616">
                  <c:v>2.5599500000000002</c:v>
                </c:pt>
                <c:pt idx="617">
                  <c:v>2.46848</c:v>
                </c:pt>
                <c:pt idx="618">
                  <c:v>2.4393000000000002</c:v>
                </c:pt>
                <c:pt idx="619">
                  <c:v>2.2064699999999999</c:v>
                </c:pt>
                <c:pt idx="620">
                  <c:v>2.2197800000000001</c:v>
                </c:pt>
                <c:pt idx="621">
                  <c:v>2.34483</c:v>
                </c:pt>
                <c:pt idx="622">
                  <c:v>2.3725200000000002</c:v>
                </c:pt>
                <c:pt idx="623">
                  <c:v>2.2799299999999998</c:v>
                </c:pt>
                <c:pt idx="624">
                  <c:v>2.4093800000000001</c:v>
                </c:pt>
                <c:pt idx="625">
                  <c:v>2.37954</c:v>
                </c:pt>
                <c:pt idx="626">
                  <c:v>2.2267199999999998</c:v>
                </c:pt>
                <c:pt idx="627">
                  <c:v>2.1191200000000001</c:v>
                </c:pt>
                <c:pt idx="628">
                  <c:v>2.01437</c:v>
                </c:pt>
                <c:pt idx="629">
                  <c:v>1.9822900000000001</c:v>
                </c:pt>
                <c:pt idx="630">
                  <c:v>1.8864799999999999</c:v>
                </c:pt>
                <c:pt idx="631">
                  <c:v>1.8864799999999999</c:v>
                </c:pt>
                <c:pt idx="632">
                  <c:v>1.8864799999999999</c:v>
                </c:pt>
                <c:pt idx="633">
                  <c:v>1.9363699999999999</c:v>
                </c:pt>
                <c:pt idx="634">
                  <c:v>1.7268600000000001</c:v>
                </c:pt>
                <c:pt idx="635">
                  <c:v>1.5422</c:v>
                </c:pt>
                <c:pt idx="636">
                  <c:v>1.7106999999999999</c:v>
                </c:pt>
                <c:pt idx="637">
                  <c:v>1.5065799999999998</c:v>
                </c:pt>
                <c:pt idx="638">
                  <c:v>1.4793100000000001</c:v>
                </c:pt>
                <c:pt idx="639">
                  <c:v>1.3947399999999999</c:v>
                </c:pt>
                <c:pt idx="640">
                  <c:v>1.4174199999999999</c:v>
                </c:pt>
                <c:pt idx="641">
                  <c:v>1.5670299999999999</c:v>
                </c:pt>
                <c:pt idx="642">
                  <c:v>1.6527799999999999</c:v>
                </c:pt>
                <c:pt idx="643">
                  <c:v>1.5437799999999999</c:v>
                </c:pt>
                <c:pt idx="644">
                  <c:v>1.4988300000000001</c:v>
                </c:pt>
                <c:pt idx="645">
                  <c:v>1.5551400000000002</c:v>
                </c:pt>
                <c:pt idx="646">
                  <c:v>1.58477</c:v>
                </c:pt>
                <c:pt idx="647">
                  <c:v>1.53125</c:v>
                </c:pt>
                <c:pt idx="648">
                  <c:v>1.4606399999999999</c:v>
                </c:pt>
                <c:pt idx="649">
                  <c:v>1.6147200000000002</c:v>
                </c:pt>
                <c:pt idx="650">
                  <c:v>2.1131200000000003</c:v>
                </c:pt>
                <c:pt idx="651">
                  <c:v>2.4597199999999999</c:v>
                </c:pt>
                <c:pt idx="652">
                  <c:v>2.5336799999999999</c:v>
                </c:pt>
                <c:pt idx="653">
                  <c:v>2.4965700000000002</c:v>
                </c:pt>
                <c:pt idx="654">
                  <c:v>2.4573</c:v>
                </c:pt>
                <c:pt idx="655">
                  <c:v>2.31813</c:v>
                </c:pt>
                <c:pt idx="656">
                  <c:v>2.4159600000000001</c:v>
                </c:pt>
                <c:pt idx="657">
                  <c:v>2.4270800000000001</c:v>
                </c:pt>
                <c:pt idx="658">
                  <c:v>2.4745699999999999</c:v>
                </c:pt>
                <c:pt idx="659">
                  <c:v>2.45546</c:v>
                </c:pt>
                <c:pt idx="660">
                  <c:v>2.3966799999999999</c:v>
                </c:pt>
                <c:pt idx="661">
                  <c:v>2.5173399999999999</c:v>
                </c:pt>
                <c:pt idx="662">
                  <c:v>2.5114099999999997</c:v>
                </c:pt>
                <c:pt idx="663">
                  <c:v>2.38924</c:v>
                </c:pt>
                <c:pt idx="664">
                  <c:v>2.1572</c:v>
                </c:pt>
                <c:pt idx="665">
                  <c:v>1.8257099999999999</c:v>
                </c:pt>
                <c:pt idx="666">
                  <c:v>1.4003800000000002</c:v>
                </c:pt>
                <c:pt idx="667">
                  <c:v>1.4047700000000001</c:v>
                </c:pt>
                <c:pt idx="668">
                  <c:v>1.17072</c:v>
                </c:pt>
                <c:pt idx="669">
                  <c:v>1.1508799999999999</c:v>
                </c:pt>
                <c:pt idx="670">
                  <c:v>1.2735799999999999</c:v>
                </c:pt>
                <c:pt idx="671">
                  <c:v>1.3840299999999999</c:v>
                </c:pt>
                <c:pt idx="672">
                  <c:v>1.3656600000000001</c:v>
                </c:pt>
                <c:pt idx="673">
                  <c:v>1.25309</c:v>
                </c:pt>
                <c:pt idx="674">
                  <c:v>1.1537500000000001</c:v>
                </c:pt>
                <c:pt idx="675">
                  <c:v>0.89288000000000001</c:v>
                </c:pt>
                <c:pt idx="676">
                  <c:v>0.89690000000000003</c:v>
                </c:pt>
                <c:pt idx="677">
                  <c:v>0.84409000000000001</c:v>
                </c:pt>
                <c:pt idx="678">
                  <c:v>1.07544</c:v>
                </c:pt>
                <c:pt idx="679">
                  <c:v>0.81432000000000004</c:v>
                </c:pt>
                <c:pt idx="680">
                  <c:v>0.87412999999999996</c:v>
                </c:pt>
                <c:pt idx="681">
                  <c:v>0.85727000000000009</c:v>
                </c:pt>
                <c:pt idx="682">
                  <c:v>0.85199000000000003</c:v>
                </c:pt>
                <c:pt idx="683">
                  <c:v>0.87863000000000002</c:v>
                </c:pt>
                <c:pt idx="684">
                  <c:v>0.98419999999999996</c:v>
                </c:pt>
                <c:pt idx="685">
                  <c:v>1.10127</c:v>
                </c:pt>
                <c:pt idx="686">
                  <c:v>1.3103399999999998</c:v>
                </c:pt>
                <c:pt idx="687">
                  <c:v>1.1541299999999999</c:v>
                </c:pt>
                <c:pt idx="688">
                  <c:v>1.1321599999999998</c:v>
                </c:pt>
                <c:pt idx="689">
                  <c:v>1.18937</c:v>
                </c:pt>
                <c:pt idx="690">
                  <c:v>1.1705800000000002</c:v>
                </c:pt>
                <c:pt idx="691">
                  <c:v>1.1850799999999999</c:v>
                </c:pt>
                <c:pt idx="692">
                  <c:v>1.15266</c:v>
                </c:pt>
                <c:pt idx="693">
                  <c:v>1.15266</c:v>
                </c:pt>
                <c:pt idx="694">
                  <c:v>1.2619899999999999</c:v>
                </c:pt>
                <c:pt idx="695">
                  <c:v>1.2419</c:v>
                </c:pt>
                <c:pt idx="696">
                  <c:v>1.2607899999999999</c:v>
                </c:pt>
                <c:pt idx="697">
                  <c:v>1.37296</c:v>
                </c:pt>
                <c:pt idx="698">
                  <c:v>1.3588399999999998</c:v>
                </c:pt>
                <c:pt idx="699">
                  <c:v>1.30131</c:v>
                </c:pt>
                <c:pt idx="700">
                  <c:v>1.3516300000000001</c:v>
                </c:pt>
                <c:pt idx="701">
                  <c:v>1.30217</c:v>
                </c:pt>
                <c:pt idx="702">
                  <c:v>1.3710300000000002</c:v>
                </c:pt>
                <c:pt idx="703">
                  <c:v>1.22061</c:v>
                </c:pt>
                <c:pt idx="704">
                  <c:v>1.47031</c:v>
                </c:pt>
                <c:pt idx="705">
                  <c:v>1.6096100000000002</c:v>
                </c:pt>
                <c:pt idx="706">
                  <c:v>1.6035599999999999</c:v>
                </c:pt>
                <c:pt idx="707">
                  <c:v>1.6766999999999999</c:v>
                </c:pt>
                <c:pt idx="708">
                  <c:v>1.6766999999999999</c:v>
                </c:pt>
                <c:pt idx="709">
                  <c:v>1.5638999999999998</c:v>
                </c:pt>
                <c:pt idx="710">
                  <c:v>1.6480299999999999</c:v>
                </c:pt>
                <c:pt idx="711">
                  <c:v>1.6490400000000001</c:v>
                </c:pt>
                <c:pt idx="712">
                  <c:v>1.6030799999999998</c:v>
                </c:pt>
                <c:pt idx="713">
                  <c:v>1.55016</c:v>
                </c:pt>
                <c:pt idx="714">
                  <c:v>1.5410200000000001</c:v>
                </c:pt>
                <c:pt idx="715">
                  <c:v>1.8148</c:v>
                </c:pt>
                <c:pt idx="716">
                  <c:v>2.0039500000000001</c:v>
                </c:pt>
                <c:pt idx="717">
                  <c:v>1.81623</c:v>
                </c:pt>
                <c:pt idx="718">
                  <c:v>1.82087</c:v>
                </c:pt>
                <c:pt idx="719">
                  <c:v>1.8416699999999999</c:v>
                </c:pt>
                <c:pt idx="720">
                  <c:v>1.8005600000000002</c:v>
                </c:pt>
                <c:pt idx="721">
                  <c:v>1.8975499999999998</c:v>
                </c:pt>
                <c:pt idx="722">
                  <c:v>1.8539599999999998</c:v>
                </c:pt>
                <c:pt idx="723">
                  <c:v>2.0130300000000001</c:v>
                </c:pt>
                <c:pt idx="724">
                  <c:v>2.0209800000000002</c:v>
                </c:pt>
                <c:pt idx="725">
                  <c:v>2.06081</c:v>
                </c:pt>
                <c:pt idx="726">
                  <c:v>2.0679099999999999</c:v>
                </c:pt>
                <c:pt idx="727">
                  <c:v>2.1378200000000001</c:v>
                </c:pt>
                <c:pt idx="728">
                  <c:v>2.1223200000000002</c:v>
                </c:pt>
                <c:pt idx="729">
                  <c:v>2.1751400000000003</c:v>
                </c:pt>
                <c:pt idx="730">
                  <c:v>2.0922100000000001</c:v>
                </c:pt>
                <c:pt idx="731">
                  <c:v>2.0673900000000001</c:v>
                </c:pt>
                <c:pt idx="732">
                  <c:v>2.1623199999999998</c:v>
                </c:pt>
                <c:pt idx="733">
                  <c:v>2.2019299999999999</c:v>
                </c:pt>
                <c:pt idx="734">
                  <c:v>2.17225</c:v>
                </c:pt>
                <c:pt idx="735">
                  <c:v>2.1273500000000003</c:v>
                </c:pt>
                <c:pt idx="736">
                  <c:v>2.0535399999999999</c:v>
                </c:pt>
                <c:pt idx="737">
                  <c:v>2.06033</c:v>
                </c:pt>
                <c:pt idx="738">
                  <c:v>2.0192099999999997</c:v>
                </c:pt>
                <c:pt idx="739">
                  <c:v>2.06636</c:v>
                </c:pt>
                <c:pt idx="740">
                  <c:v>1.9748699999999999</c:v>
                </c:pt>
                <c:pt idx="741">
                  <c:v>1.9867300000000001</c:v>
                </c:pt>
                <c:pt idx="742">
                  <c:v>1.6479599999999999</c:v>
                </c:pt>
                <c:pt idx="743">
                  <c:v>1.51556</c:v>
                </c:pt>
                <c:pt idx="744">
                  <c:v>1.40255</c:v>
                </c:pt>
                <c:pt idx="745">
                  <c:v>1.4851599999999998</c:v>
                </c:pt>
                <c:pt idx="746">
                  <c:v>1.57012</c:v>
                </c:pt>
                <c:pt idx="747">
                  <c:v>1.6126800000000001</c:v>
                </c:pt>
                <c:pt idx="748">
                  <c:v>1.2435</c:v>
                </c:pt>
                <c:pt idx="749">
                  <c:v>1.39323</c:v>
                </c:pt>
                <c:pt idx="750">
                  <c:v>1.3119700000000001</c:v>
                </c:pt>
                <c:pt idx="751">
                  <c:v>1.4949399999999999</c:v>
                </c:pt>
                <c:pt idx="752">
                  <c:v>1.3082099999999999</c:v>
                </c:pt>
                <c:pt idx="753">
                  <c:v>1.28481</c:v>
                </c:pt>
                <c:pt idx="754">
                  <c:v>1.2858099999999999</c:v>
                </c:pt>
                <c:pt idx="755">
                  <c:v>1.35164</c:v>
                </c:pt>
                <c:pt idx="756">
                  <c:v>1.35642</c:v>
                </c:pt>
                <c:pt idx="757">
                  <c:v>1.2978000000000001</c:v>
                </c:pt>
                <c:pt idx="758">
                  <c:v>1.4334</c:v>
                </c:pt>
                <c:pt idx="759">
                  <c:v>1.3747999999999998</c:v>
                </c:pt>
                <c:pt idx="760">
                  <c:v>1.49254</c:v>
                </c:pt>
                <c:pt idx="761">
                  <c:v>1.4521999999999999</c:v>
                </c:pt>
                <c:pt idx="762">
                  <c:v>1.1907799999999999</c:v>
                </c:pt>
                <c:pt idx="763">
                  <c:v>0.81927000000000005</c:v>
                </c:pt>
                <c:pt idx="764">
                  <c:v>0.81706000000000001</c:v>
                </c:pt>
                <c:pt idx="765">
                  <c:v>0.90804000000000007</c:v>
                </c:pt>
                <c:pt idx="766">
                  <c:v>0.82912000000000008</c:v>
                </c:pt>
                <c:pt idx="767">
                  <c:v>0.86895</c:v>
                </c:pt>
                <c:pt idx="768">
                  <c:v>0.79578000000000004</c:v>
                </c:pt>
                <c:pt idx="769">
                  <c:v>0.95123000000000002</c:v>
                </c:pt>
                <c:pt idx="770">
                  <c:v>0.95337000000000005</c:v>
                </c:pt>
                <c:pt idx="771">
                  <c:v>0.95034000000000007</c:v>
                </c:pt>
                <c:pt idx="772">
                  <c:v>0.90335999999999994</c:v>
                </c:pt>
                <c:pt idx="773">
                  <c:v>0.90206999999999993</c:v>
                </c:pt>
                <c:pt idx="774">
                  <c:v>0.85581999999999991</c:v>
                </c:pt>
                <c:pt idx="775">
                  <c:v>0.96951999999999994</c:v>
                </c:pt>
                <c:pt idx="776">
                  <c:v>0.93813999999999997</c:v>
                </c:pt>
                <c:pt idx="777">
                  <c:v>0.91966999999999999</c:v>
                </c:pt>
                <c:pt idx="778">
                  <c:v>0.91966999999999999</c:v>
                </c:pt>
                <c:pt idx="779">
                  <c:v>0.91966999999999999</c:v>
                </c:pt>
                <c:pt idx="780">
                  <c:v>0.84605000000000008</c:v>
                </c:pt>
                <c:pt idx="781">
                  <c:v>0.88683000000000012</c:v>
                </c:pt>
                <c:pt idx="782">
                  <c:v>0.98263999999999996</c:v>
                </c:pt>
                <c:pt idx="783">
                  <c:v>0.98263999999999996</c:v>
                </c:pt>
                <c:pt idx="784">
                  <c:v>1.0596099999999999</c:v>
                </c:pt>
                <c:pt idx="785">
                  <c:v>1.18163</c:v>
                </c:pt>
                <c:pt idx="786">
                  <c:v>1.0915300000000001</c:v>
                </c:pt>
                <c:pt idx="787">
                  <c:v>1.1708499999999999</c:v>
                </c:pt>
                <c:pt idx="788">
                  <c:v>1.29314</c:v>
                </c:pt>
                <c:pt idx="789">
                  <c:v>1.1384300000000001</c:v>
                </c:pt>
                <c:pt idx="790">
                  <c:v>1.1616500000000001</c:v>
                </c:pt>
                <c:pt idx="791">
                  <c:v>1.26308</c:v>
                </c:pt>
                <c:pt idx="792">
                  <c:v>1.15124</c:v>
                </c:pt>
                <c:pt idx="793">
                  <c:v>1.0922100000000001</c:v>
                </c:pt>
                <c:pt idx="794">
                  <c:v>1.1895099999999998</c:v>
                </c:pt>
                <c:pt idx="795">
                  <c:v>1.2366900000000001</c:v>
                </c:pt>
                <c:pt idx="796">
                  <c:v>1.21627</c:v>
                </c:pt>
                <c:pt idx="797">
                  <c:v>1.1224499999999999</c:v>
                </c:pt>
                <c:pt idx="798">
                  <c:v>1.1197299999999999</c:v>
                </c:pt>
                <c:pt idx="799">
                  <c:v>1.13828</c:v>
                </c:pt>
                <c:pt idx="800">
                  <c:v>1.17685</c:v>
                </c:pt>
                <c:pt idx="801">
                  <c:v>1.2196500000000001</c:v>
                </c:pt>
                <c:pt idx="802">
                  <c:v>1.04809</c:v>
                </c:pt>
                <c:pt idx="803">
                  <c:v>1.1043499999999999</c:v>
                </c:pt>
                <c:pt idx="804">
                  <c:v>1.0911</c:v>
                </c:pt>
                <c:pt idx="805">
                  <c:v>1.1716</c:v>
                </c:pt>
                <c:pt idx="806">
                  <c:v>1.1751499999999999</c:v>
                </c:pt>
                <c:pt idx="807">
                  <c:v>0.95168999999999992</c:v>
                </c:pt>
                <c:pt idx="808">
                  <c:v>0.60492000000000001</c:v>
                </c:pt>
                <c:pt idx="809">
                  <c:v>0.56847000000000003</c:v>
                </c:pt>
                <c:pt idx="810">
                  <c:v>0.55157999999999996</c:v>
                </c:pt>
                <c:pt idx="811">
                  <c:v>0.60604000000000002</c:v>
                </c:pt>
                <c:pt idx="812">
                  <c:v>0.57130999999999998</c:v>
                </c:pt>
                <c:pt idx="813">
                  <c:v>0.54323999999999995</c:v>
                </c:pt>
                <c:pt idx="814">
                  <c:v>0.47582999999999998</c:v>
                </c:pt>
                <c:pt idx="815">
                  <c:v>0.54127000000000003</c:v>
                </c:pt>
                <c:pt idx="816">
                  <c:v>0.59770999999999996</c:v>
                </c:pt>
                <c:pt idx="817">
                  <c:v>0.57325999999999999</c:v>
                </c:pt>
                <c:pt idx="818">
                  <c:v>0.57914999999999994</c:v>
                </c:pt>
                <c:pt idx="819">
                  <c:v>0.54249000000000003</c:v>
                </c:pt>
                <c:pt idx="820">
                  <c:v>0.65138000000000007</c:v>
                </c:pt>
                <c:pt idx="821">
                  <c:v>0.63578999999999997</c:v>
                </c:pt>
                <c:pt idx="822">
                  <c:v>0.49219999999999997</c:v>
                </c:pt>
                <c:pt idx="823">
                  <c:v>0.59394999999999998</c:v>
                </c:pt>
                <c:pt idx="824">
                  <c:v>0.62039</c:v>
                </c:pt>
                <c:pt idx="825">
                  <c:v>0.39689999999999998</c:v>
                </c:pt>
                <c:pt idx="826">
                  <c:v>0.45228000000000002</c:v>
                </c:pt>
                <c:pt idx="827">
                  <c:v>0.60950000000000004</c:v>
                </c:pt>
                <c:pt idx="828">
                  <c:v>0.43573000000000001</c:v>
                </c:pt>
                <c:pt idx="829">
                  <c:v>0.53073000000000004</c:v>
                </c:pt>
                <c:pt idx="830">
                  <c:v>0.49093000000000003</c:v>
                </c:pt>
                <c:pt idx="831">
                  <c:v>0.57255</c:v>
                </c:pt>
                <c:pt idx="832">
                  <c:v>0.86540000000000006</c:v>
                </c:pt>
                <c:pt idx="833">
                  <c:v>1.34602</c:v>
                </c:pt>
                <c:pt idx="834">
                  <c:v>1.2698</c:v>
                </c:pt>
                <c:pt idx="835">
                  <c:v>1.48525</c:v>
                </c:pt>
                <c:pt idx="836">
                  <c:v>1.3972</c:v>
                </c:pt>
                <c:pt idx="837">
                  <c:v>1.7409800000000002</c:v>
                </c:pt>
                <c:pt idx="838">
                  <c:v>1.51301</c:v>
                </c:pt>
                <c:pt idx="839">
                  <c:v>1.28304</c:v>
                </c:pt>
                <c:pt idx="840">
                  <c:v>1.4478499999999999</c:v>
                </c:pt>
                <c:pt idx="841">
                  <c:v>1.5669900000000001</c:v>
                </c:pt>
                <c:pt idx="842">
                  <c:v>1.80844</c:v>
                </c:pt>
                <c:pt idx="843">
                  <c:v>1.4773500000000002</c:v>
                </c:pt>
                <c:pt idx="844">
                  <c:v>1.4965999999999999</c:v>
                </c:pt>
                <c:pt idx="845">
                  <c:v>1.44913</c:v>
                </c:pt>
                <c:pt idx="846">
                  <c:v>1.4450999999999998</c:v>
                </c:pt>
                <c:pt idx="847">
                  <c:v>1.4654199999999999</c:v>
                </c:pt>
                <c:pt idx="848">
                  <c:v>1.5115000000000001</c:v>
                </c:pt>
                <c:pt idx="849">
                  <c:v>1.55846</c:v>
                </c:pt>
                <c:pt idx="850">
                  <c:v>1.67435</c:v>
                </c:pt>
                <c:pt idx="851">
                  <c:v>1.5345</c:v>
                </c:pt>
                <c:pt idx="852">
                  <c:v>1.5345</c:v>
                </c:pt>
                <c:pt idx="853">
                  <c:v>1.5345</c:v>
                </c:pt>
                <c:pt idx="854">
                  <c:v>1.3718199999999998</c:v>
                </c:pt>
                <c:pt idx="855">
                  <c:v>1.4428899999999998</c:v>
                </c:pt>
                <c:pt idx="856">
                  <c:v>1.3894499999999999</c:v>
                </c:pt>
                <c:pt idx="857">
                  <c:v>1.3283199999999999</c:v>
                </c:pt>
                <c:pt idx="858">
                  <c:v>1.31298</c:v>
                </c:pt>
                <c:pt idx="859">
                  <c:v>1.20201</c:v>
                </c:pt>
                <c:pt idx="860">
                  <c:v>1.1262399999999999</c:v>
                </c:pt>
                <c:pt idx="861">
                  <c:v>1.27034</c:v>
                </c:pt>
                <c:pt idx="862">
                  <c:v>1.26875</c:v>
                </c:pt>
                <c:pt idx="863">
                  <c:v>1.3007300000000002</c:v>
                </c:pt>
                <c:pt idx="864">
                  <c:v>1.4290399999999999</c:v>
                </c:pt>
                <c:pt idx="865">
                  <c:v>1.3902600000000001</c:v>
                </c:pt>
                <c:pt idx="866">
                  <c:v>1.42639</c:v>
                </c:pt>
                <c:pt idx="867">
                  <c:v>1.27467</c:v>
                </c:pt>
                <c:pt idx="868">
                  <c:v>1.27467</c:v>
                </c:pt>
                <c:pt idx="869">
                  <c:v>1.431</c:v>
                </c:pt>
                <c:pt idx="870">
                  <c:v>1.43228</c:v>
                </c:pt>
                <c:pt idx="871">
                  <c:v>1.6207499999999999</c:v>
                </c:pt>
                <c:pt idx="872">
                  <c:v>1.5214500000000002</c:v>
                </c:pt>
                <c:pt idx="873">
                  <c:v>1.5214500000000002</c:v>
                </c:pt>
                <c:pt idx="874">
                  <c:v>1.4772000000000001</c:v>
                </c:pt>
                <c:pt idx="875">
                  <c:v>1.7360200000000001</c:v>
                </c:pt>
                <c:pt idx="876">
                  <c:v>1.79966</c:v>
                </c:pt>
                <c:pt idx="877">
                  <c:v>1.6247900000000002</c:v>
                </c:pt>
                <c:pt idx="878">
                  <c:v>1.6356700000000002</c:v>
                </c:pt>
                <c:pt idx="879">
                  <c:v>1.6062700000000001</c:v>
                </c:pt>
                <c:pt idx="880">
                  <c:v>1.51254</c:v>
                </c:pt>
                <c:pt idx="881">
                  <c:v>1.50431</c:v>
                </c:pt>
                <c:pt idx="882">
                  <c:v>1.43909</c:v>
                </c:pt>
                <c:pt idx="883">
                  <c:v>1.4897999999999998</c:v>
                </c:pt>
                <c:pt idx="884">
                  <c:v>1.4581200000000001</c:v>
                </c:pt>
                <c:pt idx="885">
                  <c:v>1.4441900000000001</c:v>
                </c:pt>
                <c:pt idx="886">
                  <c:v>1.3064199999999999</c:v>
                </c:pt>
                <c:pt idx="887">
                  <c:v>1.30383</c:v>
                </c:pt>
                <c:pt idx="888">
                  <c:v>1.30383</c:v>
                </c:pt>
                <c:pt idx="889">
                  <c:v>1.4901</c:v>
                </c:pt>
                <c:pt idx="890">
                  <c:v>1.5400299999999998</c:v>
                </c:pt>
                <c:pt idx="891">
                  <c:v>1.57772</c:v>
                </c:pt>
                <c:pt idx="892">
                  <c:v>1.42482</c:v>
                </c:pt>
                <c:pt idx="893">
                  <c:v>1.5707800000000001</c:v>
                </c:pt>
                <c:pt idx="894">
                  <c:v>1.4641999999999999</c:v>
                </c:pt>
                <c:pt idx="895">
                  <c:v>1.52746</c:v>
                </c:pt>
                <c:pt idx="896">
                  <c:v>1.3853800000000001</c:v>
                </c:pt>
                <c:pt idx="897">
                  <c:v>1.39764</c:v>
                </c:pt>
                <c:pt idx="898">
                  <c:v>1.3791100000000001</c:v>
                </c:pt>
                <c:pt idx="899">
                  <c:v>1.4379400000000002</c:v>
                </c:pt>
                <c:pt idx="900">
                  <c:v>1.2799800000000001</c:v>
                </c:pt>
                <c:pt idx="901">
                  <c:v>1.50545</c:v>
                </c:pt>
                <c:pt idx="902">
                  <c:v>1.48041</c:v>
                </c:pt>
                <c:pt idx="903">
                  <c:v>1.4673099999999999</c:v>
                </c:pt>
                <c:pt idx="904">
                  <c:v>1.44062</c:v>
                </c:pt>
                <c:pt idx="905">
                  <c:v>1.3654400000000002</c:v>
                </c:pt>
                <c:pt idx="906">
                  <c:v>1.27986</c:v>
                </c:pt>
                <c:pt idx="907">
                  <c:v>1.4833600000000002</c:v>
                </c:pt>
                <c:pt idx="908">
                  <c:v>1.4329499999999999</c:v>
                </c:pt>
                <c:pt idx="909">
                  <c:v>1.1958299999999999</c:v>
                </c:pt>
                <c:pt idx="910">
                  <c:v>1.2412300000000001</c:v>
                </c:pt>
                <c:pt idx="911">
                  <c:v>1.1078300000000001</c:v>
                </c:pt>
                <c:pt idx="912">
                  <c:v>1.15723</c:v>
                </c:pt>
                <c:pt idx="913">
                  <c:v>1.0974699999999999</c:v>
                </c:pt>
                <c:pt idx="914">
                  <c:v>1.1805300000000001</c:v>
                </c:pt>
                <c:pt idx="915">
                  <c:v>1.38266</c:v>
                </c:pt>
                <c:pt idx="916">
                  <c:v>1.64628</c:v>
                </c:pt>
                <c:pt idx="917">
                  <c:v>1.7207400000000002</c:v>
                </c:pt>
                <c:pt idx="918">
                  <c:v>1.80203</c:v>
                </c:pt>
                <c:pt idx="919">
                  <c:v>1.7527299999999999</c:v>
                </c:pt>
                <c:pt idx="920">
                  <c:v>1.76084</c:v>
                </c:pt>
                <c:pt idx="921">
                  <c:v>1.93536</c:v>
                </c:pt>
                <c:pt idx="922">
                  <c:v>1.6990299999999998</c:v>
                </c:pt>
                <c:pt idx="923">
                  <c:v>1.7087999999999999</c:v>
                </c:pt>
                <c:pt idx="924">
                  <c:v>1.7047300000000001</c:v>
                </c:pt>
                <c:pt idx="925">
                  <c:v>1.70842</c:v>
                </c:pt>
                <c:pt idx="926">
                  <c:v>1.6082099999999999</c:v>
                </c:pt>
                <c:pt idx="927">
                  <c:v>1.6441600000000001</c:v>
                </c:pt>
                <c:pt idx="928">
                  <c:v>1.7538200000000002</c:v>
                </c:pt>
                <c:pt idx="929">
                  <c:v>1.5285300000000002</c:v>
                </c:pt>
                <c:pt idx="930">
                  <c:v>1.6151</c:v>
                </c:pt>
                <c:pt idx="931">
                  <c:v>1.6584200000000002</c:v>
                </c:pt>
                <c:pt idx="932">
                  <c:v>1.57572</c:v>
                </c:pt>
                <c:pt idx="933">
                  <c:v>1.5937799999999998</c:v>
                </c:pt>
                <c:pt idx="934">
                  <c:v>1.6993799999999999</c:v>
                </c:pt>
                <c:pt idx="935">
                  <c:v>1.6932800000000001</c:v>
                </c:pt>
                <c:pt idx="936">
                  <c:v>2.0588500000000001</c:v>
                </c:pt>
                <c:pt idx="937">
                  <c:v>2.02616</c:v>
                </c:pt>
                <c:pt idx="938">
                  <c:v>2.13984</c:v>
                </c:pt>
                <c:pt idx="939">
                  <c:v>2.1803599999999999</c:v>
                </c:pt>
                <c:pt idx="940">
                  <c:v>2.1372200000000001</c:v>
                </c:pt>
                <c:pt idx="941">
                  <c:v>2.1213199999999999</c:v>
                </c:pt>
                <c:pt idx="942">
                  <c:v>2.1264099999999999</c:v>
                </c:pt>
                <c:pt idx="943">
                  <c:v>1.92422</c:v>
                </c:pt>
                <c:pt idx="944">
                  <c:v>1.9909399999999999</c:v>
                </c:pt>
                <c:pt idx="945">
                  <c:v>1.9563900000000001</c:v>
                </c:pt>
                <c:pt idx="946">
                  <c:v>2.0133899999999998</c:v>
                </c:pt>
                <c:pt idx="947">
                  <c:v>2.0812200000000001</c:v>
                </c:pt>
                <c:pt idx="948">
                  <c:v>2.2430400000000001</c:v>
                </c:pt>
                <c:pt idx="949">
                  <c:v>2.0329600000000001</c:v>
                </c:pt>
                <c:pt idx="950">
                  <c:v>2.04541</c:v>
                </c:pt>
                <c:pt idx="951">
                  <c:v>1.9386300000000001</c:v>
                </c:pt>
                <c:pt idx="952">
                  <c:v>1.7844900000000001</c:v>
                </c:pt>
                <c:pt idx="953">
                  <c:v>1.7844900000000001</c:v>
                </c:pt>
                <c:pt idx="954">
                  <c:v>1.6711199999999999</c:v>
                </c:pt>
                <c:pt idx="955">
                  <c:v>1.7795699999999999</c:v>
                </c:pt>
                <c:pt idx="956">
                  <c:v>1.6777199999999999</c:v>
                </c:pt>
                <c:pt idx="957">
                  <c:v>1.7625</c:v>
                </c:pt>
                <c:pt idx="958">
                  <c:v>1.6806299999999998</c:v>
                </c:pt>
                <c:pt idx="959">
                  <c:v>1.7925899999999999</c:v>
                </c:pt>
                <c:pt idx="960">
                  <c:v>1.6473100000000001</c:v>
                </c:pt>
                <c:pt idx="961">
                  <c:v>1.8553999999999999</c:v>
                </c:pt>
                <c:pt idx="962">
                  <c:v>1.84477</c:v>
                </c:pt>
                <c:pt idx="963">
                  <c:v>1.7918799999999999</c:v>
                </c:pt>
              </c:numCache>
            </c:numRef>
          </c:val>
          <c:smooth val="0"/>
          <c:extLst>
            <c:ext xmlns:c16="http://schemas.microsoft.com/office/drawing/2014/chart" uri="{C3380CC4-5D6E-409C-BE32-E72D297353CC}">
              <c16:uniqueId val="{00000003-EBC4-4222-8B88-73469225685A}"/>
            </c:ext>
          </c:extLst>
        </c:ser>
        <c:ser>
          <c:idx val="8"/>
          <c:order val="8"/>
          <c:tx>
            <c:strRef>
              <c:f>Sheet1!$J$1</c:f>
              <c:strCache>
                <c:ptCount val="1"/>
                <c:pt idx="0">
                  <c:v>Թուրքիա (2030թ.)</c:v>
                </c:pt>
              </c:strCache>
            </c:strRef>
          </c:tx>
          <c:spPr>
            <a:ln w="19050" cap="rnd">
              <a:solidFill>
                <a:schemeClr val="accent3">
                  <a:lumMod val="60000"/>
                </a:schemeClr>
              </a:solidFill>
              <a:round/>
            </a:ln>
            <a:effectLst/>
          </c:spPr>
          <c:marker>
            <c:symbol val="none"/>
          </c:marker>
          <c:cat>
            <c:numRef>
              <c:f>Sheet1!$A$2:$A$1226</c:f>
              <c:numCache>
                <c:formatCode>m\/d\/yyyy</c:formatCode>
                <c:ptCount val="964"/>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pt idx="708">
                  <c:v>44823</c:v>
                </c:pt>
                <c:pt idx="709">
                  <c:v>44824</c:v>
                </c:pt>
                <c:pt idx="710">
                  <c:v>44825</c:v>
                </c:pt>
                <c:pt idx="711">
                  <c:v>44826</c:v>
                </c:pt>
                <c:pt idx="712">
                  <c:v>44827</c:v>
                </c:pt>
                <c:pt idx="713">
                  <c:v>44830</c:v>
                </c:pt>
                <c:pt idx="714">
                  <c:v>44831</c:v>
                </c:pt>
                <c:pt idx="715">
                  <c:v>44832</c:v>
                </c:pt>
                <c:pt idx="716">
                  <c:v>44833</c:v>
                </c:pt>
                <c:pt idx="717">
                  <c:v>44834</c:v>
                </c:pt>
                <c:pt idx="718">
                  <c:v>44837</c:v>
                </c:pt>
                <c:pt idx="719">
                  <c:v>44838</c:v>
                </c:pt>
                <c:pt idx="720">
                  <c:v>44839</c:v>
                </c:pt>
                <c:pt idx="721">
                  <c:v>44840</c:v>
                </c:pt>
                <c:pt idx="722">
                  <c:v>44841</c:v>
                </c:pt>
                <c:pt idx="723">
                  <c:v>44844</c:v>
                </c:pt>
                <c:pt idx="724">
                  <c:v>44845</c:v>
                </c:pt>
                <c:pt idx="725">
                  <c:v>44846</c:v>
                </c:pt>
                <c:pt idx="726">
                  <c:v>44847</c:v>
                </c:pt>
                <c:pt idx="727">
                  <c:v>44848</c:v>
                </c:pt>
                <c:pt idx="728">
                  <c:v>44851</c:v>
                </c:pt>
                <c:pt idx="729">
                  <c:v>44852</c:v>
                </c:pt>
                <c:pt idx="730">
                  <c:v>44853</c:v>
                </c:pt>
                <c:pt idx="731">
                  <c:v>44854</c:v>
                </c:pt>
                <c:pt idx="732">
                  <c:v>44855</c:v>
                </c:pt>
                <c:pt idx="733">
                  <c:v>44858</c:v>
                </c:pt>
                <c:pt idx="734">
                  <c:v>44859</c:v>
                </c:pt>
                <c:pt idx="735">
                  <c:v>44860</c:v>
                </c:pt>
                <c:pt idx="736">
                  <c:v>44861</c:v>
                </c:pt>
                <c:pt idx="737">
                  <c:v>44862</c:v>
                </c:pt>
                <c:pt idx="738">
                  <c:v>44865</c:v>
                </c:pt>
                <c:pt idx="739">
                  <c:v>44866</c:v>
                </c:pt>
                <c:pt idx="740">
                  <c:v>44867</c:v>
                </c:pt>
                <c:pt idx="741">
                  <c:v>44868</c:v>
                </c:pt>
                <c:pt idx="742">
                  <c:v>44869</c:v>
                </c:pt>
                <c:pt idx="743">
                  <c:v>44872</c:v>
                </c:pt>
                <c:pt idx="744">
                  <c:v>44873</c:v>
                </c:pt>
                <c:pt idx="745">
                  <c:v>44874</c:v>
                </c:pt>
                <c:pt idx="746">
                  <c:v>44875</c:v>
                </c:pt>
                <c:pt idx="747">
                  <c:v>44876</c:v>
                </c:pt>
                <c:pt idx="748">
                  <c:v>44879</c:v>
                </c:pt>
                <c:pt idx="749">
                  <c:v>44880</c:v>
                </c:pt>
                <c:pt idx="750">
                  <c:v>44881</c:v>
                </c:pt>
                <c:pt idx="751">
                  <c:v>44882</c:v>
                </c:pt>
                <c:pt idx="752">
                  <c:v>44883</c:v>
                </c:pt>
                <c:pt idx="753">
                  <c:v>44886</c:v>
                </c:pt>
                <c:pt idx="754">
                  <c:v>44887</c:v>
                </c:pt>
                <c:pt idx="755">
                  <c:v>44888</c:v>
                </c:pt>
                <c:pt idx="756">
                  <c:v>44889</c:v>
                </c:pt>
                <c:pt idx="757">
                  <c:v>44890</c:v>
                </c:pt>
                <c:pt idx="758">
                  <c:v>44893</c:v>
                </c:pt>
                <c:pt idx="759">
                  <c:v>44894</c:v>
                </c:pt>
                <c:pt idx="760">
                  <c:v>44895</c:v>
                </c:pt>
                <c:pt idx="761">
                  <c:v>44896</c:v>
                </c:pt>
                <c:pt idx="762">
                  <c:v>44897</c:v>
                </c:pt>
                <c:pt idx="763">
                  <c:v>44900</c:v>
                </c:pt>
                <c:pt idx="764">
                  <c:v>44901</c:v>
                </c:pt>
                <c:pt idx="765">
                  <c:v>44902</c:v>
                </c:pt>
                <c:pt idx="766">
                  <c:v>44903</c:v>
                </c:pt>
                <c:pt idx="767">
                  <c:v>44904</c:v>
                </c:pt>
                <c:pt idx="768">
                  <c:v>44907</c:v>
                </c:pt>
                <c:pt idx="769">
                  <c:v>44908</c:v>
                </c:pt>
                <c:pt idx="770">
                  <c:v>44909</c:v>
                </c:pt>
                <c:pt idx="771">
                  <c:v>44910</c:v>
                </c:pt>
                <c:pt idx="772">
                  <c:v>44911</c:v>
                </c:pt>
                <c:pt idx="773">
                  <c:v>44914</c:v>
                </c:pt>
                <c:pt idx="774">
                  <c:v>44915</c:v>
                </c:pt>
                <c:pt idx="775">
                  <c:v>44916</c:v>
                </c:pt>
                <c:pt idx="776">
                  <c:v>44917</c:v>
                </c:pt>
                <c:pt idx="777">
                  <c:v>44918</c:v>
                </c:pt>
                <c:pt idx="778">
                  <c:v>44921</c:v>
                </c:pt>
                <c:pt idx="779">
                  <c:v>44922</c:v>
                </c:pt>
                <c:pt idx="780">
                  <c:v>44923</c:v>
                </c:pt>
                <c:pt idx="781">
                  <c:v>44924</c:v>
                </c:pt>
                <c:pt idx="782">
                  <c:v>44925</c:v>
                </c:pt>
                <c:pt idx="783">
                  <c:v>44928</c:v>
                </c:pt>
                <c:pt idx="784">
                  <c:v>44929</c:v>
                </c:pt>
                <c:pt idx="785">
                  <c:v>44930</c:v>
                </c:pt>
                <c:pt idx="786">
                  <c:v>44931</c:v>
                </c:pt>
                <c:pt idx="787">
                  <c:v>44932</c:v>
                </c:pt>
                <c:pt idx="788">
                  <c:v>44935</c:v>
                </c:pt>
                <c:pt idx="789">
                  <c:v>44936</c:v>
                </c:pt>
                <c:pt idx="790">
                  <c:v>44937</c:v>
                </c:pt>
                <c:pt idx="791">
                  <c:v>44938</c:v>
                </c:pt>
                <c:pt idx="792">
                  <c:v>44939</c:v>
                </c:pt>
                <c:pt idx="793">
                  <c:v>44942</c:v>
                </c:pt>
                <c:pt idx="794">
                  <c:v>44943</c:v>
                </c:pt>
                <c:pt idx="795">
                  <c:v>44944</c:v>
                </c:pt>
                <c:pt idx="796">
                  <c:v>44945</c:v>
                </c:pt>
                <c:pt idx="797">
                  <c:v>44946</c:v>
                </c:pt>
                <c:pt idx="798">
                  <c:v>44949</c:v>
                </c:pt>
                <c:pt idx="799">
                  <c:v>44950</c:v>
                </c:pt>
                <c:pt idx="800">
                  <c:v>44951</c:v>
                </c:pt>
                <c:pt idx="801">
                  <c:v>44952</c:v>
                </c:pt>
                <c:pt idx="802">
                  <c:v>44953</c:v>
                </c:pt>
                <c:pt idx="803">
                  <c:v>44956</c:v>
                </c:pt>
                <c:pt idx="804">
                  <c:v>44957</c:v>
                </c:pt>
                <c:pt idx="805">
                  <c:v>44958</c:v>
                </c:pt>
                <c:pt idx="806">
                  <c:v>44959</c:v>
                </c:pt>
                <c:pt idx="807">
                  <c:v>44960</c:v>
                </c:pt>
                <c:pt idx="808">
                  <c:v>44963</c:v>
                </c:pt>
                <c:pt idx="809">
                  <c:v>44964</c:v>
                </c:pt>
                <c:pt idx="810">
                  <c:v>44965</c:v>
                </c:pt>
                <c:pt idx="811">
                  <c:v>44966</c:v>
                </c:pt>
                <c:pt idx="812">
                  <c:v>44967</c:v>
                </c:pt>
                <c:pt idx="813">
                  <c:v>44970</c:v>
                </c:pt>
                <c:pt idx="814">
                  <c:v>44971</c:v>
                </c:pt>
                <c:pt idx="815">
                  <c:v>44972</c:v>
                </c:pt>
                <c:pt idx="816">
                  <c:v>44973</c:v>
                </c:pt>
                <c:pt idx="817">
                  <c:v>44974</c:v>
                </c:pt>
                <c:pt idx="818">
                  <c:v>44977</c:v>
                </c:pt>
                <c:pt idx="819">
                  <c:v>44978</c:v>
                </c:pt>
                <c:pt idx="820">
                  <c:v>44979</c:v>
                </c:pt>
                <c:pt idx="821">
                  <c:v>44980</c:v>
                </c:pt>
                <c:pt idx="822">
                  <c:v>44981</c:v>
                </c:pt>
                <c:pt idx="823">
                  <c:v>44984</c:v>
                </c:pt>
                <c:pt idx="824">
                  <c:v>44985</c:v>
                </c:pt>
                <c:pt idx="825">
                  <c:v>44986</c:v>
                </c:pt>
                <c:pt idx="826">
                  <c:v>44987</c:v>
                </c:pt>
                <c:pt idx="827">
                  <c:v>44988</c:v>
                </c:pt>
                <c:pt idx="828">
                  <c:v>44991</c:v>
                </c:pt>
                <c:pt idx="829">
                  <c:v>44992</c:v>
                </c:pt>
                <c:pt idx="830">
                  <c:v>44993</c:v>
                </c:pt>
                <c:pt idx="831">
                  <c:v>44994</c:v>
                </c:pt>
                <c:pt idx="832">
                  <c:v>44995</c:v>
                </c:pt>
                <c:pt idx="833">
                  <c:v>44998</c:v>
                </c:pt>
                <c:pt idx="834">
                  <c:v>44999</c:v>
                </c:pt>
                <c:pt idx="835">
                  <c:v>45000</c:v>
                </c:pt>
                <c:pt idx="836">
                  <c:v>45001</c:v>
                </c:pt>
                <c:pt idx="837">
                  <c:v>45002</c:v>
                </c:pt>
                <c:pt idx="838">
                  <c:v>45005</c:v>
                </c:pt>
                <c:pt idx="839">
                  <c:v>45006</c:v>
                </c:pt>
                <c:pt idx="840">
                  <c:v>45007</c:v>
                </c:pt>
                <c:pt idx="841">
                  <c:v>45008</c:v>
                </c:pt>
                <c:pt idx="842">
                  <c:v>45009</c:v>
                </c:pt>
                <c:pt idx="843">
                  <c:v>45012</c:v>
                </c:pt>
                <c:pt idx="844">
                  <c:v>45013</c:v>
                </c:pt>
                <c:pt idx="845">
                  <c:v>45014</c:v>
                </c:pt>
                <c:pt idx="846">
                  <c:v>45015</c:v>
                </c:pt>
                <c:pt idx="847">
                  <c:v>45016</c:v>
                </c:pt>
                <c:pt idx="848">
                  <c:v>45019</c:v>
                </c:pt>
                <c:pt idx="849">
                  <c:v>45020</c:v>
                </c:pt>
                <c:pt idx="850">
                  <c:v>45021</c:v>
                </c:pt>
                <c:pt idx="851">
                  <c:v>45022</c:v>
                </c:pt>
                <c:pt idx="852">
                  <c:v>45023</c:v>
                </c:pt>
                <c:pt idx="853">
                  <c:v>45026</c:v>
                </c:pt>
                <c:pt idx="854">
                  <c:v>45027</c:v>
                </c:pt>
                <c:pt idx="855">
                  <c:v>45028</c:v>
                </c:pt>
                <c:pt idx="856">
                  <c:v>45029</c:v>
                </c:pt>
                <c:pt idx="857">
                  <c:v>45030</c:v>
                </c:pt>
                <c:pt idx="858">
                  <c:v>45033</c:v>
                </c:pt>
                <c:pt idx="859">
                  <c:v>45034</c:v>
                </c:pt>
                <c:pt idx="860">
                  <c:v>45035</c:v>
                </c:pt>
                <c:pt idx="861">
                  <c:v>45036</c:v>
                </c:pt>
                <c:pt idx="862">
                  <c:v>45037</c:v>
                </c:pt>
                <c:pt idx="863">
                  <c:v>45040</c:v>
                </c:pt>
                <c:pt idx="864">
                  <c:v>45041</c:v>
                </c:pt>
                <c:pt idx="865">
                  <c:v>45042</c:v>
                </c:pt>
                <c:pt idx="866">
                  <c:v>45043</c:v>
                </c:pt>
                <c:pt idx="867">
                  <c:v>45044</c:v>
                </c:pt>
                <c:pt idx="868">
                  <c:v>45047</c:v>
                </c:pt>
                <c:pt idx="869">
                  <c:v>45048</c:v>
                </c:pt>
                <c:pt idx="870">
                  <c:v>45049</c:v>
                </c:pt>
                <c:pt idx="871">
                  <c:v>45050</c:v>
                </c:pt>
                <c:pt idx="872">
                  <c:v>45051</c:v>
                </c:pt>
                <c:pt idx="873">
                  <c:v>45054</c:v>
                </c:pt>
                <c:pt idx="874">
                  <c:v>45055</c:v>
                </c:pt>
                <c:pt idx="875">
                  <c:v>45056</c:v>
                </c:pt>
                <c:pt idx="876">
                  <c:v>45057</c:v>
                </c:pt>
                <c:pt idx="877">
                  <c:v>45058</c:v>
                </c:pt>
                <c:pt idx="878">
                  <c:v>45061</c:v>
                </c:pt>
                <c:pt idx="879">
                  <c:v>45062</c:v>
                </c:pt>
                <c:pt idx="880">
                  <c:v>45063</c:v>
                </c:pt>
                <c:pt idx="881">
                  <c:v>45064</c:v>
                </c:pt>
                <c:pt idx="882">
                  <c:v>45065</c:v>
                </c:pt>
                <c:pt idx="883">
                  <c:v>45068</c:v>
                </c:pt>
                <c:pt idx="884">
                  <c:v>45069</c:v>
                </c:pt>
                <c:pt idx="885">
                  <c:v>45070</c:v>
                </c:pt>
                <c:pt idx="886">
                  <c:v>45071</c:v>
                </c:pt>
                <c:pt idx="887">
                  <c:v>45072</c:v>
                </c:pt>
                <c:pt idx="888">
                  <c:v>45075</c:v>
                </c:pt>
                <c:pt idx="889">
                  <c:v>45076</c:v>
                </c:pt>
                <c:pt idx="890">
                  <c:v>45077</c:v>
                </c:pt>
                <c:pt idx="891">
                  <c:v>45078</c:v>
                </c:pt>
                <c:pt idx="892">
                  <c:v>45079</c:v>
                </c:pt>
                <c:pt idx="893">
                  <c:v>45082</c:v>
                </c:pt>
                <c:pt idx="894">
                  <c:v>45083</c:v>
                </c:pt>
                <c:pt idx="895">
                  <c:v>45084</c:v>
                </c:pt>
                <c:pt idx="896">
                  <c:v>45085</c:v>
                </c:pt>
                <c:pt idx="897">
                  <c:v>45086</c:v>
                </c:pt>
                <c:pt idx="898">
                  <c:v>45089</c:v>
                </c:pt>
                <c:pt idx="899">
                  <c:v>45090</c:v>
                </c:pt>
                <c:pt idx="900">
                  <c:v>45091</c:v>
                </c:pt>
                <c:pt idx="901">
                  <c:v>45092</c:v>
                </c:pt>
                <c:pt idx="902">
                  <c:v>45093</c:v>
                </c:pt>
                <c:pt idx="903">
                  <c:v>45096</c:v>
                </c:pt>
                <c:pt idx="904">
                  <c:v>45097</c:v>
                </c:pt>
                <c:pt idx="905">
                  <c:v>45098</c:v>
                </c:pt>
                <c:pt idx="906">
                  <c:v>45099</c:v>
                </c:pt>
                <c:pt idx="907">
                  <c:v>45100</c:v>
                </c:pt>
                <c:pt idx="908">
                  <c:v>45103</c:v>
                </c:pt>
                <c:pt idx="909">
                  <c:v>45104</c:v>
                </c:pt>
                <c:pt idx="910">
                  <c:v>45105</c:v>
                </c:pt>
                <c:pt idx="911">
                  <c:v>45106</c:v>
                </c:pt>
                <c:pt idx="912">
                  <c:v>45107</c:v>
                </c:pt>
                <c:pt idx="913">
                  <c:v>45110</c:v>
                </c:pt>
                <c:pt idx="914">
                  <c:v>45111</c:v>
                </c:pt>
                <c:pt idx="915">
                  <c:v>45112</c:v>
                </c:pt>
                <c:pt idx="916">
                  <c:v>45113</c:v>
                </c:pt>
                <c:pt idx="917">
                  <c:v>45114</c:v>
                </c:pt>
                <c:pt idx="918">
                  <c:v>45117</c:v>
                </c:pt>
                <c:pt idx="919">
                  <c:v>45118</c:v>
                </c:pt>
                <c:pt idx="920">
                  <c:v>45119</c:v>
                </c:pt>
                <c:pt idx="921">
                  <c:v>45120</c:v>
                </c:pt>
                <c:pt idx="922">
                  <c:v>45121</c:v>
                </c:pt>
                <c:pt idx="923">
                  <c:v>45124</c:v>
                </c:pt>
                <c:pt idx="924">
                  <c:v>45125</c:v>
                </c:pt>
                <c:pt idx="925">
                  <c:v>45126</c:v>
                </c:pt>
                <c:pt idx="926">
                  <c:v>45127</c:v>
                </c:pt>
                <c:pt idx="927">
                  <c:v>45128</c:v>
                </c:pt>
                <c:pt idx="928">
                  <c:v>45131</c:v>
                </c:pt>
                <c:pt idx="929">
                  <c:v>45132</c:v>
                </c:pt>
                <c:pt idx="930">
                  <c:v>45133</c:v>
                </c:pt>
                <c:pt idx="931">
                  <c:v>45134</c:v>
                </c:pt>
                <c:pt idx="932">
                  <c:v>45135</c:v>
                </c:pt>
                <c:pt idx="933">
                  <c:v>45138</c:v>
                </c:pt>
                <c:pt idx="934">
                  <c:v>45139</c:v>
                </c:pt>
                <c:pt idx="935">
                  <c:v>45140</c:v>
                </c:pt>
                <c:pt idx="936">
                  <c:v>45141</c:v>
                </c:pt>
                <c:pt idx="937">
                  <c:v>45142</c:v>
                </c:pt>
                <c:pt idx="938">
                  <c:v>45145</c:v>
                </c:pt>
                <c:pt idx="939">
                  <c:v>45146</c:v>
                </c:pt>
                <c:pt idx="940">
                  <c:v>45147</c:v>
                </c:pt>
                <c:pt idx="941">
                  <c:v>45148</c:v>
                </c:pt>
                <c:pt idx="942">
                  <c:v>45149</c:v>
                </c:pt>
                <c:pt idx="943">
                  <c:v>45152</c:v>
                </c:pt>
                <c:pt idx="944">
                  <c:v>45153</c:v>
                </c:pt>
                <c:pt idx="945">
                  <c:v>45154</c:v>
                </c:pt>
                <c:pt idx="946">
                  <c:v>45155</c:v>
                </c:pt>
                <c:pt idx="947">
                  <c:v>45156</c:v>
                </c:pt>
                <c:pt idx="948">
                  <c:v>45159</c:v>
                </c:pt>
                <c:pt idx="949">
                  <c:v>45160</c:v>
                </c:pt>
                <c:pt idx="950">
                  <c:v>45161</c:v>
                </c:pt>
                <c:pt idx="951">
                  <c:v>45162</c:v>
                </c:pt>
                <c:pt idx="952">
                  <c:v>45163</c:v>
                </c:pt>
                <c:pt idx="953">
                  <c:v>45166</c:v>
                </c:pt>
                <c:pt idx="954">
                  <c:v>45167</c:v>
                </c:pt>
                <c:pt idx="955">
                  <c:v>45168</c:v>
                </c:pt>
                <c:pt idx="956">
                  <c:v>45169</c:v>
                </c:pt>
                <c:pt idx="957">
                  <c:v>45170</c:v>
                </c:pt>
                <c:pt idx="958">
                  <c:v>45173</c:v>
                </c:pt>
                <c:pt idx="959">
                  <c:v>45174</c:v>
                </c:pt>
                <c:pt idx="960">
                  <c:v>45175</c:v>
                </c:pt>
                <c:pt idx="961">
                  <c:v>45176</c:v>
                </c:pt>
                <c:pt idx="962">
                  <c:v>45177</c:v>
                </c:pt>
                <c:pt idx="963">
                  <c:v>45180</c:v>
                </c:pt>
              </c:numCache>
            </c:numRef>
          </c:cat>
          <c:val>
            <c:numRef>
              <c:f>Sheet1!$J$2:$J$1226</c:f>
              <c:numCache>
                <c:formatCode>0</c:formatCode>
                <c:ptCount val="964"/>
                <c:pt idx="0">
                  <c:v>4.1417299999999999</c:v>
                </c:pt>
                <c:pt idx="1">
                  <c:v>4.0909199999999997</c:v>
                </c:pt>
                <c:pt idx="2">
                  <c:v>4.23231</c:v>
                </c:pt>
                <c:pt idx="3">
                  <c:v>4.2595000000000001</c:v>
                </c:pt>
                <c:pt idx="4">
                  <c:v>4.1876600000000002</c:v>
                </c:pt>
                <c:pt idx="5">
                  <c:v>4.0993500000000003</c:v>
                </c:pt>
                <c:pt idx="6">
                  <c:v>4.0383999999999993</c:v>
                </c:pt>
                <c:pt idx="7">
                  <c:v>4.0951300000000002</c:v>
                </c:pt>
                <c:pt idx="8">
                  <c:v>4.0040100000000001</c:v>
                </c:pt>
                <c:pt idx="9">
                  <c:v>3.9512099999999997</c:v>
                </c:pt>
                <c:pt idx="10">
                  <c:v>3.8744000000000001</c:v>
                </c:pt>
                <c:pt idx="11">
                  <c:v>3.8711000000000002</c:v>
                </c:pt>
                <c:pt idx="12">
                  <c:v>3.8580399999999999</c:v>
                </c:pt>
                <c:pt idx="13">
                  <c:v>3.8689100000000001</c:v>
                </c:pt>
                <c:pt idx="14">
                  <c:v>3.9017700000000004</c:v>
                </c:pt>
                <c:pt idx="15">
                  <c:v>3.8271499999999996</c:v>
                </c:pt>
                <c:pt idx="16">
                  <c:v>3.8307100000000003</c:v>
                </c:pt>
                <c:pt idx="17">
                  <c:v>3.8473899999999999</c:v>
                </c:pt>
                <c:pt idx="18">
                  <c:v>3.9666399999999999</c:v>
                </c:pt>
                <c:pt idx="19">
                  <c:v>3.8711599999999997</c:v>
                </c:pt>
                <c:pt idx="20">
                  <c:v>3.86293</c:v>
                </c:pt>
                <c:pt idx="21">
                  <c:v>3.92204</c:v>
                </c:pt>
                <c:pt idx="22">
                  <c:v>3.8813799999999996</c:v>
                </c:pt>
                <c:pt idx="23">
                  <c:v>3.92225</c:v>
                </c:pt>
                <c:pt idx="24">
                  <c:v>3.8558999999999997</c:v>
                </c:pt>
                <c:pt idx="25">
                  <c:v>3.8080500000000002</c:v>
                </c:pt>
                <c:pt idx="26">
                  <c:v>3.7781000000000002</c:v>
                </c:pt>
                <c:pt idx="27">
                  <c:v>3.9854799999999999</c:v>
                </c:pt>
                <c:pt idx="28">
                  <c:v>4.22485</c:v>
                </c:pt>
                <c:pt idx="29">
                  <c:v>4.1122399999999999</c:v>
                </c:pt>
                <c:pt idx="30">
                  <c:v>4.0239700000000003</c:v>
                </c:pt>
                <c:pt idx="31">
                  <c:v>4.04115</c:v>
                </c:pt>
                <c:pt idx="32">
                  <c:v>4.0489899999999999</c:v>
                </c:pt>
                <c:pt idx="33">
                  <c:v>4.0396000000000001</c:v>
                </c:pt>
                <c:pt idx="34">
                  <c:v>4.0714899999999998</c:v>
                </c:pt>
                <c:pt idx="35">
                  <c:v>4.1177099999999998</c:v>
                </c:pt>
                <c:pt idx="36">
                  <c:v>4.33962</c:v>
                </c:pt>
                <c:pt idx="37">
                  <c:v>4.3004500000000005</c:v>
                </c:pt>
                <c:pt idx="38">
                  <c:v>4.5122900000000001</c:v>
                </c:pt>
                <c:pt idx="39">
                  <c:v>4.5671900000000001</c:v>
                </c:pt>
                <c:pt idx="40">
                  <c:v>4.5598200000000002</c:v>
                </c:pt>
                <c:pt idx="41">
                  <c:v>4.8471099999999998</c:v>
                </c:pt>
                <c:pt idx="42">
                  <c:v>5.3716900000000001</c:v>
                </c:pt>
                <c:pt idx="43">
                  <c:v>5.2293700000000003</c:v>
                </c:pt>
                <c:pt idx="44">
                  <c:v>4.9679199999999994</c:v>
                </c:pt>
                <c:pt idx="45">
                  <c:v>4.8306300000000002</c:v>
                </c:pt>
                <c:pt idx="46">
                  <c:v>4.9259300000000001</c:v>
                </c:pt>
                <c:pt idx="47">
                  <c:v>5.4106100000000001</c:v>
                </c:pt>
                <c:pt idx="48">
                  <c:v>5.9940300000000004</c:v>
                </c:pt>
                <c:pt idx="49">
                  <c:v>5.6527899999999995</c:v>
                </c:pt>
                <c:pt idx="50">
                  <c:v>5.7658399999999999</c:v>
                </c:pt>
                <c:pt idx="51">
                  <c:v>6.7403099999999991</c:v>
                </c:pt>
                <c:pt idx="52">
                  <c:v>6.4669299999999996</c:v>
                </c:pt>
                <c:pt idx="53">
                  <c:v>7.2363900000000001</c:v>
                </c:pt>
                <c:pt idx="54">
                  <c:v>7.2914099999999999</c:v>
                </c:pt>
                <c:pt idx="55">
                  <c:v>7.9737699999999991</c:v>
                </c:pt>
                <c:pt idx="56">
                  <c:v>8.1214499999999994</c:v>
                </c:pt>
                <c:pt idx="57">
                  <c:v>7.8088800000000003</c:v>
                </c:pt>
                <c:pt idx="58">
                  <c:v>8.2005300000000005</c:v>
                </c:pt>
                <c:pt idx="59">
                  <c:v>7.8290300000000004</c:v>
                </c:pt>
                <c:pt idx="60">
                  <c:v>7.2967200000000005</c:v>
                </c:pt>
                <c:pt idx="61">
                  <c:v>7.2066300000000005</c:v>
                </c:pt>
                <c:pt idx="62">
                  <c:v>7.4291499999999999</c:v>
                </c:pt>
                <c:pt idx="63">
                  <c:v>7.7920000000000007</c:v>
                </c:pt>
                <c:pt idx="64">
                  <c:v>7.6443700000000003</c:v>
                </c:pt>
                <c:pt idx="65">
                  <c:v>8.1844699999999992</c:v>
                </c:pt>
                <c:pt idx="66">
                  <c:v>8.3825000000000003</c:v>
                </c:pt>
                <c:pt idx="67">
                  <c:v>8.8692999999999991</c:v>
                </c:pt>
                <c:pt idx="68">
                  <c:v>8.9425699999999999</c:v>
                </c:pt>
                <c:pt idx="69">
                  <c:v>8.4838400000000007</c:v>
                </c:pt>
                <c:pt idx="70">
                  <c:v>8.4426500000000004</c:v>
                </c:pt>
                <c:pt idx="71">
                  <c:v>7.6049800000000003</c:v>
                </c:pt>
                <c:pt idx="72">
                  <c:v>7.6184599999999998</c:v>
                </c:pt>
                <c:pt idx="73">
                  <c:v>7.5656399999999993</c:v>
                </c:pt>
                <c:pt idx="74">
                  <c:v>7.7251000000000003</c:v>
                </c:pt>
                <c:pt idx="75">
                  <c:v>7.9969700000000001</c:v>
                </c:pt>
                <c:pt idx="76">
                  <c:v>8.0991700000000009</c:v>
                </c:pt>
                <c:pt idx="77">
                  <c:v>8.0730199999999996</c:v>
                </c:pt>
                <c:pt idx="78">
                  <c:v>7.7168700000000001</c:v>
                </c:pt>
                <c:pt idx="79">
                  <c:v>7.8352599999999999</c:v>
                </c:pt>
                <c:pt idx="80">
                  <c:v>7.7777700000000003</c:v>
                </c:pt>
                <c:pt idx="81">
                  <c:v>7.7685799999999992</c:v>
                </c:pt>
                <c:pt idx="82">
                  <c:v>7.6891499999999997</c:v>
                </c:pt>
                <c:pt idx="83">
                  <c:v>7.4547400000000001</c:v>
                </c:pt>
                <c:pt idx="84">
                  <c:v>7.4516600000000004</c:v>
                </c:pt>
                <c:pt idx="85">
                  <c:v>7.3839899999999998</c:v>
                </c:pt>
                <c:pt idx="86">
                  <c:v>7.3648299999999995</c:v>
                </c:pt>
                <c:pt idx="87">
                  <c:v>7.3359299999999994</c:v>
                </c:pt>
                <c:pt idx="88">
                  <c:v>7.4013800000000005</c:v>
                </c:pt>
                <c:pt idx="89">
                  <c:v>7.2498400000000007</c:v>
                </c:pt>
                <c:pt idx="90">
                  <c:v>7.4296199999999999</c:v>
                </c:pt>
                <c:pt idx="91">
                  <c:v>7.5896299999999997</c:v>
                </c:pt>
                <c:pt idx="92">
                  <c:v>7.39025</c:v>
                </c:pt>
                <c:pt idx="93">
                  <c:v>7.3354999999999997</c:v>
                </c:pt>
                <c:pt idx="94">
                  <c:v>7.1533699999999998</c:v>
                </c:pt>
                <c:pt idx="95">
                  <c:v>7.25061</c:v>
                </c:pt>
                <c:pt idx="96">
                  <c:v>7.4099599999999999</c:v>
                </c:pt>
                <c:pt idx="97">
                  <c:v>7.3727800000000006</c:v>
                </c:pt>
                <c:pt idx="98">
                  <c:v>7.1289599999999993</c:v>
                </c:pt>
                <c:pt idx="99">
                  <c:v>7.0237699999999998</c:v>
                </c:pt>
                <c:pt idx="100">
                  <c:v>6.5174099999999999</c:v>
                </c:pt>
                <c:pt idx="101">
                  <c:v>6.3996199999999996</c:v>
                </c:pt>
                <c:pt idx="102">
                  <c:v>6.4731800000000002</c:v>
                </c:pt>
                <c:pt idx="103">
                  <c:v>6.4421400000000002</c:v>
                </c:pt>
                <c:pt idx="104">
                  <c:v>6.35968</c:v>
                </c:pt>
                <c:pt idx="105">
                  <c:v>6.4208799999999995</c:v>
                </c:pt>
                <c:pt idx="106">
                  <c:v>6.4846400000000006</c:v>
                </c:pt>
                <c:pt idx="107">
                  <c:v>6.5622900000000008</c:v>
                </c:pt>
                <c:pt idx="108">
                  <c:v>6.4792300000000003</c:v>
                </c:pt>
                <c:pt idx="109">
                  <c:v>6.2758399999999996</c:v>
                </c:pt>
                <c:pt idx="110">
                  <c:v>5.8595699999999997</c:v>
                </c:pt>
                <c:pt idx="111">
                  <c:v>5.8062000000000005</c:v>
                </c:pt>
                <c:pt idx="112">
                  <c:v>5.5213599999999996</c:v>
                </c:pt>
                <c:pt idx="113">
                  <c:v>5.4878</c:v>
                </c:pt>
                <c:pt idx="114">
                  <c:v>5.6770899999999997</c:v>
                </c:pt>
                <c:pt idx="115">
                  <c:v>5.7198900000000004</c:v>
                </c:pt>
                <c:pt idx="116">
                  <c:v>6.1014999999999997</c:v>
                </c:pt>
                <c:pt idx="117">
                  <c:v>5.9942100000000007</c:v>
                </c:pt>
                <c:pt idx="118">
                  <c:v>6.1084199999999997</c:v>
                </c:pt>
                <c:pt idx="119">
                  <c:v>5.8790800000000001</c:v>
                </c:pt>
                <c:pt idx="120">
                  <c:v>5.8039899999999998</c:v>
                </c:pt>
                <c:pt idx="121">
                  <c:v>5.9078099999999996</c:v>
                </c:pt>
                <c:pt idx="122">
                  <c:v>5.8664899999999998</c:v>
                </c:pt>
                <c:pt idx="123">
                  <c:v>5.92239</c:v>
                </c:pt>
                <c:pt idx="124">
                  <c:v>5.9107899999999995</c:v>
                </c:pt>
                <c:pt idx="125">
                  <c:v>6.0300500000000001</c:v>
                </c:pt>
                <c:pt idx="126">
                  <c:v>6.1536200000000001</c:v>
                </c:pt>
                <c:pt idx="127">
                  <c:v>6.0213699999999992</c:v>
                </c:pt>
                <c:pt idx="128">
                  <c:v>6.0926</c:v>
                </c:pt>
                <c:pt idx="129">
                  <c:v>6.0850499999999998</c:v>
                </c:pt>
                <c:pt idx="130">
                  <c:v>5.9553899999999995</c:v>
                </c:pt>
                <c:pt idx="131">
                  <c:v>5.8809799999999992</c:v>
                </c:pt>
                <c:pt idx="132">
                  <c:v>5.8420000000000005</c:v>
                </c:pt>
                <c:pt idx="133">
                  <c:v>5.9155800000000003</c:v>
                </c:pt>
                <c:pt idx="134">
                  <c:v>6.0036100000000001</c:v>
                </c:pt>
                <c:pt idx="135">
                  <c:v>6.0987099999999996</c:v>
                </c:pt>
                <c:pt idx="136">
                  <c:v>6.1628999999999996</c:v>
                </c:pt>
                <c:pt idx="137">
                  <c:v>6.3065700000000007</c:v>
                </c:pt>
                <c:pt idx="138">
                  <c:v>6.2312000000000003</c:v>
                </c:pt>
                <c:pt idx="139">
                  <c:v>6.3099699999999999</c:v>
                </c:pt>
                <c:pt idx="140">
                  <c:v>6.24085</c:v>
                </c:pt>
                <c:pt idx="141">
                  <c:v>6.2595500000000008</c:v>
                </c:pt>
                <c:pt idx="142">
                  <c:v>6.1727200000000009</c:v>
                </c:pt>
                <c:pt idx="143">
                  <c:v>6.148579999999999</c:v>
                </c:pt>
                <c:pt idx="144">
                  <c:v>5.9900500000000001</c:v>
                </c:pt>
                <c:pt idx="145">
                  <c:v>5.9464800000000002</c:v>
                </c:pt>
                <c:pt idx="146">
                  <c:v>5.8287900000000006</c:v>
                </c:pt>
                <c:pt idx="147">
                  <c:v>5.9771999999999998</c:v>
                </c:pt>
                <c:pt idx="148">
                  <c:v>5.9445500000000004</c:v>
                </c:pt>
                <c:pt idx="149">
                  <c:v>6.2625400000000004</c:v>
                </c:pt>
                <c:pt idx="150">
                  <c:v>6.4556300000000002</c:v>
                </c:pt>
                <c:pt idx="151">
                  <c:v>6.9411800000000001</c:v>
                </c:pt>
                <c:pt idx="152">
                  <c:v>6.8674300000000006</c:v>
                </c:pt>
                <c:pt idx="153">
                  <c:v>6.6889399999999997</c:v>
                </c:pt>
                <c:pt idx="154">
                  <c:v>6.9606899999999996</c:v>
                </c:pt>
                <c:pt idx="155">
                  <c:v>7.1173900000000003</c:v>
                </c:pt>
                <c:pt idx="156">
                  <c:v>7.3408199999999999</c:v>
                </c:pt>
                <c:pt idx="157">
                  <c:v>7.2199199999999992</c:v>
                </c:pt>
                <c:pt idx="158">
                  <c:v>7.0958000000000006</c:v>
                </c:pt>
                <c:pt idx="159">
                  <c:v>6.7208900000000007</c:v>
                </c:pt>
                <c:pt idx="160">
                  <c:v>6.4051300000000007</c:v>
                </c:pt>
                <c:pt idx="161">
                  <c:v>6.4252000000000002</c:v>
                </c:pt>
                <c:pt idx="162">
                  <c:v>6.6013300000000008</c:v>
                </c:pt>
                <c:pt idx="163">
                  <c:v>6.6879</c:v>
                </c:pt>
                <c:pt idx="164">
                  <c:v>6.7327599999999999</c:v>
                </c:pt>
                <c:pt idx="165">
                  <c:v>6.5444100000000001</c:v>
                </c:pt>
                <c:pt idx="166">
                  <c:v>6.5546500000000005</c:v>
                </c:pt>
                <c:pt idx="167">
                  <c:v>6.4664099999999998</c:v>
                </c:pt>
                <c:pt idx="168">
                  <c:v>6.4228800000000001</c:v>
                </c:pt>
                <c:pt idx="169">
                  <c:v>6.35</c:v>
                </c:pt>
                <c:pt idx="170">
                  <c:v>6.3508000000000004</c:v>
                </c:pt>
                <c:pt idx="171">
                  <c:v>6.2727200000000005</c:v>
                </c:pt>
                <c:pt idx="172">
                  <c:v>6.2449400000000006</c:v>
                </c:pt>
                <c:pt idx="173">
                  <c:v>6.25901</c:v>
                </c:pt>
                <c:pt idx="174">
                  <c:v>6.2439800000000005</c:v>
                </c:pt>
                <c:pt idx="175">
                  <c:v>6.1332399999999998</c:v>
                </c:pt>
                <c:pt idx="176">
                  <c:v>6.2123299999999997</c:v>
                </c:pt>
                <c:pt idx="177">
                  <c:v>6.2573100000000004</c:v>
                </c:pt>
                <c:pt idx="178">
                  <c:v>6.17014</c:v>
                </c:pt>
                <c:pt idx="179">
                  <c:v>6.2999400000000003</c:v>
                </c:pt>
                <c:pt idx="180">
                  <c:v>6.2535100000000003</c:v>
                </c:pt>
                <c:pt idx="181">
                  <c:v>6.2069600000000005</c:v>
                </c:pt>
                <c:pt idx="182">
                  <c:v>6.2096400000000003</c:v>
                </c:pt>
                <c:pt idx="183">
                  <c:v>6.3096000000000005</c:v>
                </c:pt>
                <c:pt idx="184">
                  <c:v>6.2801</c:v>
                </c:pt>
                <c:pt idx="185">
                  <c:v>6.2939300000000005</c:v>
                </c:pt>
                <c:pt idx="186">
                  <c:v>6.3355999999999995</c:v>
                </c:pt>
                <c:pt idx="187">
                  <c:v>6.4588000000000001</c:v>
                </c:pt>
                <c:pt idx="188">
                  <c:v>6.7203800000000005</c:v>
                </c:pt>
                <c:pt idx="189">
                  <c:v>6.7166999999999994</c:v>
                </c:pt>
                <c:pt idx="190">
                  <c:v>6.7133900000000004</c:v>
                </c:pt>
                <c:pt idx="191">
                  <c:v>6.7411900000000005</c:v>
                </c:pt>
                <c:pt idx="192">
                  <c:v>6.5713800000000004</c:v>
                </c:pt>
                <c:pt idx="193">
                  <c:v>6.6149300000000002</c:v>
                </c:pt>
                <c:pt idx="194">
                  <c:v>6.6812199999999997</c:v>
                </c:pt>
                <c:pt idx="195">
                  <c:v>6.5201900000000004</c:v>
                </c:pt>
                <c:pt idx="196">
                  <c:v>6.3656299999999995</c:v>
                </c:pt>
                <c:pt idx="197">
                  <c:v>6.4129700000000005</c:v>
                </c:pt>
                <c:pt idx="198">
                  <c:v>6.2832799999999995</c:v>
                </c:pt>
                <c:pt idx="199">
                  <c:v>6.1297100000000002</c:v>
                </c:pt>
                <c:pt idx="200">
                  <c:v>6.2674400000000006</c:v>
                </c:pt>
                <c:pt idx="201">
                  <c:v>6.4498800000000003</c:v>
                </c:pt>
                <c:pt idx="202">
                  <c:v>6.2503599999999997</c:v>
                </c:pt>
                <c:pt idx="203">
                  <c:v>6.2884799999999998</c:v>
                </c:pt>
                <c:pt idx="204">
                  <c:v>6.3217299999999996</c:v>
                </c:pt>
                <c:pt idx="205">
                  <c:v>6.4241099999999998</c:v>
                </c:pt>
                <c:pt idx="206">
                  <c:v>6.3922699999999999</c:v>
                </c:pt>
                <c:pt idx="207">
                  <c:v>6.3019500000000006</c:v>
                </c:pt>
                <c:pt idx="208">
                  <c:v>6.2155999999999993</c:v>
                </c:pt>
                <c:pt idx="209">
                  <c:v>6.1826700000000008</c:v>
                </c:pt>
                <c:pt idx="210">
                  <c:v>6.0846600000000004</c:v>
                </c:pt>
                <c:pt idx="211">
                  <c:v>6.2631899999999998</c:v>
                </c:pt>
                <c:pt idx="212">
                  <c:v>6.2572200000000002</c:v>
                </c:pt>
                <c:pt idx="213">
                  <c:v>6.4629799999999999</c:v>
                </c:pt>
                <c:pt idx="214">
                  <c:v>6.4574699999999998</c:v>
                </c:pt>
                <c:pt idx="215">
                  <c:v>6.6624099999999995</c:v>
                </c:pt>
                <c:pt idx="216">
                  <c:v>6.5929399999999996</c:v>
                </c:pt>
                <c:pt idx="217">
                  <c:v>6.5648299999999997</c:v>
                </c:pt>
                <c:pt idx="218">
                  <c:v>6.706900000000001</c:v>
                </c:pt>
                <c:pt idx="219">
                  <c:v>6.70174</c:v>
                </c:pt>
                <c:pt idx="220">
                  <c:v>6.6415599999999992</c:v>
                </c:pt>
                <c:pt idx="221">
                  <c:v>6.3393499999999996</c:v>
                </c:pt>
                <c:pt idx="222">
                  <c:v>6.3903499999999998</c:v>
                </c:pt>
                <c:pt idx="223">
                  <c:v>5.7539700000000007</c:v>
                </c:pt>
                <c:pt idx="224">
                  <c:v>5.6995100000000001</c:v>
                </c:pt>
                <c:pt idx="225">
                  <c:v>5.3240599999999993</c:v>
                </c:pt>
                <c:pt idx="226">
                  <c:v>5.3831100000000003</c:v>
                </c:pt>
                <c:pt idx="227">
                  <c:v>5.3532799999999998</c:v>
                </c:pt>
                <c:pt idx="228">
                  <c:v>5.2892299999999999</c:v>
                </c:pt>
                <c:pt idx="229">
                  <c:v>5.3824100000000001</c:v>
                </c:pt>
                <c:pt idx="230">
                  <c:v>5.2539400000000001</c:v>
                </c:pt>
                <c:pt idx="231">
                  <c:v>5.1006299999999998</c:v>
                </c:pt>
                <c:pt idx="232">
                  <c:v>5.1809500000000002</c:v>
                </c:pt>
                <c:pt idx="233">
                  <c:v>5.2441899999999997</c:v>
                </c:pt>
                <c:pt idx="234">
                  <c:v>5.1842600000000001</c:v>
                </c:pt>
                <c:pt idx="235">
                  <c:v>5.2066600000000003</c:v>
                </c:pt>
                <c:pt idx="236">
                  <c:v>5.1731799999999994</c:v>
                </c:pt>
                <c:pt idx="237">
                  <c:v>5.1027300000000002</c:v>
                </c:pt>
                <c:pt idx="238">
                  <c:v>5.1481899999999996</c:v>
                </c:pt>
                <c:pt idx="239">
                  <c:v>5.0476100000000006</c:v>
                </c:pt>
                <c:pt idx="240">
                  <c:v>4.9776400000000001</c:v>
                </c:pt>
                <c:pt idx="241">
                  <c:v>4.9188299999999998</c:v>
                </c:pt>
                <c:pt idx="242">
                  <c:v>4.8074300000000001</c:v>
                </c:pt>
                <c:pt idx="243">
                  <c:v>4.87202</c:v>
                </c:pt>
                <c:pt idx="244">
                  <c:v>4.9702599999999997</c:v>
                </c:pt>
                <c:pt idx="245">
                  <c:v>4.9638900000000001</c:v>
                </c:pt>
                <c:pt idx="246">
                  <c:v>5.0470800000000002</c:v>
                </c:pt>
                <c:pt idx="247">
                  <c:v>5.0641699999999998</c:v>
                </c:pt>
                <c:pt idx="248">
                  <c:v>5.0245800000000003</c:v>
                </c:pt>
                <c:pt idx="249">
                  <c:v>4.8768599999999998</c:v>
                </c:pt>
                <c:pt idx="250">
                  <c:v>4.7430599999999998</c:v>
                </c:pt>
                <c:pt idx="251">
                  <c:v>4.6466000000000003</c:v>
                </c:pt>
                <c:pt idx="252">
                  <c:v>4.5565899999999999</c:v>
                </c:pt>
                <c:pt idx="253">
                  <c:v>4.6399599999999994</c:v>
                </c:pt>
                <c:pt idx="254">
                  <c:v>4.6137899999999998</c:v>
                </c:pt>
                <c:pt idx="255">
                  <c:v>4.5711900000000005</c:v>
                </c:pt>
                <c:pt idx="256">
                  <c:v>4.5935600000000001</c:v>
                </c:pt>
                <c:pt idx="257">
                  <c:v>4.5935600000000001</c:v>
                </c:pt>
                <c:pt idx="258">
                  <c:v>4.5935600000000001</c:v>
                </c:pt>
                <c:pt idx="259">
                  <c:v>4.4755399999999996</c:v>
                </c:pt>
                <c:pt idx="260">
                  <c:v>4.4360600000000003</c:v>
                </c:pt>
                <c:pt idx="261">
                  <c:v>4.4516900000000001</c:v>
                </c:pt>
                <c:pt idx="262">
                  <c:v>4.4516900000000001</c:v>
                </c:pt>
                <c:pt idx="263">
                  <c:v>4.4689299999999994</c:v>
                </c:pt>
                <c:pt idx="264">
                  <c:v>4.4857100000000001</c:v>
                </c:pt>
                <c:pt idx="265">
                  <c:v>4.4390299999999998</c:v>
                </c:pt>
                <c:pt idx="266">
                  <c:v>4.3879199999999994</c:v>
                </c:pt>
                <c:pt idx="267">
                  <c:v>4.3602699999999999</c:v>
                </c:pt>
                <c:pt idx="268">
                  <c:v>4.4387400000000001</c:v>
                </c:pt>
                <c:pt idx="269">
                  <c:v>4.5359100000000003</c:v>
                </c:pt>
                <c:pt idx="270">
                  <c:v>4.4711099999999995</c:v>
                </c:pt>
                <c:pt idx="271">
                  <c:v>4.4696800000000003</c:v>
                </c:pt>
                <c:pt idx="272">
                  <c:v>4.5808499999999999</c:v>
                </c:pt>
                <c:pt idx="273">
                  <c:v>4.5936500000000002</c:v>
                </c:pt>
                <c:pt idx="274">
                  <c:v>4.6052600000000004</c:v>
                </c:pt>
                <c:pt idx="275">
                  <c:v>4.57355</c:v>
                </c:pt>
                <c:pt idx="276">
                  <c:v>4.4809599999999996</c:v>
                </c:pt>
                <c:pt idx="277">
                  <c:v>4.5194200000000002</c:v>
                </c:pt>
                <c:pt idx="278">
                  <c:v>4.55375</c:v>
                </c:pt>
                <c:pt idx="279">
                  <c:v>4.5127999999999995</c:v>
                </c:pt>
                <c:pt idx="280">
                  <c:v>4.5316099999999997</c:v>
                </c:pt>
                <c:pt idx="281">
                  <c:v>4.4259699999999995</c:v>
                </c:pt>
                <c:pt idx="282">
                  <c:v>4.3219600000000007</c:v>
                </c:pt>
                <c:pt idx="283">
                  <c:v>4.2636799999999999</c:v>
                </c:pt>
                <c:pt idx="284">
                  <c:v>4.2140699999999995</c:v>
                </c:pt>
                <c:pt idx="285">
                  <c:v>4.1867000000000001</c:v>
                </c:pt>
                <c:pt idx="286">
                  <c:v>4.1351800000000001</c:v>
                </c:pt>
                <c:pt idx="287">
                  <c:v>4.0422500000000001</c:v>
                </c:pt>
                <c:pt idx="288">
                  <c:v>4.0760800000000001</c:v>
                </c:pt>
                <c:pt idx="289">
                  <c:v>4.0913700000000004</c:v>
                </c:pt>
                <c:pt idx="290">
                  <c:v>4.0941900000000002</c:v>
                </c:pt>
                <c:pt idx="291">
                  <c:v>4.08474</c:v>
                </c:pt>
                <c:pt idx="292">
                  <c:v>4.0513700000000004</c:v>
                </c:pt>
                <c:pt idx="293">
                  <c:v>4.0132300000000001</c:v>
                </c:pt>
                <c:pt idx="294">
                  <c:v>4.0194099999999997</c:v>
                </c:pt>
                <c:pt idx="295">
                  <c:v>4.0656599999999994</c:v>
                </c:pt>
                <c:pt idx="296">
                  <c:v>4.00312</c:v>
                </c:pt>
                <c:pt idx="297">
                  <c:v>3.9539499999999999</c:v>
                </c:pt>
                <c:pt idx="298">
                  <c:v>4.0423900000000001</c:v>
                </c:pt>
                <c:pt idx="299">
                  <c:v>4.0688599999999999</c:v>
                </c:pt>
                <c:pt idx="300">
                  <c:v>4.1008599999999999</c:v>
                </c:pt>
                <c:pt idx="301">
                  <c:v>4.09138</c:v>
                </c:pt>
                <c:pt idx="302">
                  <c:v>4.2104600000000003</c:v>
                </c:pt>
                <c:pt idx="303">
                  <c:v>4.1267800000000001</c:v>
                </c:pt>
                <c:pt idx="304">
                  <c:v>4.1646700000000001</c:v>
                </c:pt>
                <c:pt idx="305">
                  <c:v>4.22525</c:v>
                </c:pt>
                <c:pt idx="306">
                  <c:v>4.3257099999999999</c:v>
                </c:pt>
                <c:pt idx="307">
                  <c:v>4.4067400000000001</c:v>
                </c:pt>
                <c:pt idx="308">
                  <c:v>4.5543300000000002</c:v>
                </c:pt>
                <c:pt idx="309">
                  <c:v>4.51309</c:v>
                </c:pt>
                <c:pt idx="310">
                  <c:v>4.42903</c:v>
                </c:pt>
                <c:pt idx="311">
                  <c:v>4.2550499999999998</c:v>
                </c:pt>
                <c:pt idx="312">
                  <c:v>4.28674</c:v>
                </c:pt>
                <c:pt idx="313">
                  <c:v>4.2250300000000003</c:v>
                </c:pt>
                <c:pt idx="314">
                  <c:v>4.1571699999999998</c:v>
                </c:pt>
                <c:pt idx="315">
                  <c:v>4.24871</c:v>
                </c:pt>
                <c:pt idx="316">
                  <c:v>4.1083999999999996</c:v>
                </c:pt>
                <c:pt idx="317">
                  <c:v>4.0827400000000003</c:v>
                </c:pt>
                <c:pt idx="318">
                  <c:v>5.3421099999999999</c:v>
                </c:pt>
                <c:pt idx="319">
                  <c:v>5.6747000000000005</c:v>
                </c:pt>
                <c:pt idx="320">
                  <c:v>5.4979700000000005</c:v>
                </c:pt>
                <c:pt idx="321">
                  <c:v>5.4731500000000004</c:v>
                </c:pt>
                <c:pt idx="322">
                  <c:v>5.48095</c:v>
                </c:pt>
                <c:pt idx="323">
                  <c:v>5.5245399999999991</c:v>
                </c:pt>
                <c:pt idx="324">
                  <c:v>5.5974400000000006</c:v>
                </c:pt>
                <c:pt idx="325">
                  <c:v>5.52616</c:v>
                </c:pt>
                <c:pt idx="326">
                  <c:v>5.2310799999999995</c:v>
                </c:pt>
                <c:pt idx="327">
                  <c:v>5.16831</c:v>
                </c:pt>
                <c:pt idx="328">
                  <c:v>5.1896100000000001</c:v>
                </c:pt>
                <c:pt idx="329">
                  <c:v>5.0465400000000002</c:v>
                </c:pt>
                <c:pt idx="330">
                  <c:v>5.0766600000000004</c:v>
                </c:pt>
                <c:pt idx="331">
                  <c:v>5.0792700000000002</c:v>
                </c:pt>
                <c:pt idx="332">
                  <c:v>5.0424800000000003</c:v>
                </c:pt>
                <c:pt idx="333">
                  <c:v>5.02285</c:v>
                </c:pt>
                <c:pt idx="334">
                  <c:v>5.0109599999999999</c:v>
                </c:pt>
                <c:pt idx="335">
                  <c:v>4.92096</c:v>
                </c:pt>
                <c:pt idx="336">
                  <c:v>4.8610800000000003</c:v>
                </c:pt>
                <c:pt idx="337">
                  <c:v>4.7742300000000002</c:v>
                </c:pt>
                <c:pt idx="338">
                  <c:v>4.6988700000000003</c:v>
                </c:pt>
                <c:pt idx="339">
                  <c:v>4.8122800000000003</c:v>
                </c:pt>
                <c:pt idx="340">
                  <c:v>4.8089599999999999</c:v>
                </c:pt>
                <c:pt idx="341">
                  <c:v>4.8786200000000006</c:v>
                </c:pt>
                <c:pt idx="342">
                  <c:v>4.9993999999999996</c:v>
                </c:pt>
                <c:pt idx="343">
                  <c:v>5.0382699999999998</c:v>
                </c:pt>
                <c:pt idx="344">
                  <c:v>4.9689800000000002</c:v>
                </c:pt>
                <c:pt idx="345">
                  <c:v>4.95207</c:v>
                </c:pt>
                <c:pt idx="346">
                  <c:v>4.90646</c:v>
                </c:pt>
                <c:pt idx="347">
                  <c:v>4.9194599999999999</c:v>
                </c:pt>
                <c:pt idx="348">
                  <c:v>4.9194599999999999</c:v>
                </c:pt>
                <c:pt idx="349">
                  <c:v>4.9429800000000004</c:v>
                </c:pt>
                <c:pt idx="350">
                  <c:v>4.8596899999999996</c:v>
                </c:pt>
                <c:pt idx="351">
                  <c:v>4.8165800000000001</c:v>
                </c:pt>
                <c:pt idx="352">
                  <c:v>4.7133599999999998</c:v>
                </c:pt>
                <c:pt idx="353">
                  <c:v>4.6537299999999995</c:v>
                </c:pt>
                <c:pt idx="354">
                  <c:v>4.6434100000000003</c:v>
                </c:pt>
                <c:pt idx="355">
                  <c:v>4.6897500000000001</c:v>
                </c:pt>
                <c:pt idx="356">
                  <c:v>4.7553099999999997</c:v>
                </c:pt>
                <c:pt idx="357">
                  <c:v>4.7158800000000003</c:v>
                </c:pt>
                <c:pt idx="358">
                  <c:v>4.6276299999999999</c:v>
                </c:pt>
                <c:pt idx="359">
                  <c:v>4.6087400000000001</c:v>
                </c:pt>
                <c:pt idx="360">
                  <c:v>4.6718299999999999</c:v>
                </c:pt>
                <c:pt idx="361">
                  <c:v>4.63767</c:v>
                </c:pt>
                <c:pt idx="362">
                  <c:v>4.6339299999999994</c:v>
                </c:pt>
                <c:pt idx="363">
                  <c:v>4.6505099999999997</c:v>
                </c:pt>
                <c:pt idx="364">
                  <c:v>4.6515300000000002</c:v>
                </c:pt>
                <c:pt idx="365">
                  <c:v>4.6512700000000002</c:v>
                </c:pt>
                <c:pt idx="366">
                  <c:v>4.5950799999999994</c:v>
                </c:pt>
                <c:pt idx="367">
                  <c:v>4.6970999999999998</c:v>
                </c:pt>
                <c:pt idx="368">
                  <c:v>4.6970999999999998</c:v>
                </c:pt>
                <c:pt idx="369">
                  <c:v>4.6500500000000002</c:v>
                </c:pt>
                <c:pt idx="370">
                  <c:v>4.6750999999999996</c:v>
                </c:pt>
                <c:pt idx="371">
                  <c:v>4.6752099999999999</c:v>
                </c:pt>
                <c:pt idx="372">
                  <c:v>4.7135899999999999</c:v>
                </c:pt>
                <c:pt idx="373">
                  <c:v>4.6837499999999999</c:v>
                </c:pt>
                <c:pt idx="374">
                  <c:v>4.6389800000000001</c:v>
                </c:pt>
                <c:pt idx="375">
                  <c:v>4.5327599999999997</c:v>
                </c:pt>
                <c:pt idx="376">
                  <c:v>4.4881700000000002</c:v>
                </c:pt>
                <c:pt idx="377">
                  <c:v>4.4506100000000002</c:v>
                </c:pt>
                <c:pt idx="378">
                  <c:v>4.4702500000000001</c:v>
                </c:pt>
                <c:pt idx="379">
                  <c:v>4.5376700000000003</c:v>
                </c:pt>
                <c:pt idx="380">
                  <c:v>4.5370499999999998</c:v>
                </c:pt>
                <c:pt idx="381">
                  <c:v>4.5731599999999997</c:v>
                </c:pt>
                <c:pt idx="382">
                  <c:v>4.5871899999999997</c:v>
                </c:pt>
                <c:pt idx="383">
                  <c:v>4.5977100000000002</c:v>
                </c:pt>
                <c:pt idx="384">
                  <c:v>4.5798300000000003</c:v>
                </c:pt>
                <c:pt idx="385">
                  <c:v>4.5369999999999999</c:v>
                </c:pt>
                <c:pt idx="386">
                  <c:v>4.5231900000000005</c:v>
                </c:pt>
                <c:pt idx="387">
                  <c:v>4.50176</c:v>
                </c:pt>
                <c:pt idx="388">
                  <c:v>4.5349900000000005</c:v>
                </c:pt>
                <c:pt idx="389">
                  <c:v>4.5457299999999998</c:v>
                </c:pt>
                <c:pt idx="390">
                  <c:v>4.5872199999999994</c:v>
                </c:pt>
                <c:pt idx="391">
                  <c:v>4.5833499999999994</c:v>
                </c:pt>
                <c:pt idx="392">
                  <c:v>4.63286</c:v>
                </c:pt>
                <c:pt idx="393">
                  <c:v>4.6575699999999998</c:v>
                </c:pt>
                <c:pt idx="394">
                  <c:v>4.7246300000000003</c:v>
                </c:pt>
                <c:pt idx="395">
                  <c:v>4.7459600000000002</c:v>
                </c:pt>
                <c:pt idx="396">
                  <c:v>4.7740800000000005</c:v>
                </c:pt>
                <c:pt idx="397">
                  <c:v>4.7018500000000003</c:v>
                </c:pt>
                <c:pt idx="398">
                  <c:v>4.6662400000000002</c:v>
                </c:pt>
                <c:pt idx="399">
                  <c:v>4.6724199999999998</c:v>
                </c:pt>
                <c:pt idx="400">
                  <c:v>4.6303400000000003</c:v>
                </c:pt>
                <c:pt idx="401">
                  <c:v>4.5804200000000002</c:v>
                </c:pt>
                <c:pt idx="402">
                  <c:v>4.5649600000000001</c:v>
                </c:pt>
                <c:pt idx="403">
                  <c:v>4.7142299999999997</c:v>
                </c:pt>
                <c:pt idx="404">
                  <c:v>4.7057900000000004</c:v>
                </c:pt>
                <c:pt idx="405">
                  <c:v>4.6434600000000001</c:v>
                </c:pt>
                <c:pt idx="406">
                  <c:v>4.6710199999999995</c:v>
                </c:pt>
                <c:pt idx="407">
                  <c:v>4.6334300000000006</c:v>
                </c:pt>
                <c:pt idx="408">
                  <c:v>4.6537600000000001</c:v>
                </c:pt>
                <c:pt idx="409">
                  <c:v>4.6790399999999996</c:v>
                </c:pt>
                <c:pt idx="410">
                  <c:v>4.6688299999999998</c:v>
                </c:pt>
                <c:pt idx="411">
                  <c:v>4.6315400000000002</c:v>
                </c:pt>
                <c:pt idx="412">
                  <c:v>4.6505799999999997</c:v>
                </c:pt>
                <c:pt idx="413">
                  <c:v>4.6525599999999994</c:v>
                </c:pt>
                <c:pt idx="414">
                  <c:v>4.6482700000000001</c:v>
                </c:pt>
                <c:pt idx="415">
                  <c:v>4.6777300000000004</c:v>
                </c:pt>
                <c:pt idx="416">
                  <c:v>4.6761400000000002</c:v>
                </c:pt>
                <c:pt idx="417">
                  <c:v>4.6838899999999999</c:v>
                </c:pt>
                <c:pt idx="418">
                  <c:v>4.7021600000000001</c:v>
                </c:pt>
                <c:pt idx="419">
                  <c:v>4.6779000000000002</c:v>
                </c:pt>
                <c:pt idx="420">
                  <c:v>4.6953699999999996</c:v>
                </c:pt>
                <c:pt idx="421">
                  <c:v>4.6216900000000001</c:v>
                </c:pt>
                <c:pt idx="422">
                  <c:v>4.6037599999999994</c:v>
                </c:pt>
                <c:pt idx="423">
                  <c:v>4.5855100000000002</c:v>
                </c:pt>
                <c:pt idx="424">
                  <c:v>4.5629200000000001</c:v>
                </c:pt>
                <c:pt idx="425">
                  <c:v>4.5761700000000003</c:v>
                </c:pt>
                <c:pt idx="426">
                  <c:v>4.6447199999999995</c:v>
                </c:pt>
                <c:pt idx="427">
                  <c:v>4.6276999999999999</c:v>
                </c:pt>
                <c:pt idx="428">
                  <c:v>4.6116299999999999</c:v>
                </c:pt>
                <c:pt idx="429">
                  <c:v>4.52217</c:v>
                </c:pt>
                <c:pt idx="430">
                  <c:v>4.4324500000000002</c:v>
                </c:pt>
                <c:pt idx="431">
                  <c:v>4.4090400000000001</c:v>
                </c:pt>
                <c:pt idx="432">
                  <c:v>4.4063400000000001</c:v>
                </c:pt>
                <c:pt idx="433">
                  <c:v>4.4063400000000001</c:v>
                </c:pt>
                <c:pt idx="434">
                  <c:v>4.3598600000000003</c:v>
                </c:pt>
                <c:pt idx="435">
                  <c:v>4.3926499999999997</c:v>
                </c:pt>
                <c:pt idx="436">
                  <c:v>4.4152899999999997</c:v>
                </c:pt>
                <c:pt idx="437">
                  <c:v>4.4089100000000006</c:v>
                </c:pt>
                <c:pt idx="438">
                  <c:v>4.4099300000000001</c:v>
                </c:pt>
                <c:pt idx="439">
                  <c:v>4.3917799999999998</c:v>
                </c:pt>
                <c:pt idx="440">
                  <c:v>4.4377899999999997</c:v>
                </c:pt>
                <c:pt idx="441">
                  <c:v>4.4651199999999998</c:v>
                </c:pt>
                <c:pt idx="442">
                  <c:v>4.4290699999999994</c:v>
                </c:pt>
                <c:pt idx="443">
                  <c:v>4.5101800000000001</c:v>
                </c:pt>
                <c:pt idx="444">
                  <c:v>4.5577199999999998</c:v>
                </c:pt>
                <c:pt idx="445">
                  <c:v>4.5530499999999998</c:v>
                </c:pt>
                <c:pt idx="446">
                  <c:v>4.6286300000000002</c:v>
                </c:pt>
                <c:pt idx="447">
                  <c:v>4.68797</c:v>
                </c:pt>
                <c:pt idx="448">
                  <c:v>4.7916600000000003</c:v>
                </c:pt>
                <c:pt idx="449">
                  <c:v>4.7038900000000003</c:v>
                </c:pt>
                <c:pt idx="450">
                  <c:v>4.7688899999999999</c:v>
                </c:pt>
                <c:pt idx="451">
                  <c:v>4.8660500000000004</c:v>
                </c:pt>
                <c:pt idx="452">
                  <c:v>4.9761100000000003</c:v>
                </c:pt>
                <c:pt idx="453">
                  <c:v>5.0360800000000001</c:v>
                </c:pt>
                <c:pt idx="454">
                  <c:v>5.0574300000000001</c:v>
                </c:pt>
                <c:pt idx="455">
                  <c:v>4.9402800000000004</c:v>
                </c:pt>
                <c:pt idx="456">
                  <c:v>4.91629</c:v>
                </c:pt>
                <c:pt idx="457">
                  <c:v>4.98393</c:v>
                </c:pt>
                <c:pt idx="458">
                  <c:v>4.9721500000000001</c:v>
                </c:pt>
                <c:pt idx="459">
                  <c:v>4.9268999999999998</c:v>
                </c:pt>
                <c:pt idx="460">
                  <c:v>4.9852100000000004</c:v>
                </c:pt>
                <c:pt idx="461">
                  <c:v>4.8669900000000004</c:v>
                </c:pt>
                <c:pt idx="462">
                  <c:v>4.9335199999999997</c:v>
                </c:pt>
                <c:pt idx="463">
                  <c:v>4.9658499999999997</c:v>
                </c:pt>
                <c:pt idx="464">
                  <c:v>4.9896799999999999</c:v>
                </c:pt>
                <c:pt idx="465">
                  <c:v>5.01126</c:v>
                </c:pt>
                <c:pt idx="466">
                  <c:v>5.1179800000000002</c:v>
                </c:pt>
                <c:pt idx="467">
                  <c:v>5.0922599999999996</c:v>
                </c:pt>
                <c:pt idx="468">
                  <c:v>5.1758299999999995</c:v>
                </c:pt>
                <c:pt idx="469">
                  <c:v>5.10975</c:v>
                </c:pt>
                <c:pt idx="470">
                  <c:v>5.0542800000000003</c:v>
                </c:pt>
                <c:pt idx="471">
                  <c:v>5.1594000000000007</c:v>
                </c:pt>
                <c:pt idx="472">
                  <c:v>5.2278500000000001</c:v>
                </c:pt>
                <c:pt idx="473">
                  <c:v>5.2037699999999996</c:v>
                </c:pt>
                <c:pt idx="474">
                  <c:v>5.03444</c:v>
                </c:pt>
                <c:pt idx="475">
                  <c:v>5.04941</c:v>
                </c:pt>
                <c:pt idx="476">
                  <c:v>5.0848500000000003</c:v>
                </c:pt>
                <c:pt idx="477">
                  <c:v>5.0937099999999997</c:v>
                </c:pt>
                <c:pt idx="478">
                  <c:v>5.0292500000000002</c:v>
                </c:pt>
                <c:pt idx="479">
                  <c:v>4.9797099999999999</c:v>
                </c:pt>
                <c:pt idx="480">
                  <c:v>4.8973500000000003</c:v>
                </c:pt>
                <c:pt idx="481">
                  <c:v>4.80816</c:v>
                </c:pt>
                <c:pt idx="482">
                  <c:v>4.7345499999999996</c:v>
                </c:pt>
                <c:pt idx="483">
                  <c:v>4.66812</c:v>
                </c:pt>
                <c:pt idx="484">
                  <c:v>4.7579399999999996</c:v>
                </c:pt>
                <c:pt idx="485">
                  <c:v>4.7598799999999999</c:v>
                </c:pt>
                <c:pt idx="486">
                  <c:v>4.8263099999999994</c:v>
                </c:pt>
                <c:pt idx="487">
                  <c:v>4.7712200000000005</c:v>
                </c:pt>
                <c:pt idx="488">
                  <c:v>4.7005799999999995</c:v>
                </c:pt>
                <c:pt idx="489">
                  <c:v>4.8090000000000002</c:v>
                </c:pt>
                <c:pt idx="490">
                  <c:v>4.9057700000000004</c:v>
                </c:pt>
                <c:pt idx="491">
                  <c:v>5.1655800000000003</c:v>
                </c:pt>
                <c:pt idx="492">
                  <c:v>5.1469300000000002</c:v>
                </c:pt>
                <c:pt idx="493">
                  <c:v>5.0756699999999997</c:v>
                </c:pt>
                <c:pt idx="494">
                  <c:v>5.3411499999999998</c:v>
                </c:pt>
                <c:pt idx="495">
                  <c:v>5.28505</c:v>
                </c:pt>
                <c:pt idx="496">
                  <c:v>5.3386800000000001</c:v>
                </c:pt>
                <c:pt idx="497">
                  <c:v>5.56874</c:v>
                </c:pt>
                <c:pt idx="498">
                  <c:v>5.6217100000000002</c:v>
                </c:pt>
                <c:pt idx="499">
                  <c:v>5.7007399999999997</c:v>
                </c:pt>
                <c:pt idx="500">
                  <c:v>5.8319200000000002</c:v>
                </c:pt>
                <c:pt idx="501">
                  <c:v>5.9352999999999998</c:v>
                </c:pt>
                <c:pt idx="502">
                  <c:v>6.03078</c:v>
                </c:pt>
                <c:pt idx="503">
                  <c:v>6.0398699999999996</c:v>
                </c:pt>
                <c:pt idx="504">
                  <c:v>5.5779100000000001</c:v>
                </c:pt>
                <c:pt idx="505">
                  <c:v>5.3676300000000001</c:v>
                </c:pt>
                <c:pt idx="506">
                  <c:v>5.4784500000000005</c:v>
                </c:pt>
                <c:pt idx="507">
                  <c:v>5.6824400000000006</c:v>
                </c:pt>
                <c:pt idx="508">
                  <c:v>5.8663699999999999</c:v>
                </c:pt>
                <c:pt idx="509">
                  <c:v>5.8997099999999998</c:v>
                </c:pt>
                <c:pt idx="510">
                  <c:v>5.9220500000000005</c:v>
                </c:pt>
                <c:pt idx="511">
                  <c:v>5.9238599999999995</c:v>
                </c:pt>
                <c:pt idx="512">
                  <c:v>6.3353599999999997</c:v>
                </c:pt>
                <c:pt idx="513">
                  <c:v>6.8767800000000001</c:v>
                </c:pt>
                <c:pt idx="514">
                  <c:v>6.5565999999999995</c:v>
                </c:pt>
                <c:pt idx="515">
                  <c:v>6.5528499999999994</c:v>
                </c:pt>
                <c:pt idx="516">
                  <c:v>6.1842800000000002</c:v>
                </c:pt>
                <c:pt idx="517">
                  <c:v>6.1791700000000001</c:v>
                </c:pt>
                <c:pt idx="518">
                  <c:v>6.1791700000000001</c:v>
                </c:pt>
                <c:pt idx="519">
                  <c:v>6.1791700000000001</c:v>
                </c:pt>
                <c:pt idx="520">
                  <c:v>6.0787599999999999</c:v>
                </c:pt>
                <c:pt idx="521">
                  <c:v>6.0569199999999999</c:v>
                </c:pt>
                <c:pt idx="522">
                  <c:v>6.0749300000000002</c:v>
                </c:pt>
                <c:pt idx="523">
                  <c:v>6.0749300000000002</c:v>
                </c:pt>
                <c:pt idx="524">
                  <c:v>5.88354</c:v>
                </c:pt>
                <c:pt idx="525">
                  <c:v>5.8890599999999997</c:v>
                </c:pt>
                <c:pt idx="526">
                  <c:v>6.0176800000000004</c:v>
                </c:pt>
                <c:pt idx="527">
                  <c:v>6.0657000000000005</c:v>
                </c:pt>
                <c:pt idx="528">
                  <c:v>6.2122000000000002</c:v>
                </c:pt>
                <c:pt idx="529">
                  <c:v>6.1975800000000003</c:v>
                </c:pt>
                <c:pt idx="530">
                  <c:v>6.0821299999999994</c:v>
                </c:pt>
                <c:pt idx="531">
                  <c:v>5.9057599999999999</c:v>
                </c:pt>
                <c:pt idx="532">
                  <c:v>5.9339499999999994</c:v>
                </c:pt>
                <c:pt idx="533">
                  <c:v>5.96068</c:v>
                </c:pt>
                <c:pt idx="534">
                  <c:v>5.9621599999999999</c:v>
                </c:pt>
                <c:pt idx="535">
                  <c:v>5.9001599999999996</c:v>
                </c:pt>
                <c:pt idx="536">
                  <c:v>5.7451300000000005</c:v>
                </c:pt>
                <c:pt idx="537">
                  <c:v>5.7611300000000005</c:v>
                </c:pt>
                <c:pt idx="538">
                  <c:v>5.87256</c:v>
                </c:pt>
                <c:pt idx="539">
                  <c:v>5.8790099999999992</c:v>
                </c:pt>
                <c:pt idx="540">
                  <c:v>5.7715099999999993</c:v>
                </c:pt>
                <c:pt idx="541">
                  <c:v>5.7756500000000006</c:v>
                </c:pt>
                <c:pt idx="542">
                  <c:v>5.8899400000000002</c:v>
                </c:pt>
                <c:pt idx="543">
                  <c:v>5.8962300000000001</c:v>
                </c:pt>
                <c:pt idx="544">
                  <c:v>5.8764200000000004</c:v>
                </c:pt>
                <c:pt idx="545">
                  <c:v>5.865359999999999</c:v>
                </c:pt>
                <c:pt idx="546">
                  <c:v>5.8439300000000003</c:v>
                </c:pt>
                <c:pt idx="547">
                  <c:v>5.8771299999999993</c:v>
                </c:pt>
                <c:pt idx="548">
                  <c:v>5.8963699999999992</c:v>
                </c:pt>
                <c:pt idx="549">
                  <c:v>5.8306700000000005</c:v>
                </c:pt>
                <c:pt idx="550">
                  <c:v>5.7083599999999999</c:v>
                </c:pt>
                <c:pt idx="551">
                  <c:v>5.5640999999999998</c:v>
                </c:pt>
                <c:pt idx="552">
                  <c:v>5.5618799999999995</c:v>
                </c:pt>
                <c:pt idx="553">
                  <c:v>5.6640999999999995</c:v>
                </c:pt>
                <c:pt idx="554">
                  <c:v>5.6649199999999995</c:v>
                </c:pt>
                <c:pt idx="555">
                  <c:v>5.6378399999999997</c:v>
                </c:pt>
                <c:pt idx="556">
                  <c:v>5.73644</c:v>
                </c:pt>
                <c:pt idx="557">
                  <c:v>5.7834099999999999</c:v>
                </c:pt>
                <c:pt idx="558">
                  <c:v>5.7959799999999992</c:v>
                </c:pt>
                <c:pt idx="559">
                  <c:v>5.8412100000000002</c:v>
                </c:pt>
                <c:pt idx="560">
                  <c:v>5.9574999999999996</c:v>
                </c:pt>
                <c:pt idx="561">
                  <c:v>6.4316600000000008</c:v>
                </c:pt>
                <c:pt idx="562">
                  <c:v>6.0645000000000007</c:v>
                </c:pt>
                <c:pt idx="563">
                  <c:v>6.2039099999999996</c:v>
                </c:pt>
                <c:pt idx="564">
                  <c:v>6.2946500000000007</c:v>
                </c:pt>
                <c:pt idx="565">
                  <c:v>6.3707899999999995</c:v>
                </c:pt>
                <c:pt idx="566">
                  <c:v>6.5244899999999992</c:v>
                </c:pt>
                <c:pt idx="567">
                  <c:v>7.0014700000000003</c:v>
                </c:pt>
                <c:pt idx="568">
                  <c:v>7.4830300000000003</c:v>
                </c:pt>
                <c:pt idx="569">
                  <c:v>7.3613499999999998</c:v>
                </c:pt>
                <c:pt idx="570">
                  <c:v>6.9453899999999997</c:v>
                </c:pt>
                <c:pt idx="571">
                  <c:v>6.9178200000000007</c:v>
                </c:pt>
                <c:pt idx="572">
                  <c:v>6.8446799999999994</c:v>
                </c:pt>
                <c:pt idx="573">
                  <c:v>6.7123800000000005</c:v>
                </c:pt>
                <c:pt idx="574">
                  <c:v>6.4322400000000002</c:v>
                </c:pt>
                <c:pt idx="575">
                  <c:v>6.0051800000000002</c:v>
                </c:pt>
                <c:pt idx="576">
                  <c:v>6.1883299999999997</c:v>
                </c:pt>
                <c:pt idx="577">
                  <c:v>6.2890599999999992</c:v>
                </c:pt>
                <c:pt idx="578">
                  <c:v>6.1723099999999995</c:v>
                </c:pt>
                <c:pt idx="579">
                  <c:v>6.1587100000000001</c:v>
                </c:pt>
                <c:pt idx="580">
                  <c:v>6.1513300000000006</c:v>
                </c:pt>
                <c:pt idx="581">
                  <c:v>6.1913900000000002</c:v>
                </c:pt>
                <c:pt idx="582">
                  <c:v>6.0320100000000005</c:v>
                </c:pt>
                <c:pt idx="583">
                  <c:v>6.0258199999999995</c:v>
                </c:pt>
                <c:pt idx="584">
                  <c:v>5.7617399999999996</c:v>
                </c:pt>
                <c:pt idx="585">
                  <c:v>5.8148400000000002</c:v>
                </c:pt>
                <c:pt idx="586">
                  <c:v>5.7685500000000003</c:v>
                </c:pt>
                <c:pt idx="587">
                  <c:v>5.7666499999999994</c:v>
                </c:pt>
                <c:pt idx="588">
                  <c:v>5.7497400000000001</c:v>
                </c:pt>
                <c:pt idx="589">
                  <c:v>5.7124899999999998</c:v>
                </c:pt>
                <c:pt idx="590">
                  <c:v>5.8617900000000001</c:v>
                </c:pt>
                <c:pt idx="591">
                  <c:v>5.7964500000000001</c:v>
                </c:pt>
                <c:pt idx="592">
                  <c:v>5.7932600000000001</c:v>
                </c:pt>
                <c:pt idx="593">
                  <c:v>5.7884400000000005</c:v>
                </c:pt>
                <c:pt idx="594">
                  <c:v>5.8310299999999993</c:v>
                </c:pt>
                <c:pt idx="595">
                  <c:v>5.7561499999999999</c:v>
                </c:pt>
                <c:pt idx="596">
                  <c:v>5.6111400000000007</c:v>
                </c:pt>
                <c:pt idx="597">
                  <c:v>5.5833399999999997</c:v>
                </c:pt>
                <c:pt idx="598">
                  <c:v>5.55633</c:v>
                </c:pt>
                <c:pt idx="599">
                  <c:v>5.6103800000000001</c:v>
                </c:pt>
                <c:pt idx="600">
                  <c:v>5.4575100000000001</c:v>
                </c:pt>
                <c:pt idx="601">
                  <c:v>5.3731399999999994</c:v>
                </c:pt>
                <c:pt idx="602">
                  <c:v>5.4366099999999991</c:v>
                </c:pt>
                <c:pt idx="603">
                  <c:v>5.6189099999999996</c:v>
                </c:pt>
                <c:pt idx="604">
                  <c:v>5.6001099999999999</c:v>
                </c:pt>
                <c:pt idx="605">
                  <c:v>5.5943899999999998</c:v>
                </c:pt>
                <c:pt idx="606">
                  <c:v>5.5189500000000002</c:v>
                </c:pt>
                <c:pt idx="607">
                  <c:v>5.5768700000000004</c:v>
                </c:pt>
                <c:pt idx="608">
                  <c:v>5.5768700000000004</c:v>
                </c:pt>
                <c:pt idx="609">
                  <c:v>5.679829999999999</c:v>
                </c:pt>
                <c:pt idx="610">
                  <c:v>5.6224499999999997</c:v>
                </c:pt>
                <c:pt idx="611">
                  <c:v>5.5711599999999999</c:v>
                </c:pt>
                <c:pt idx="612">
                  <c:v>5.7975500000000002</c:v>
                </c:pt>
                <c:pt idx="613">
                  <c:v>6.0653599999999992</c:v>
                </c:pt>
                <c:pt idx="614">
                  <c:v>6.2304100000000009</c:v>
                </c:pt>
                <c:pt idx="615">
                  <c:v>6.1356700000000002</c:v>
                </c:pt>
                <c:pt idx="616">
                  <c:v>6.3549699999999998</c:v>
                </c:pt>
                <c:pt idx="617">
                  <c:v>6.44034</c:v>
                </c:pt>
                <c:pt idx="618">
                  <c:v>6.5771900000000008</c:v>
                </c:pt>
                <c:pt idx="619">
                  <c:v>6.3209400000000002</c:v>
                </c:pt>
                <c:pt idx="620">
                  <c:v>6.3763499999999995</c:v>
                </c:pt>
                <c:pt idx="621">
                  <c:v>6.5899599999999996</c:v>
                </c:pt>
                <c:pt idx="622">
                  <c:v>6.5018200000000004</c:v>
                </c:pt>
                <c:pt idx="623">
                  <c:v>6.2312800000000008</c:v>
                </c:pt>
                <c:pt idx="624">
                  <c:v>6.5469299999999997</c:v>
                </c:pt>
                <c:pt idx="625">
                  <c:v>6.5625499999999999</c:v>
                </c:pt>
                <c:pt idx="626">
                  <c:v>6.4043499999999991</c:v>
                </c:pt>
                <c:pt idx="627">
                  <c:v>6.3425900000000004</c:v>
                </c:pt>
                <c:pt idx="628">
                  <c:v>6.2881100000000005</c:v>
                </c:pt>
                <c:pt idx="629">
                  <c:v>6.2455299999999996</c:v>
                </c:pt>
                <c:pt idx="630">
                  <c:v>6.1899499999999996</c:v>
                </c:pt>
                <c:pt idx="631">
                  <c:v>6.1899499999999996</c:v>
                </c:pt>
                <c:pt idx="632">
                  <c:v>6.1899499999999996</c:v>
                </c:pt>
                <c:pt idx="633">
                  <c:v>6.1505299999999998</c:v>
                </c:pt>
                <c:pt idx="634">
                  <c:v>6.3622299999999994</c:v>
                </c:pt>
                <c:pt idx="635">
                  <c:v>6.84138</c:v>
                </c:pt>
                <c:pt idx="636">
                  <c:v>7.0616099999999991</c:v>
                </c:pt>
                <c:pt idx="637">
                  <c:v>7.3725699999999996</c:v>
                </c:pt>
                <c:pt idx="638">
                  <c:v>7.7608799999999993</c:v>
                </c:pt>
                <c:pt idx="639">
                  <c:v>7.4668200000000002</c:v>
                </c:pt>
                <c:pt idx="640">
                  <c:v>7.1303799999999997</c:v>
                </c:pt>
                <c:pt idx="641">
                  <c:v>7.3495299999999997</c:v>
                </c:pt>
                <c:pt idx="642">
                  <c:v>7.3486000000000002</c:v>
                </c:pt>
                <c:pt idx="643">
                  <c:v>7.2592600000000003</c:v>
                </c:pt>
                <c:pt idx="644">
                  <c:v>7.0767199999999999</c:v>
                </c:pt>
                <c:pt idx="645">
                  <c:v>7.1049199999999999</c:v>
                </c:pt>
                <c:pt idx="646">
                  <c:v>7.0571900000000003</c:v>
                </c:pt>
                <c:pt idx="647">
                  <c:v>6.9247699999999996</c:v>
                </c:pt>
                <c:pt idx="648">
                  <c:v>6.6643699999999999</c:v>
                </c:pt>
                <c:pt idx="649">
                  <c:v>6.97187</c:v>
                </c:pt>
                <c:pt idx="650">
                  <c:v>7.4524099999999995</c:v>
                </c:pt>
                <c:pt idx="651">
                  <c:v>7.8157699999999997</c:v>
                </c:pt>
                <c:pt idx="652">
                  <c:v>7.83596</c:v>
                </c:pt>
                <c:pt idx="653">
                  <c:v>7.8107100000000003</c:v>
                </c:pt>
                <c:pt idx="654">
                  <c:v>7.98956</c:v>
                </c:pt>
                <c:pt idx="655">
                  <c:v>7.9959799999999994</c:v>
                </c:pt>
                <c:pt idx="656">
                  <c:v>7.9854499999999993</c:v>
                </c:pt>
                <c:pt idx="657">
                  <c:v>7.9915899999999995</c:v>
                </c:pt>
                <c:pt idx="658">
                  <c:v>8.2869600000000005</c:v>
                </c:pt>
                <c:pt idx="659">
                  <c:v>8.5839499999999997</c:v>
                </c:pt>
                <c:pt idx="660">
                  <c:v>8.6005699999999994</c:v>
                </c:pt>
                <c:pt idx="661">
                  <c:v>8.69482</c:v>
                </c:pt>
                <c:pt idx="662">
                  <c:v>8.6249500000000001</c:v>
                </c:pt>
                <c:pt idx="663">
                  <c:v>8.2516300000000005</c:v>
                </c:pt>
                <c:pt idx="664">
                  <c:v>8.1339400000000008</c:v>
                </c:pt>
                <c:pt idx="665">
                  <c:v>7.8172699999999997</c:v>
                </c:pt>
                <c:pt idx="666">
                  <c:v>7.8530999999999995</c:v>
                </c:pt>
                <c:pt idx="667">
                  <c:v>8.0628599999999988</c:v>
                </c:pt>
                <c:pt idx="668">
                  <c:v>8.1109299999999998</c:v>
                </c:pt>
                <c:pt idx="669">
                  <c:v>8.4709400000000006</c:v>
                </c:pt>
                <c:pt idx="670">
                  <c:v>8.4943899999999992</c:v>
                </c:pt>
                <c:pt idx="671">
                  <c:v>8.1989599999999996</c:v>
                </c:pt>
                <c:pt idx="672">
                  <c:v>7.9061199999999996</c:v>
                </c:pt>
                <c:pt idx="673">
                  <c:v>7.6036300000000008</c:v>
                </c:pt>
                <c:pt idx="674">
                  <c:v>7.5689099999999998</c:v>
                </c:pt>
                <c:pt idx="675">
                  <c:v>7.3977499999999994</c:v>
                </c:pt>
                <c:pt idx="676">
                  <c:v>7.2286900000000003</c:v>
                </c:pt>
                <c:pt idx="677">
                  <c:v>6.9141300000000001</c:v>
                </c:pt>
                <c:pt idx="678">
                  <c:v>6.7764999999999995</c:v>
                </c:pt>
                <c:pt idx="679">
                  <c:v>6.7126999999999999</c:v>
                </c:pt>
                <c:pt idx="680">
                  <c:v>6.4930300000000001</c:v>
                </c:pt>
                <c:pt idx="681">
                  <c:v>6.2250300000000003</c:v>
                </c:pt>
                <c:pt idx="682">
                  <c:v>6.2035900000000002</c:v>
                </c:pt>
                <c:pt idx="683">
                  <c:v>6.4076300000000002</c:v>
                </c:pt>
                <c:pt idx="684">
                  <c:v>6.6231500000000008</c:v>
                </c:pt>
                <c:pt idx="685">
                  <c:v>6.8158500000000002</c:v>
                </c:pt>
                <c:pt idx="686">
                  <c:v>7.1555399999999993</c:v>
                </c:pt>
                <c:pt idx="687">
                  <c:v>7.3142399999999999</c:v>
                </c:pt>
                <c:pt idx="688">
                  <c:v>7.4082699999999999</c:v>
                </c:pt>
                <c:pt idx="689">
                  <c:v>7.28423</c:v>
                </c:pt>
                <c:pt idx="690">
                  <c:v>6.9455799999999996</c:v>
                </c:pt>
                <c:pt idx="691">
                  <c:v>6.8430200000000001</c:v>
                </c:pt>
                <c:pt idx="692">
                  <c:v>6.8997799999999998</c:v>
                </c:pt>
                <c:pt idx="693">
                  <c:v>6.8997799999999998</c:v>
                </c:pt>
                <c:pt idx="694">
                  <c:v>7.0621900000000002</c:v>
                </c:pt>
                <c:pt idx="695">
                  <c:v>7.1104999999999992</c:v>
                </c:pt>
                <c:pt idx="696">
                  <c:v>7.1511800000000001</c:v>
                </c:pt>
                <c:pt idx="697">
                  <c:v>6.9218899999999994</c:v>
                </c:pt>
                <c:pt idx="698">
                  <c:v>7.0131199999999998</c:v>
                </c:pt>
                <c:pt idx="699">
                  <c:v>6.8579499999999998</c:v>
                </c:pt>
                <c:pt idx="700">
                  <c:v>6.8773800000000005</c:v>
                </c:pt>
                <c:pt idx="701">
                  <c:v>6.7426500000000003</c:v>
                </c:pt>
                <c:pt idx="702">
                  <c:v>6.4657299999999998</c:v>
                </c:pt>
                <c:pt idx="703">
                  <c:v>6.3050699999999997</c:v>
                </c:pt>
                <c:pt idx="704">
                  <c:v>6.4019200000000005</c:v>
                </c:pt>
                <c:pt idx="705">
                  <c:v>6.5858600000000003</c:v>
                </c:pt>
                <c:pt idx="706">
                  <c:v>6.6842800000000002</c:v>
                </c:pt>
                <c:pt idx="707">
                  <c:v>6.8305199999999999</c:v>
                </c:pt>
                <c:pt idx="708">
                  <c:v>6.8305199999999999</c:v>
                </c:pt>
                <c:pt idx="709">
                  <c:v>6.8192399999999997</c:v>
                </c:pt>
                <c:pt idx="710">
                  <c:v>6.7431500000000009</c:v>
                </c:pt>
                <c:pt idx="711">
                  <c:v>6.74139</c:v>
                </c:pt>
                <c:pt idx="712">
                  <c:v>6.80213</c:v>
                </c:pt>
                <c:pt idx="713">
                  <c:v>6.91432</c:v>
                </c:pt>
                <c:pt idx="714">
                  <c:v>6.78756</c:v>
                </c:pt>
                <c:pt idx="715">
                  <c:v>7.0063699999999995</c:v>
                </c:pt>
                <c:pt idx="716">
                  <c:v>7.0076400000000003</c:v>
                </c:pt>
                <c:pt idx="717">
                  <c:v>6.8658999999999999</c:v>
                </c:pt>
                <c:pt idx="718">
                  <c:v>6.8908699999999996</c:v>
                </c:pt>
                <c:pt idx="719">
                  <c:v>6.6931399999999996</c:v>
                </c:pt>
                <c:pt idx="720">
                  <c:v>6.7145000000000001</c:v>
                </c:pt>
                <c:pt idx="721">
                  <c:v>6.7105899999999998</c:v>
                </c:pt>
                <c:pt idx="722">
                  <c:v>6.7739399999999996</c:v>
                </c:pt>
                <c:pt idx="723">
                  <c:v>6.7861800000000008</c:v>
                </c:pt>
                <c:pt idx="724">
                  <c:v>6.7715099999999993</c:v>
                </c:pt>
                <c:pt idx="725">
                  <c:v>6.6733099999999999</c:v>
                </c:pt>
                <c:pt idx="726">
                  <c:v>6.7544700000000004</c:v>
                </c:pt>
                <c:pt idx="727">
                  <c:v>6.6219500000000009</c:v>
                </c:pt>
                <c:pt idx="728">
                  <c:v>6.5741499999999995</c:v>
                </c:pt>
                <c:pt idx="729">
                  <c:v>6.4000500000000002</c:v>
                </c:pt>
                <c:pt idx="730">
                  <c:v>6.3696099999999998</c:v>
                </c:pt>
                <c:pt idx="731">
                  <c:v>6.3592499999999994</c:v>
                </c:pt>
                <c:pt idx="732">
                  <c:v>6.3763199999999998</c:v>
                </c:pt>
                <c:pt idx="733">
                  <c:v>6.1883699999999999</c:v>
                </c:pt>
                <c:pt idx="734">
                  <c:v>6.0242999999999993</c:v>
                </c:pt>
                <c:pt idx="735">
                  <c:v>5.86599</c:v>
                </c:pt>
                <c:pt idx="736">
                  <c:v>5.8539399999999997</c:v>
                </c:pt>
                <c:pt idx="737">
                  <c:v>5.8258799999999997</c:v>
                </c:pt>
                <c:pt idx="738">
                  <c:v>5.8091800000000005</c:v>
                </c:pt>
                <c:pt idx="739">
                  <c:v>5.6555100000000005</c:v>
                </c:pt>
                <c:pt idx="740">
                  <c:v>5.5826700000000002</c:v>
                </c:pt>
                <c:pt idx="741">
                  <c:v>5.5767899999999999</c:v>
                </c:pt>
                <c:pt idx="742">
                  <c:v>5.3464200000000002</c:v>
                </c:pt>
                <c:pt idx="743">
                  <c:v>5.1836699999999993</c:v>
                </c:pt>
                <c:pt idx="744">
                  <c:v>5.1429100000000005</c:v>
                </c:pt>
                <c:pt idx="745">
                  <c:v>5.1239999999999997</c:v>
                </c:pt>
                <c:pt idx="746">
                  <c:v>4.9904500000000001</c:v>
                </c:pt>
                <c:pt idx="747">
                  <c:v>4.9219499999999998</c:v>
                </c:pt>
                <c:pt idx="748">
                  <c:v>4.9708499999999995</c:v>
                </c:pt>
                <c:pt idx="749">
                  <c:v>4.9696300000000004</c:v>
                </c:pt>
                <c:pt idx="750">
                  <c:v>5.0869900000000001</c:v>
                </c:pt>
                <c:pt idx="751">
                  <c:v>5.2729200000000001</c:v>
                </c:pt>
                <c:pt idx="752">
                  <c:v>5.2383699999999997</c:v>
                </c:pt>
                <c:pt idx="753">
                  <c:v>5.2673900000000007</c:v>
                </c:pt>
                <c:pt idx="754">
                  <c:v>5.1488899999999997</c:v>
                </c:pt>
                <c:pt idx="755">
                  <c:v>5.0342700000000002</c:v>
                </c:pt>
                <c:pt idx="756">
                  <c:v>4.8703199999999995</c:v>
                </c:pt>
                <c:pt idx="757">
                  <c:v>4.8296600000000005</c:v>
                </c:pt>
                <c:pt idx="758">
                  <c:v>4.8217699999999999</c:v>
                </c:pt>
                <c:pt idx="759">
                  <c:v>4.7740499999999999</c:v>
                </c:pt>
                <c:pt idx="760">
                  <c:v>4.6712799999999994</c:v>
                </c:pt>
                <c:pt idx="761">
                  <c:v>4.6890800000000006</c:v>
                </c:pt>
                <c:pt idx="762">
                  <c:v>4.64832</c:v>
                </c:pt>
                <c:pt idx="763">
                  <c:v>4.61747</c:v>
                </c:pt>
                <c:pt idx="764">
                  <c:v>4.7302200000000001</c:v>
                </c:pt>
                <c:pt idx="765">
                  <c:v>4.8629800000000003</c:v>
                </c:pt>
                <c:pt idx="766">
                  <c:v>4.7658100000000001</c:v>
                </c:pt>
                <c:pt idx="767">
                  <c:v>4.6260300000000001</c:v>
                </c:pt>
                <c:pt idx="768">
                  <c:v>4.6038999999999994</c:v>
                </c:pt>
                <c:pt idx="769">
                  <c:v>4.5141799999999996</c:v>
                </c:pt>
                <c:pt idx="770">
                  <c:v>4.5774799999999995</c:v>
                </c:pt>
                <c:pt idx="771">
                  <c:v>4.6426799999999995</c:v>
                </c:pt>
                <c:pt idx="772">
                  <c:v>4.7008700000000001</c:v>
                </c:pt>
                <c:pt idx="773">
                  <c:v>4.6193799999999996</c:v>
                </c:pt>
                <c:pt idx="774">
                  <c:v>4.5785200000000001</c:v>
                </c:pt>
                <c:pt idx="775">
                  <c:v>4.4939800000000005</c:v>
                </c:pt>
                <c:pt idx="776">
                  <c:v>4.5051499999999995</c:v>
                </c:pt>
                <c:pt idx="777">
                  <c:v>4.44733</c:v>
                </c:pt>
                <c:pt idx="778">
                  <c:v>4.4343599999999999</c:v>
                </c:pt>
                <c:pt idx="779">
                  <c:v>4.4343599999999999</c:v>
                </c:pt>
                <c:pt idx="780">
                  <c:v>4.3283199999999997</c:v>
                </c:pt>
                <c:pt idx="781">
                  <c:v>4.4160700000000004</c:v>
                </c:pt>
                <c:pt idx="782">
                  <c:v>4.3402399999999997</c:v>
                </c:pt>
                <c:pt idx="783">
                  <c:v>4.34138</c:v>
                </c:pt>
                <c:pt idx="784">
                  <c:v>4.3686100000000003</c:v>
                </c:pt>
                <c:pt idx="785">
                  <c:v>4.4162299999999997</c:v>
                </c:pt>
                <c:pt idx="786">
                  <c:v>4.5279600000000002</c:v>
                </c:pt>
                <c:pt idx="787">
                  <c:v>4.6412500000000003</c:v>
                </c:pt>
                <c:pt idx="788">
                  <c:v>4.6083400000000001</c:v>
                </c:pt>
                <c:pt idx="789">
                  <c:v>4.7285300000000001</c:v>
                </c:pt>
                <c:pt idx="790">
                  <c:v>4.7670399999999997</c:v>
                </c:pt>
                <c:pt idx="791">
                  <c:v>4.8669400000000005</c:v>
                </c:pt>
                <c:pt idx="792">
                  <c:v>4.9022800000000002</c:v>
                </c:pt>
                <c:pt idx="793">
                  <c:v>4.9191899999999995</c:v>
                </c:pt>
                <c:pt idx="794">
                  <c:v>4.9322400000000002</c:v>
                </c:pt>
                <c:pt idx="795">
                  <c:v>4.9313500000000001</c:v>
                </c:pt>
                <c:pt idx="796">
                  <c:v>5.0467200000000005</c:v>
                </c:pt>
                <c:pt idx="797">
                  <c:v>5.0191800000000004</c:v>
                </c:pt>
                <c:pt idx="798">
                  <c:v>4.8993500000000001</c:v>
                </c:pt>
                <c:pt idx="799">
                  <c:v>4.9387599999999994</c:v>
                </c:pt>
                <c:pt idx="800">
                  <c:v>4.9502600000000001</c:v>
                </c:pt>
                <c:pt idx="801">
                  <c:v>4.9316300000000002</c:v>
                </c:pt>
                <c:pt idx="802">
                  <c:v>4.9095899999999997</c:v>
                </c:pt>
                <c:pt idx="803">
                  <c:v>4.9226100000000006</c:v>
                </c:pt>
                <c:pt idx="804">
                  <c:v>4.9154299999999997</c:v>
                </c:pt>
                <c:pt idx="805">
                  <c:v>4.8082099999999999</c:v>
                </c:pt>
                <c:pt idx="806">
                  <c:v>4.6661599999999996</c:v>
                </c:pt>
                <c:pt idx="807">
                  <c:v>4.73902</c:v>
                </c:pt>
                <c:pt idx="808">
                  <c:v>4.9190100000000001</c:v>
                </c:pt>
                <c:pt idx="809">
                  <c:v>4.9136600000000001</c:v>
                </c:pt>
                <c:pt idx="810">
                  <c:v>4.9229899999999995</c:v>
                </c:pt>
                <c:pt idx="811">
                  <c:v>4.9592499999999999</c:v>
                </c:pt>
                <c:pt idx="812">
                  <c:v>4.9316199999999997</c:v>
                </c:pt>
                <c:pt idx="813">
                  <c:v>5.0839699999999999</c:v>
                </c:pt>
                <c:pt idx="814">
                  <c:v>5.0228399999999995</c:v>
                </c:pt>
                <c:pt idx="815">
                  <c:v>5.0836300000000003</c:v>
                </c:pt>
                <c:pt idx="816">
                  <c:v>5.0743900000000002</c:v>
                </c:pt>
                <c:pt idx="817">
                  <c:v>5.1742299999999997</c:v>
                </c:pt>
                <c:pt idx="818">
                  <c:v>5.1554200000000003</c:v>
                </c:pt>
                <c:pt idx="819">
                  <c:v>5.240359999999999</c:v>
                </c:pt>
                <c:pt idx="820">
                  <c:v>5.1901599999999997</c:v>
                </c:pt>
                <c:pt idx="821">
                  <c:v>5.0558399999999999</c:v>
                </c:pt>
                <c:pt idx="822">
                  <c:v>5.1478099999999998</c:v>
                </c:pt>
                <c:pt idx="823">
                  <c:v>5.0587799999999996</c:v>
                </c:pt>
                <c:pt idx="824">
                  <c:v>4.9745699999999999</c:v>
                </c:pt>
                <c:pt idx="825">
                  <c:v>4.8492700000000006</c:v>
                </c:pt>
                <c:pt idx="826">
                  <c:v>4.8488699999999998</c:v>
                </c:pt>
                <c:pt idx="827">
                  <c:v>4.9432499999999999</c:v>
                </c:pt>
                <c:pt idx="828">
                  <c:v>4.7417800000000003</c:v>
                </c:pt>
                <c:pt idx="829">
                  <c:v>4.6723600000000003</c:v>
                </c:pt>
                <c:pt idx="830">
                  <c:v>4.7790699999999999</c:v>
                </c:pt>
                <c:pt idx="831">
                  <c:v>4.7768100000000002</c:v>
                </c:pt>
                <c:pt idx="832">
                  <c:v>4.9309399999999997</c:v>
                </c:pt>
                <c:pt idx="833">
                  <c:v>5.0657999999999994</c:v>
                </c:pt>
                <c:pt idx="834">
                  <c:v>4.8892600000000002</c:v>
                </c:pt>
                <c:pt idx="835">
                  <c:v>5.1702300000000001</c:v>
                </c:pt>
                <c:pt idx="836">
                  <c:v>4.7549099999999997</c:v>
                </c:pt>
                <c:pt idx="837">
                  <c:v>4.8795099999999998</c:v>
                </c:pt>
                <c:pt idx="838">
                  <c:v>4.8536200000000003</c:v>
                </c:pt>
                <c:pt idx="839">
                  <c:v>4.6682499999999996</c:v>
                </c:pt>
                <c:pt idx="840">
                  <c:v>4.7527400000000002</c:v>
                </c:pt>
                <c:pt idx="841">
                  <c:v>4.6687900000000004</c:v>
                </c:pt>
                <c:pt idx="842">
                  <c:v>4.7345199999999998</c:v>
                </c:pt>
                <c:pt idx="843">
                  <c:v>4.6369799999999994</c:v>
                </c:pt>
                <c:pt idx="844">
                  <c:v>4.6557899999999997</c:v>
                </c:pt>
                <c:pt idx="845">
                  <c:v>4.6421700000000001</c:v>
                </c:pt>
                <c:pt idx="846">
                  <c:v>4.6837299999999997</c:v>
                </c:pt>
                <c:pt idx="847">
                  <c:v>4.7518099999999999</c:v>
                </c:pt>
                <c:pt idx="848">
                  <c:v>4.8451199999999996</c:v>
                </c:pt>
                <c:pt idx="849">
                  <c:v>4.9318799999999996</c:v>
                </c:pt>
                <c:pt idx="850">
                  <c:v>5.1472799999999994</c:v>
                </c:pt>
                <c:pt idx="851">
                  <c:v>5.1660299999999992</c:v>
                </c:pt>
                <c:pt idx="852">
                  <c:v>5.0645699999999998</c:v>
                </c:pt>
                <c:pt idx="853">
                  <c:v>5.0346099999999998</c:v>
                </c:pt>
                <c:pt idx="854">
                  <c:v>5.0100799999999994</c:v>
                </c:pt>
                <c:pt idx="855">
                  <c:v>4.9969799999999998</c:v>
                </c:pt>
                <c:pt idx="856">
                  <c:v>4.9272600000000004</c:v>
                </c:pt>
                <c:pt idx="857">
                  <c:v>4.8293999999999997</c:v>
                </c:pt>
                <c:pt idx="858">
                  <c:v>4.8415699999999999</c:v>
                </c:pt>
                <c:pt idx="859">
                  <c:v>4.9311699999999998</c:v>
                </c:pt>
                <c:pt idx="860">
                  <c:v>5.0012999999999996</c:v>
                </c:pt>
                <c:pt idx="861">
                  <c:v>5.1650900000000002</c:v>
                </c:pt>
                <c:pt idx="862">
                  <c:v>5.1609500000000006</c:v>
                </c:pt>
                <c:pt idx="863">
                  <c:v>5.3325899999999997</c:v>
                </c:pt>
                <c:pt idx="864">
                  <c:v>5.2657899999999991</c:v>
                </c:pt>
                <c:pt idx="865">
                  <c:v>5.17645</c:v>
                </c:pt>
                <c:pt idx="866">
                  <c:v>4.96617</c:v>
                </c:pt>
                <c:pt idx="867">
                  <c:v>4.98881</c:v>
                </c:pt>
                <c:pt idx="868">
                  <c:v>4.8528500000000001</c:v>
                </c:pt>
                <c:pt idx="869">
                  <c:v>5.0928500000000003</c:v>
                </c:pt>
                <c:pt idx="870">
                  <c:v>5.0889800000000003</c:v>
                </c:pt>
                <c:pt idx="871">
                  <c:v>5.1179899999999998</c:v>
                </c:pt>
                <c:pt idx="872">
                  <c:v>5.0724599999999995</c:v>
                </c:pt>
                <c:pt idx="873">
                  <c:v>5.0388900000000003</c:v>
                </c:pt>
                <c:pt idx="874">
                  <c:v>5.0436200000000007</c:v>
                </c:pt>
                <c:pt idx="875">
                  <c:v>4.8762099999999995</c:v>
                </c:pt>
                <c:pt idx="876">
                  <c:v>4.5098799999999999</c:v>
                </c:pt>
                <c:pt idx="877">
                  <c:v>4.5070299999999994</c:v>
                </c:pt>
                <c:pt idx="878">
                  <c:v>5.7197900000000006</c:v>
                </c:pt>
                <c:pt idx="879">
                  <c:v>5.9948600000000001</c:v>
                </c:pt>
                <c:pt idx="880">
                  <c:v>6.5544700000000002</c:v>
                </c:pt>
                <c:pt idx="881">
                  <c:v>6.4838300000000002</c:v>
                </c:pt>
                <c:pt idx="882">
                  <c:v>6.3480999999999996</c:v>
                </c:pt>
                <c:pt idx="883">
                  <c:v>6.6617899999999999</c:v>
                </c:pt>
                <c:pt idx="884">
                  <c:v>6.5844100000000001</c:v>
                </c:pt>
                <c:pt idx="885">
                  <c:v>6.3504100000000001</c:v>
                </c:pt>
                <c:pt idx="886">
                  <c:v>6.4441899999999999</c:v>
                </c:pt>
                <c:pt idx="887">
                  <c:v>6.3026</c:v>
                </c:pt>
                <c:pt idx="888">
                  <c:v>6.31785</c:v>
                </c:pt>
                <c:pt idx="889">
                  <c:v>5.9742199999999999</c:v>
                </c:pt>
                <c:pt idx="890">
                  <c:v>5.8651900000000001</c:v>
                </c:pt>
                <c:pt idx="891">
                  <c:v>5.8389200000000008</c:v>
                </c:pt>
                <c:pt idx="892">
                  <c:v>5.5412400000000002</c:v>
                </c:pt>
                <c:pt idx="893">
                  <c:v>5.0609000000000002</c:v>
                </c:pt>
                <c:pt idx="894">
                  <c:v>5.06663</c:v>
                </c:pt>
                <c:pt idx="895">
                  <c:v>5.0082199999999997</c:v>
                </c:pt>
                <c:pt idx="896">
                  <c:v>5.3350499999999998</c:v>
                </c:pt>
                <c:pt idx="897">
                  <c:v>5.1882299999999999</c:v>
                </c:pt>
                <c:pt idx="898">
                  <c:v>5.1882299999999999</c:v>
                </c:pt>
                <c:pt idx="899">
                  <c:v>5.0034400000000003</c:v>
                </c:pt>
                <c:pt idx="900">
                  <c:v>4.9138700000000002</c:v>
                </c:pt>
                <c:pt idx="901">
                  <c:v>4.9576400000000005</c:v>
                </c:pt>
                <c:pt idx="902">
                  <c:v>4.9655000000000005</c:v>
                </c:pt>
                <c:pt idx="903">
                  <c:v>5.0763600000000002</c:v>
                </c:pt>
                <c:pt idx="904">
                  <c:v>5.2002999999999995</c:v>
                </c:pt>
                <c:pt idx="905">
                  <c:v>5.07944</c:v>
                </c:pt>
                <c:pt idx="906">
                  <c:v>5.2059799999999994</c:v>
                </c:pt>
                <c:pt idx="907">
                  <c:v>5.2164599999999997</c:v>
                </c:pt>
                <c:pt idx="908">
                  <c:v>5.19855</c:v>
                </c:pt>
                <c:pt idx="909">
                  <c:v>5.0622500000000006</c:v>
                </c:pt>
                <c:pt idx="910">
                  <c:v>5.0788900000000003</c:v>
                </c:pt>
                <c:pt idx="911">
                  <c:v>5.0119499999999997</c:v>
                </c:pt>
                <c:pt idx="912">
                  <c:v>5.0239900000000004</c:v>
                </c:pt>
                <c:pt idx="913">
                  <c:v>5.0410700000000004</c:v>
                </c:pt>
                <c:pt idx="914">
                  <c:v>5.0173500000000004</c:v>
                </c:pt>
                <c:pt idx="915">
                  <c:v>5.0475000000000003</c:v>
                </c:pt>
                <c:pt idx="916">
                  <c:v>5.0967799999999999</c:v>
                </c:pt>
                <c:pt idx="917">
                  <c:v>5.0125599999999997</c:v>
                </c:pt>
                <c:pt idx="918">
                  <c:v>4.9720300000000002</c:v>
                </c:pt>
                <c:pt idx="919">
                  <c:v>4.7515600000000004</c:v>
                </c:pt>
                <c:pt idx="920">
                  <c:v>4.6324399999999999</c:v>
                </c:pt>
                <c:pt idx="921">
                  <c:v>4.6472199999999999</c:v>
                </c:pt>
                <c:pt idx="922">
                  <c:v>4.62819</c:v>
                </c:pt>
                <c:pt idx="923">
                  <c:v>4.5595999999999997</c:v>
                </c:pt>
                <c:pt idx="924">
                  <c:v>4.56013</c:v>
                </c:pt>
                <c:pt idx="925">
                  <c:v>4.5926299999999998</c:v>
                </c:pt>
                <c:pt idx="926">
                  <c:v>4.4327800000000002</c:v>
                </c:pt>
                <c:pt idx="927">
                  <c:v>4.44116</c:v>
                </c:pt>
                <c:pt idx="928">
                  <c:v>4.4441500000000005</c:v>
                </c:pt>
                <c:pt idx="929">
                  <c:v>4.4344600000000005</c:v>
                </c:pt>
                <c:pt idx="930">
                  <c:v>4.4375</c:v>
                </c:pt>
                <c:pt idx="931">
                  <c:v>4.27325</c:v>
                </c:pt>
                <c:pt idx="932">
                  <c:v>4.0265599999999999</c:v>
                </c:pt>
                <c:pt idx="933">
                  <c:v>3.9648399999999997</c:v>
                </c:pt>
                <c:pt idx="934">
                  <c:v>4.1016899999999996</c:v>
                </c:pt>
                <c:pt idx="935">
                  <c:v>4.1904399999999997</c:v>
                </c:pt>
                <c:pt idx="936">
                  <c:v>4.0540399999999996</c:v>
                </c:pt>
                <c:pt idx="937">
                  <c:v>4.0181900000000006</c:v>
                </c:pt>
                <c:pt idx="938">
                  <c:v>4.0381599999999995</c:v>
                </c:pt>
                <c:pt idx="939">
                  <c:v>4.1089900000000004</c:v>
                </c:pt>
                <c:pt idx="940">
                  <c:v>4.1274100000000002</c:v>
                </c:pt>
                <c:pt idx="941">
                  <c:v>4.0059199999999997</c:v>
                </c:pt>
                <c:pt idx="942">
                  <c:v>3.9449400000000003</c:v>
                </c:pt>
                <c:pt idx="943">
                  <c:v>4.0773399999999995</c:v>
                </c:pt>
                <c:pt idx="944">
                  <c:v>4.18283</c:v>
                </c:pt>
                <c:pt idx="945">
                  <c:v>4.1227600000000004</c:v>
                </c:pt>
                <c:pt idx="946">
                  <c:v>4.1124599999999996</c:v>
                </c:pt>
                <c:pt idx="947">
                  <c:v>4.2129799999999999</c:v>
                </c:pt>
                <c:pt idx="948">
                  <c:v>4.1316500000000005</c:v>
                </c:pt>
                <c:pt idx="949">
                  <c:v>4.1438699999999997</c:v>
                </c:pt>
                <c:pt idx="950">
                  <c:v>4.1356000000000002</c:v>
                </c:pt>
                <c:pt idx="951">
                  <c:v>3.9399400000000004</c:v>
                </c:pt>
                <c:pt idx="952">
                  <c:v>3.9151299999999996</c:v>
                </c:pt>
                <c:pt idx="953">
                  <c:v>3.9151299999999996</c:v>
                </c:pt>
                <c:pt idx="954">
                  <c:v>3.9365899999999998</c:v>
                </c:pt>
                <c:pt idx="955">
                  <c:v>3.9148499999999999</c:v>
                </c:pt>
                <c:pt idx="956">
                  <c:v>4.07294</c:v>
                </c:pt>
                <c:pt idx="957">
                  <c:v>3.9984300000000004</c:v>
                </c:pt>
                <c:pt idx="958">
                  <c:v>3.9833100000000004</c:v>
                </c:pt>
                <c:pt idx="959">
                  <c:v>3.9806400000000002</c:v>
                </c:pt>
                <c:pt idx="960">
                  <c:v>4.0018000000000002</c:v>
                </c:pt>
                <c:pt idx="961">
                  <c:v>4.0408300000000006</c:v>
                </c:pt>
                <c:pt idx="962">
                  <c:v>3.9702300000000004</c:v>
                </c:pt>
                <c:pt idx="963">
                  <c:v>3.9457600000000004</c:v>
                </c:pt>
              </c:numCache>
            </c:numRef>
          </c:val>
          <c:smooth val="0"/>
          <c:extLst>
            <c:ext xmlns:c16="http://schemas.microsoft.com/office/drawing/2014/chart" uri="{C3380CC4-5D6E-409C-BE32-E72D297353CC}">
              <c16:uniqueId val="{00000004-EBC4-4222-8B88-73469225685A}"/>
            </c:ext>
          </c:extLst>
        </c:ser>
        <c:dLbls>
          <c:showLegendKey val="0"/>
          <c:showVal val="0"/>
          <c:showCatName val="0"/>
          <c:showSerName val="0"/>
          <c:showPercent val="0"/>
          <c:showBubbleSize val="0"/>
        </c:dLbls>
        <c:marker val="1"/>
        <c:smooth val="0"/>
        <c:axId val="1701942304"/>
        <c:axId val="1701948288"/>
      </c:lineChart>
      <c:lineChart>
        <c:grouping val="standard"/>
        <c:varyColors val="0"/>
        <c:ser>
          <c:idx val="9"/>
          <c:order val="9"/>
          <c:tx>
            <c:strRef>
              <c:f>Sheet1!$K$1</c:f>
              <c:strCache>
                <c:ptCount val="1"/>
                <c:pt idx="0">
                  <c:v>Թուրքիա (2025թ.)</c:v>
                </c:pt>
              </c:strCache>
            </c:strRef>
          </c:tx>
          <c:spPr>
            <a:ln w="28575" cap="rnd">
              <a:solidFill>
                <a:schemeClr val="accent4">
                  <a:lumMod val="60000"/>
                </a:schemeClr>
              </a:solidFill>
              <a:round/>
            </a:ln>
            <a:effectLst/>
          </c:spPr>
          <c:marker>
            <c:symbol val="none"/>
          </c:marker>
          <c:cat>
            <c:numRef>
              <c:f>Sheet1!$A$2:$A$1226</c:f>
              <c:numCache>
                <c:formatCode>m\/d\/yyyy</c:formatCode>
                <c:ptCount val="964"/>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pt idx="708">
                  <c:v>44823</c:v>
                </c:pt>
                <c:pt idx="709">
                  <c:v>44824</c:v>
                </c:pt>
                <c:pt idx="710">
                  <c:v>44825</c:v>
                </c:pt>
                <c:pt idx="711">
                  <c:v>44826</c:v>
                </c:pt>
                <c:pt idx="712">
                  <c:v>44827</c:v>
                </c:pt>
                <c:pt idx="713">
                  <c:v>44830</c:v>
                </c:pt>
                <c:pt idx="714">
                  <c:v>44831</c:v>
                </c:pt>
                <c:pt idx="715">
                  <c:v>44832</c:v>
                </c:pt>
                <c:pt idx="716">
                  <c:v>44833</c:v>
                </c:pt>
                <c:pt idx="717">
                  <c:v>44834</c:v>
                </c:pt>
                <c:pt idx="718">
                  <c:v>44837</c:v>
                </c:pt>
                <c:pt idx="719">
                  <c:v>44838</c:v>
                </c:pt>
                <c:pt idx="720">
                  <c:v>44839</c:v>
                </c:pt>
                <c:pt idx="721">
                  <c:v>44840</c:v>
                </c:pt>
                <c:pt idx="722">
                  <c:v>44841</c:v>
                </c:pt>
                <c:pt idx="723">
                  <c:v>44844</c:v>
                </c:pt>
                <c:pt idx="724">
                  <c:v>44845</c:v>
                </c:pt>
                <c:pt idx="725">
                  <c:v>44846</c:v>
                </c:pt>
                <c:pt idx="726">
                  <c:v>44847</c:v>
                </c:pt>
                <c:pt idx="727">
                  <c:v>44848</c:v>
                </c:pt>
                <c:pt idx="728">
                  <c:v>44851</c:v>
                </c:pt>
                <c:pt idx="729">
                  <c:v>44852</c:v>
                </c:pt>
                <c:pt idx="730">
                  <c:v>44853</c:v>
                </c:pt>
                <c:pt idx="731">
                  <c:v>44854</c:v>
                </c:pt>
                <c:pt idx="732">
                  <c:v>44855</c:v>
                </c:pt>
                <c:pt idx="733">
                  <c:v>44858</c:v>
                </c:pt>
                <c:pt idx="734">
                  <c:v>44859</c:v>
                </c:pt>
                <c:pt idx="735">
                  <c:v>44860</c:v>
                </c:pt>
                <c:pt idx="736">
                  <c:v>44861</c:v>
                </c:pt>
                <c:pt idx="737">
                  <c:v>44862</c:v>
                </c:pt>
                <c:pt idx="738">
                  <c:v>44865</c:v>
                </c:pt>
                <c:pt idx="739">
                  <c:v>44866</c:v>
                </c:pt>
                <c:pt idx="740">
                  <c:v>44867</c:v>
                </c:pt>
                <c:pt idx="741">
                  <c:v>44868</c:v>
                </c:pt>
                <c:pt idx="742">
                  <c:v>44869</c:v>
                </c:pt>
                <c:pt idx="743">
                  <c:v>44872</c:v>
                </c:pt>
                <c:pt idx="744">
                  <c:v>44873</c:v>
                </c:pt>
                <c:pt idx="745">
                  <c:v>44874</c:v>
                </c:pt>
                <c:pt idx="746">
                  <c:v>44875</c:v>
                </c:pt>
                <c:pt idx="747">
                  <c:v>44876</c:v>
                </c:pt>
                <c:pt idx="748">
                  <c:v>44879</c:v>
                </c:pt>
                <c:pt idx="749">
                  <c:v>44880</c:v>
                </c:pt>
                <c:pt idx="750">
                  <c:v>44881</c:v>
                </c:pt>
                <c:pt idx="751">
                  <c:v>44882</c:v>
                </c:pt>
                <c:pt idx="752">
                  <c:v>44883</c:v>
                </c:pt>
                <c:pt idx="753">
                  <c:v>44886</c:v>
                </c:pt>
                <c:pt idx="754">
                  <c:v>44887</c:v>
                </c:pt>
                <c:pt idx="755">
                  <c:v>44888</c:v>
                </c:pt>
                <c:pt idx="756">
                  <c:v>44889</c:v>
                </c:pt>
                <c:pt idx="757">
                  <c:v>44890</c:v>
                </c:pt>
                <c:pt idx="758">
                  <c:v>44893</c:v>
                </c:pt>
                <c:pt idx="759">
                  <c:v>44894</c:v>
                </c:pt>
                <c:pt idx="760">
                  <c:v>44895</c:v>
                </c:pt>
                <c:pt idx="761">
                  <c:v>44896</c:v>
                </c:pt>
                <c:pt idx="762">
                  <c:v>44897</c:v>
                </c:pt>
                <c:pt idx="763">
                  <c:v>44900</c:v>
                </c:pt>
                <c:pt idx="764">
                  <c:v>44901</c:v>
                </c:pt>
                <c:pt idx="765">
                  <c:v>44902</c:v>
                </c:pt>
                <c:pt idx="766">
                  <c:v>44903</c:v>
                </c:pt>
                <c:pt idx="767">
                  <c:v>44904</c:v>
                </c:pt>
                <c:pt idx="768">
                  <c:v>44907</c:v>
                </c:pt>
                <c:pt idx="769">
                  <c:v>44908</c:v>
                </c:pt>
                <c:pt idx="770">
                  <c:v>44909</c:v>
                </c:pt>
                <c:pt idx="771">
                  <c:v>44910</c:v>
                </c:pt>
                <c:pt idx="772">
                  <c:v>44911</c:v>
                </c:pt>
                <c:pt idx="773">
                  <c:v>44914</c:v>
                </c:pt>
                <c:pt idx="774">
                  <c:v>44915</c:v>
                </c:pt>
                <c:pt idx="775">
                  <c:v>44916</c:v>
                </c:pt>
                <c:pt idx="776">
                  <c:v>44917</c:v>
                </c:pt>
                <c:pt idx="777">
                  <c:v>44918</c:v>
                </c:pt>
                <c:pt idx="778">
                  <c:v>44921</c:v>
                </c:pt>
                <c:pt idx="779">
                  <c:v>44922</c:v>
                </c:pt>
                <c:pt idx="780">
                  <c:v>44923</c:v>
                </c:pt>
                <c:pt idx="781">
                  <c:v>44924</c:v>
                </c:pt>
                <c:pt idx="782">
                  <c:v>44925</c:v>
                </c:pt>
                <c:pt idx="783">
                  <c:v>44928</c:v>
                </c:pt>
                <c:pt idx="784">
                  <c:v>44929</c:v>
                </c:pt>
                <c:pt idx="785">
                  <c:v>44930</c:v>
                </c:pt>
                <c:pt idx="786">
                  <c:v>44931</c:v>
                </c:pt>
                <c:pt idx="787">
                  <c:v>44932</c:v>
                </c:pt>
                <c:pt idx="788">
                  <c:v>44935</c:v>
                </c:pt>
                <c:pt idx="789">
                  <c:v>44936</c:v>
                </c:pt>
                <c:pt idx="790">
                  <c:v>44937</c:v>
                </c:pt>
                <c:pt idx="791">
                  <c:v>44938</c:v>
                </c:pt>
                <c:pt idx="792">
                  <c:v>44939</c:v>
                </c:pt>
                <c:pt idx="793">
                  <c:v>44942</c:v>
                </c:pt>
                <c:pt idx="794">
                  <c:v>44943</c:v>
                </c:pt>
                <c:pt idx="795">
                  <c:v>44944</c:v>
                </c:pt>
                <c:pt idx="796">
                  <c:v>44945</c:v>
                </c:pt>
                <c:pt idx="797">
                  <c:v>44946</c:v>
                </c:pt>
                <c:pt idx="798">
                  <c:v>44949</c:v>
                </c:pt>
                <c:pt idx="799">
                  <c:v>44950</c:v>
                </c:pt>
                <c:pt idx="800">
                  <c:v>44951</c:v>
                </c:pt>
                <c:pt idx="801">
                  <c:v>44952</c:v>
                </c:pt>
                <c:pt idx="802">
                  <c:v>44953</c:v>
                </c:pt>
                <c:pt idx="803">
                  <c:v>44956</c:v>
                </c:pt>
                <c:pt idx="804">
                  <c:v>44957</c:v>
                </c:pt>
                <c:pt idx="805">
                  <c:v>44958</c:v>
                </c:pt>
                <c:pt idx="806">
                  <c:v>44959</c:v>
                </c:pt>
                <c:pt idx="807">
                  <c:v>44960</c:v>
                </c:pt>
                <c:pt idx="808">
                  <c:v>44963</c:v>
                </c:pt>
                <c:pt idx="809">
                  <c:v>44964</c:v>
                </c:pt>
                <c:pt idx="810">
                  <c:v>44965</c:v>
                </c:pt>
                <c:pt idx="811">
                  <c:v>44966</c:v>
                </c:pt>
                <c:pt idx="812">
                  <c:v>44967</c:v>
                </c:pt>
                <c:pt idx="813">
                  <c:v>44970</c:v>
                </c:pt>
                <c:pt idx="814">
                  <c:v>44971</c:v>
                </c:pt>
                <c:pt idx="815">
                  <c:v>44972</c:v>
                </c:pt>
                <c:pt idx="816">
                  <c:v>44973</c:v>
                </c:pt>
                <c:pt idx="817">
                  <c:v>44974</c:v>
                </c:pt>
                <c:pt idx="818">
                  <c:v>44977</c:v>
                </c:pt>
                <c:pt idx="819">
                  <c:v>44978</c:v>
                </c:pt>
                <c:pt idx="820">
                  <c:v>44979</c:v>
                </c:pt>
                <c:pt idx="821">
                  <c:v>44980</c:v>
                </c:pt>
                <c:pt idx="822">
                  <c:v>44981</c:v>
                </c:pt>
                <c:pt idx="823">
                  <c:v>44984</c:v>
                </c:pt>
                <c:pt idx="824">
                  <c:v>44985</c:v>
                </c:pt>
                <c:pt idx="825">
                  <c:v>44986</c:v>
                </c:pt>
                <c:pt idx="826">
                  <c:v>44987</c:v>
                </c:pt>
                <c:pt idx="827">
                  <c:v>44988</c:v>
                </c:pt>
                <c:pt idx="828">
                  <c:v>44991</c:v>
                </c:pt>
                <c:pt idx="829">
                  <c:v>44992</c:v>
                </c:pt>
                <c:pt idx="830">
                  <c:v>44993</c:v>
                </c:pt>
                <c:pt idx="831">
                  <c:v>44994</c:v>
                </c:pt>
                <c:pt idx="832">
                  <c:v>44995</c:v>
                </c:pt>
                <c:pt idx="833">
                  <c:v>44998</c:v>
                </c:pt>
                <c:pt idx="834">
                  <c:v>44999</c:v>
                </c:pt>
                <c:pt idx="835">
                  <c:v>45000</c:v>
                </c:pt>
                <c:pt idx="836">
                  <c:v>45001</c:v>
                </c:pt>
                <c:pt idx="837">
                  <c:v>45002</c:v>
                </c:pt>
                <c:pt idx="838">
                  <c:v>45005</c:v>
                </c:pt>
                <c:pt idx="839">
                  <c:v>45006</c:v>
                </c:pt>
                <c:pt idx="840">
                  <c:v>45007</c:v>
                </c:pt>
                <c:pt idx="841">
                  <c:v>45008</c:v>
                </c:pt>
                <c:pt idx="842">
                  <c:v>45009</c:v>
                </c:pt>
                <c:pt idx="843">
                  <c:v>45012</c:v>
                </c:pt>
                <c:pt idx="844">
                  <c:v>45013</c:v>
                </c:pt>
                <c:pt idx="845">
                  <c:v>45014</c:v>
                </c:pt>
                <c:pt idx="846">
                  <c:v>45015</c:v>
                </c:pt>
                <c:pt idx="847">
                  <c:v>45016</c:v>
                </c:pt>
                <c:pt idx="848">
                  <c:v>45019</c:v>
                </c:pt>
                <c:pt idx="849">
                  <c:v>45020</c:v>
                </c:pt>
                <c:pt idx="850">
                  <c:v>45021</c:v>
                </c:pt>
                <c:pt idx="851">
                  <c:v>45022</c:v>
                </c:pt>
                <c:pt idx="852">
                  <c:v>45023</c:v>
                </c:pt>
                <c:pt idx="853">
                  <c:v>45026</c:v>
                </c:pt>
                <c:pt idx="854">
                  <c:v>45027</c:v>
                </c:pt>
                <c:pt idx="855">
                  <c:v>45028</c:v>
                </c:pt>
                <c:pt idx="856">
                  <c:v>45029</c:v>
                </c:pt>
                <c:pt idx="857">
                  <c:v>45030</c:v>
                </c:pt>
                <c:pt idx="858">
                  <c:v>45033</c:v>
                </c:pt>
                <c:pt idx="859">
                  <c:v>45034</c:v>
                </c:pt>
                <c:pt idx="860">
                  <c:v>45035</c:v>
                </c:pt>
                <c:pt idx="861">
                  <c:v>45036</c:v>
                </c:pt>
                <c:pt idx="862">
                  <c:v>45037</c:v>
                </c:pt>
                <c:pt idx="863">
                  <c:v>45040</c:v>
                </c:pt>
                <c:pt idx="864">
                  <c:v>45041</c:v>
                </c:pt>
                <c:pt idx="865">
                  <c:v>45042</c:v>
                </c:pt>
                <c:pt idx="866">
                  <c:v>45043</c:v>
                </c:pt>
                <c:pt idx="867">
                  <c:v>45044</c:v>
                </c:pt>
                <c:pt idx="868">
                  <c:v>45047</c:v>
                </c:pt>
                <c:pt idx="869">
                  <c:v>45048</c:v>
                </c:pt>
                <c:pt idx="870">
                  <c:v>45049</c:v>
                </c:pt>
                <c:pt idx="871">
                  <c:v>45050</c:v>
                </c:pt>
                <c:pt idx="872">
                  <c:v>45051</c:v>
                </c:pt>
                <c:pt idx="873">
                  <c:v>45054</c:v>
                </c:pt>
                <c:pt idx="874">
                  <c:v>45055</c:v>
                </c:pt>
                <c:pt idx="875">
                  <c:v>45056</c:v>
                </c:pt>
                <c:pt idx="876">
                  <c:v>45057</c:v>
                </c:pt>
                <c:pt idx="877">
                  <c:v>45058</c:v>
                </c:pt>
                <c:pt idx="878">
                  <c:v>45061</c:v>
                </c:pt>
                <c:pt idx="879">
                  <c:v>45062</c:v>
                </c:pt>
                <c:pt idx="880">
                  <c:v>45063</c:v>
                </c:pt>
                <c:pt idx="881">
                  <c:v>45064</c:v>
                </c:pt>
                <c:pt idx="882">
                  <c:v>45065</c:v>
                </c:pt>
                <c:pt idx="883">
                  <c:v>45068</c:v>
                </c:pt>
                <c:pt idx="884">
                  <c:v>45069</c:v>
                </c:pt>
                <c:pt idx="885">
                  <c:v>45070</c:v>
                </c:pt>
                <c:pt idx="886">
                  <c:v>45071</c:v>
                </c:pt>
                <c:pt idx="887">
                  <c:v>45072</c:v>
                </c:pt>
                <c:pt idx="888">
                  <c:v>45075</c:v>
                </c:pt>
                <c:pt idx="889">
                  <c:v>45076</c:v>
                </c:pt>
                <c:pt idx="890">
                  <c:v>45077</c:v>
                </c:pt>
                <c:pt idx="891">
                  <c:v>45078</c:v>
                </c:pt>
                <c:pt idx="892">
                  <c:v>45079</c:v>
                </c:pt>
                <c:pt idx="893">
                  <c:v>45082</c:v>
                </c:pt>
                <c:pt idx="894">
                  <c:v>45083</c:v>
                </c:pt>
                <c:pt idx="895">
                  <c:v>45084</c:v>
                </c:pt>
                <c:pt idx="896">
                  <c:v>45085</c:v>
                </c:pt>
                <c:pt idx="897">
                  <c:v>45086</c:v>
                </c:pt>
                <c:pt idx="898">
                  <c:v>45089</c:v>
                </c:pt>
                <c:pt idx="899">
                  <c:v>45090</c:v>
                </c:pt>
                <c:pt idx="900">
                  <c:v>45091</c:v>
                </c:pt>
                <c:pt idx="901">
                  <c:v>45092</c:v>
                </c:pt>
                <c:pt idx="902">
                  <c:v>45093</c:v>
                </c:pt>
                <c:pt idx="903">
                  <c:v>45096</c:v>
                </c:pt>
                <c:pt idx="904">
                  <c:v>45097</c:v>
                </c:pt>
                <c:pt idx="905">
                  <c:v>45098</c:v>
                </c:pt>
                <c:pt idx="906">
                  <c:v>45099</c:v>
                </c:pt>
                <c:pt idx="907">
                  <c:v>45100</c:v>
                </c:pt>
                <c:pt idx="908">
                  <c:v>45103</c:v>
                </c:pt>
                <c:pt idx="909">
                  <c:v>45104</c:v>
                </c:pt>
                <c:pt idx="910">
                  <c:v>45105</c:v>
                </c:pt>
                <c:pt idx="911">
                  <c:v>45106</c:v>
                </c:pt>
                <c:pt idx="912">
                  <c:v>45107</c:v>
                </c:pt>
                <c:pt idx="913">
                  <c:v>45110</c:v>
                </c:pt>
                <c:pt idx="914">
                  <c:v>45111</c:v>
                </c:pt>
                <c:pt idx="915">
                  <c:v>45112</c:v>
                </c:pt>
                <c:pt idx="916">
                  <c:v>45113</c:v>
                </c:pt>
                <c:pt idx="917">
                  <c:v>45114</c:v>
                </c:pt>
                <c:pt idx="918">
                  <c:v>45117</c:v>
                </c:pt>
                <c:pt idx="919">
                  <c:v>45118</c:v>
                </c:pt>
                <c:pt idx="920">
                  <c:v>45119</c:v>
                </c:pt>
                <c:pt idx="921">
                  <c:v>45120</c:v>
                </c:pt>
                <c:pt idx="922">
                  <c:v>45121</c:v>
                </c:pt>
                <c:pt idx="923">
                  <c:v>45124</c:v>
                </c:pt>
                <c:pt idx="924">
                  <c:v>45125</c:v>
                </c:pt>
                <c:pt idx="925">
                  <c:v>45126</c:v>
                </c:pt>
                <c:pt idx="926">
                  <c:v>45127</c:v>
                </c:pt>
                <c:pt idx="927">
                  <c:v>45128</c:v>
                </c:pt>
                <c:pt idx="928">
                  <c:v>45131</c:v>
                </c:pt>
                <c:pt idx="929">
                  <c:v>45132</c:v>
                </c:pt>
                <c:pt idx="930">
                  <c:v>45133</c:v>
                </c:pt>
                <c:pt idx="931">
                  <c:v>45134</c:v>
                </c:pt>
                <c:pt idx="932">
                  <c:v>45135</c:v>
                </c:pt>
                <c:pt idx="933">
                  <c:v>45138</c:v>
                </c:pt>
                <c:pt idx="934">
                  <c:v>45139</c:v>
                </c:pt>
                <c:pt idx="935">
                  <c:v>45140</c:v>
                </c:pt>
                <c:pt idx="936">
                  <c:v>45141</c:v>
                </c:pt>
                <c:pt idx="937">
                  <c:v>45142</c:v>
                </c:pt>
                <c:pt idx="938">
                  <c:v>45145</c:v>
                </c:pt>
                <c:pt idx="939">
                  <c:v>45146</c:v>
                </c:pt>
                <c:pt idx="940">
                  <c:v>45147</c:v>
                </c:pt>
                <c:pt idx="941">
                  <c:v>45148</c:v>
                </c:pt>
                <c:pt idx="942">
                  <c:v>45149</c:v>
                </c:pt>
                <c:pt idx="943">
                  <c:v>45152</c:v>
                </c:pt>
                <c:pt idx="944">
                  <c:v>45153</c:v>
                </c:pt>
                <c:pt idx="945">
                  <c:v>45154</c:v>
                </c:pt>
                <c:pt idx="946">
                  <c:v>45155</c:v>
                </c:pt>
                <c:pt idx="947">
                  <c:v>45156</c:v>
                </c:pt>
                <c:pt idx="948">
                  <c:v>45159</c:v>
                </c:pt>
                <c:pt idx="949">
                  <c:v>45160</c:v>
                </c:pt>
                <c:pt idx="950">
                  <c:v>45161</c:v>
                </c:pt>
                <c:pt idx="951">
                  <c:v>45162</c:v>
                </c:pt>
                <c:pt idx="952">
                  <c:v>45163</c:v>
                </c:pt>
                <c:pt idx="953">
                  <c:v>45166</c:v>
                </c:pt>
                <c:pt idx="954">
                  <c:v>45167</c:v>
                </c:pt>
                <c:pt idx="955">
                  <c:v>45168</c:v>
                </c:pt>
                <c:pt idx="956">
                  <c:v>45169</c:v>
                </c:pt>
                <c:pt idx="957">
                  <c:v>45170</c:v>
                </c:pt>
                <c:pt idx="958">
                  <c:v>45173</c:v>
                </c:pt>
                <c:pt idx="959">
                  <c:v>45174</c:v>
                </c:pt>
                <c:pt idx="960">
                  <c:v>45175</c:v>
                </c:pt>
                <c:pt idx="961">
                  <c:v>45176</c:v>
                </c:pt>
                <c:pt idx="962">
                  <c:v>45177</c:v>
                </c:pt>
                <c:pt idx="963">
                  <c:v>45180</c:v>
                </c:pt>
              </c:numCache>
            </c:numRef>
          </c:cat>
          <c:val>
            <c:numRef>
              <c:f>Sheet1!$K$2:$K$1226</c:f>
            </c:numRef>
          </c:val>
          <c:smooth val="0"/>
          <c:extLst>
            <c:ext xmlns:c16="http://schemas.microsoft.com/office/drawing/2014/chart" uri="{C3380CC4-5D6E-409C-BE32-E72D297353CC}">
              <c16:uniqueId val="{00000005-EBC4-4222-8B88-73469225685A}"/>
            </c:ext>
          </c:extLst>
        </c:ser>
        <c:dLbls>
          <c:showLegendKey val="0"/>
          <c:showVal val="0"/>
          <c:showCatName val="0"/>
          <c:showSerName val="0"/>
          <c:showPercent val="0"/>
          <c:showBubbleSize val="0"/>
        </c:dLbls>
        <c:marker val="1"/>
        <c:smooth val="0"/>
        <c:axId val="1701951008"/>
        <c:axId val="1701959168"/>
      </c:lineChart>
      <c:lineChart>
        <c:grouping val="standard"/>
        <c:varyColors val="0"/>
        <c:ser>
          <c:idx val="2"/>
          <c:order val="2"/>
          <c:tx>
            <c:strRef>
              <c:f>Sheet1!$D$1</c:f>
              <c:strCache>
                <c:ptCount val="1"/>
                <c:pt idx="0">
                  <c:v>Ռուսաստան (2029թ.), աջ առանցք</c:v>
                </c:pt>
              </c:strCache>
            </c:strRef>
          </c:tx>
          <c:spPr>
            <a:ln w="19050" cap="rnd">
              <a:solidFill>
                <a:srgbClr val="7030A0"/>
              </a:solidFill>
              <a:round/>
            </a:ln>
            <a:effectLst/>
          </c:spPr>
          <c:marker>
            <c:symbol val="none"/>
          </c:marker>
          <c:cat>
            <c:numRef>
              <c:f>Sheet1!$A$2:$A$1226</c:f>
              <c:numCache>
                <c:formatCode>m\/d\/yyyy</c:formatCode>
                <c:ptCount val="964"/>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pt idx="708">
                  <c:v>44823</c:v>
                </c:pt>
                <c:pt idx="709">
                  <c:v>44824</c:v>
                </c:pt>
                <c:pt idx="710">
                  <c:v>44825</c:v>
                </c:pt>
                <c:pt idx="711">
                  <c:v>44826</c:v>
                </c:pt>
                <c:pt idx="712">
                  <c:v>44827</c:v>
                </c:pt>
                <c:pt idx="713">
                  <c:v>44830</c:v>
                </c:pt>
                <c:pt idx="714">
                  <c:v>44831</c:v>
                </c:pt>
                <c:pt idx="715">
                  <c:v>44832</c:v>
                </c:pt>
                <c:pt idx="716">
                  <c:v>44833</c:v>
                </c:pt>
                <c:pt idx="717">
                  <c:v>44834</c:v>
                </c:pt>
                <c:pt idx="718">
                  <c:v>44837</c:v>
                </c:pt>
                <c:pt idx="719">
                  <c:v>44838</c:v>
                </c:pt>
                <c:pt idx="720">
                  <c:v>44839</c:v>
                </c:pt>
                <c:pt idx="721">
                  <c:v>44840</c:v>
                </c:pt>
                <c:pt idx="722">
                  <c:v>44841</c:v>
                </c:pt>
                <c:pt idx="723">
                  <c:v>44844</c:v>
                </c:pt>
                <c:pt idx="724">
                  <c:v>44845</c:v>
                </c:pt>
                <c:pt idx="725">
                  <c:v>44846</c:v>
                </c:pt>
                <c:pt idx="726">
                  <c:v>44847</c:v>
                </c:pt>
                <c:pt idx="727">
                  <c:v>44848</c:v>
                </c:pt>
                <c:pt idx="728">
                  <c:v>44851</c:v>
                </c:pt>
                <c:pt idx="729">
                  <c:v>44852</c:v>
                </c:pt>
                <c:pt idx="730">
                  <c:v>44853</c:v>
                </c:pt>
                <c:pt idx="731">
                  <c:v>44854</c:v>
                </c:pt>
                <c:pt idx="732">
                  <c:v>44855</c:v>
                </c:pt>
                <c:pt idx="733">
                  <c:v>44858</c:v>
                </c:pt>
                <c:pt idx="734">
                  <c:v>44859</c:v>
                </c:pt>
                <c:pt idx="735">
                  <c:v>44860</c:v>
                </c:pt>
                <c:pt idx="736">
                  <c:v>44861</c:v>
                </c:pt>
                <c:pt idx="737">
                  <c:v>44862</c:v>
                </c:pt>
                <c:pt idx="738">
                  <c:v>44865</c:v>
                </c:pt>
                <c:pt idx="739">
                  <c:v>44866</c:v>
                </c:pt>
                <c:pt idx="740">
                  <c:v>44867</c:v>
                </c:pt>
                <c:pt idx="741">
                  <c:v>44868</c:v>
                </c:pt>
                <c:pt idx="742">
                  <c:v>44869</c:v>
                </c:pt>
                <c:pt idx="743">
                  <c:v>44872</c:v>
                </c:pt>
                <c:pt idx="744">
                  <c:v>44873</c:v>
                </c:pt>
                <c:pt idx="745">
                  <c:v>44874</c:v>
                </c:pt>
                <c:pt idx="746">
                  <c:v>44875</c:v>
                </c:pt>
                <c:pt idx="747">
                  <c:v>44876</c:v>
                </c:pt>
                <c:pt idx="748">
                  <c:v>44879</c:v>
                </c:pt>
                <c:pt idx="749">
                  <c:v>44880</c:v>
                </c:pt>
                <c:pt idx="750">
                  <c:v>44881</c:v>
                </c:pt>
                <c:pt idx="751">
                  <c:v>44882</c:v>
                </c:pt>
                <c:pt idx="752">
                  <c:v>44883</c:v>
                </c:pt>
                <c:pt idx="753">
                  <c:v>44886</c:v>
                </c:pt>
                <c:pt idx="754">
                  <c:v>44887</c:v>
                </c:pt>
                <c:pt idx="755">
                  <c:v>44888</c:v>
                </c:pt>
                <c:pt idx="756">
                  <c:v>44889</c:v>
                </c:pt>
                <c:pt idx="757">
                  <c:v>44890</c:v>
                </c:pt>
                <c:pt idx="758">
                  <c:v>44893</c:v>
                </c:pt>
                <c:pt idx="759">
                  <c:v>44894</c:v>
                </c:pt>
                <c:pt idx="760">
                  <c:v>44895</c:v>
                </c:pt>
                <c:pt idx="761">
                  <c:v>44896</c:v>
                </c:pt>
                <c:pt idx="762">
                  <c:v>44897</c:v>
                </c:pt>
                <c:pt idx="763">
                  <c:v>44900</c:v>
                </c:pt>
                <c:pt idx="764">
                  <c:v>44901</c:v>
                </c:pt>
                <c:pt idx="765">
                  <c:v>44902</c:v>
                </c:pt>
                <c:pt idx="766">
                  <c:v>44903</c:v>
                </c:pt>
                <c:pt idx="767">
                  <c:v>44904</c:v>
                </c:pt>
                <c:pt idx="768">
                  <c:v>44907</c:v>
                </c:pt>
                <c:pt idx="769">
                  <c:v>44908</c:v>
                </c:pt>
                <c:pt idx="770">
                  <c:v>44909</c:v>
                </c:pt>
                <c:pt idx="771">
                  <c:v>44910</c:v>
                </c:pt>
                <c:pt idx="772">
                  <c:v>44911</c:v>
                </c:pt>
                <c:pt idx="773">
                  <c:v>44914</c:v>
                </c:pt>
                <c:pt idx="774">
                  <c:v>44915</c:v>
                </c:pt>
                <c:pt idx="775">
                  <c:v>44916</c:v>
                </c:pt>
                <c:pt idx="776">
                  <c:v>44917</c:v>
                </c:pt>
                <c:pt idx="777">
                  <c:v>44918</c:v>
                </c:pt>
                <c:pt idx="778">
                  <c:v>44921</c:v>
                </c:pt>
                <c:pt idx="779">
                  <c:v>44922</c:v>
                </c:pt>
                <c:pt idx="780">
                  <c:v>44923</c:v>
                </c:pt>
                <c:pt idx="781">
                  <c:v>44924</c:v>
                </c:pt>
                <c:pt idx="782">
                  <c:v>44925</c:v>
                </c:pt>
                <c:pt idx="783">
                  <c:v>44928</c:v>
                </c:pt>
                <c:pt idx="784">
                  <c:v>44929</c:v>
                </c:pt>
                <c:pt idx="785">
                  <c:v>44930</c:v>
                </c:pt>
                <c:pt idx="786">
                  <c:v>44931</c:v>
                </c:pt>
                <c:pt idx="787">
                  <c:v>44932</c:v>
                </c:pt>
                <c:pt idx="788">
                  <c:v>44935</c:v>
                </c:pt>
                <c:pt idx="789">
                  <c:v>44936</c:v>
                </c:pt>
                <c:pt idx="790">
                  <c:v>44937</c:v>
                </c:pt>
                <c:pt idx="791">
                  <c:v>44938</c:v>
                </c:pt>
                <c:pt idx="792">
                  <c:v>44939</c:v>
                </c:pt>
                <c:pt idx="793">
                  <c:v>44942</c:v>
                </c:pt>
                <c:pt idx="794">
                  <c:v>44943</c:v>
                </c:pt>
                <c:pt idx="795">
                  <c:v>44944</c:v>
                </c:pt>
                <c:pt idx="796">
                  <c:v>44945</c:v>
                </c:pt>
                <c:pt idx="797">
                  <c:v>44946</c:v>
                </c:pt>
                <c:pt idx="798">
                  <c:v>44949</c:v>
                </c:pt>
                <c:pt idx="799">
                  <c:v>44950</c:v>
                </c:pt>
                <c:pt idx="800">
                  <c:v>44951</c:v>
                </c:pt>
                <c:pt idx="801">
                  <c:v>44952</c:v>
                </c:pt>
                <c:pt idx="802">
                  <c:v>44953</c:v>
                </c:pt>
                <c:pt idx="803">
                  <c:v>44956</c:v>
                </c:pt>
                <c:pt idx="804">
                  <c:v>44957</c:v>
                </c:pt>
                <c:pt idx="805">
                  <c:v>44958</c:v>
                </c:pt>
                <c:pt idx="806">
                  <c:v>44959</c:v>
                </c:pt>
                <c:pt idx="807">
                  <c:v>44960</c:v>
                </c:pt>
                <c:pt idx="808">
                  <c:v>44963</c:v>
                </c:pt>
                <c:pt idx="809">
                  <c:v>44964</c:v>
                </c:pt>
                <c:pt idx="810">
                  <c:v>44965</c:v>
                </c:pt>
                <c:pt idx="811">
                  <c:v>44966</c:v>
                </c:pt>
                <c:pt idx="812">
                  <c:v>44967</c:v>
                </c:pt>
                <c:pt idx="813">
                  <c:v>44970</c:v>
                </c:pt>
                <c:pt idx="814">
                  <c:v>44971</c:v>
                </c:pt>
                <c:pt idx="815">
                  <c:v>44972</c:v>
                </c:pt>
                <c:pt idx="816">
                  <c:v>44973</c:v>
                </c:pt>
                <c:pt idx="817">
                  <c:v>44974</c:v>
                </c:pt>
                <c:pt idx="818">
                  <c:v>44977</c:v>
                </c:pt>
                <c:pt idx="819">
                  <c:v>44978</c:v>
                </c:pt>
                <c:pt idx="820">
                  <c:v>44979</c:v>
                </c:pt>
                <c:pt idx="821">
                  <c:v>44980</c:v>
                </c:pt>
                <c:pt idx="822">
                  <c:v>44981</c:v>
                </c:pt>
                <c:pt idx="823">
                  <c:v>44984</c:v>
                </c:pt>
                <c:pt idx="824">
                  <c:v>44985</c:v>
                </c:pt>
                <c:pt idx="825">
                  <c:v>44986</c:v>
                </c:pt>
                <c:pt idx="826">
                  <c:v>44987</c:v>
                </c:pt>
                <c:pt idx="827">
                  <c:v>44988</c:v>
                </c:pt>
                <c:pt idx="828">
                  <c:v>44991</c:v>
                </c:pt>
                <c:pt idx="829">
                  <c:v>44992</c:v>
                </c:pt>
                <c:pt idx="830">
                  <c:v>44993</c:v>
                </c:pt>
                <c:pt idx="831">
                  <c:v>44994</c:v>
                </c:pt>
                <c:pt idx="832">
                  <c:v>44995</c:v>
                </c:pt>
                <c:pt idx="833">
                  <c:v>44998</c:v>
                </c:pt>
                <c:pt idx="834">
                  <c:v>44999</c:v>
                </c:pt>
                <c:pt idx="835">
                  <c:v>45000</c:v>
                </c:pt>
                <c:pt idx="836">
                  <c:v>45001</c:v>
                </c:pt>
                <c:pt idx="837">
                  <c:v>45002</c:v>
                </c:pt>
                <c:pt idx="838">
                  <c:v>45005</c:v>
                </c:pt>
                <c:pt idx="839">
                  <c:v>45006</c:v>
                </c:pt>
                <c:pt idx="840">
                  <c:v>45007</c:v>
                </c:pt>
                <c:pt idx="841">
                  <c:v>45008</c:v>
                </c:pt>
                <c:pt idx="842">
                  <c:v>45009</c:v>
                </c:pt>
                <c:pt idx="843">
                  <c:v>45012</c:v>
                </c:pt>
                <c:pt idx="844">
                  <c:v>45013</c:v>
                </c:pt>
                <c:pt idx="845">
                  <c:v>45014</c:v>
                </c:pt>
                <c:pt idx="846">
                  <c:v>45015</c:v>
                </c:pt>
                <c:pt idx="847">
                  <c:v>45016</c:v>
                </c:pt>
                <c:pt idx="848">
                  <c:v>45019</c:v>
                </c:pt>
                <c:pt idx="849">
                  <c:v>45020</c:v>
                </c:pt>
                <c:pt idx="850">
                  <c:v>45021</c:v>
                </c:pt>
                <c:pt idx="851">
                  <c:v>45022</c:v>
                </c:pt>
                <c:pt idx="852">
                  <c:v>45023</c:v>
                </c:pt>
                <c:pt idx="853">
                  <c:v>45026</c:v>
                </c:pt>
                <c:pt idx="854">
                  <c:v>45027</c:v>
                </c:pt>
                <c:pt idx="855">
                  <c:v>45028</c:v>
                </c:pt>
                <c:pt idx="856">
                  <c:v>45029</c:v>
                </c:pt>
                <c:pt idx="857">
                  <c:v>45030</c:v>
                </c:pt>
                <c:pt idx="858">
                  <c:v>45033</c:v>
                </c:pt>
                <c:pt idx="859">
                  <c:v>45034</c:v>
                </c:pt>
                <c:pt idx="860">
                  <c:v>45035</c:v>
                </c:pt>
                <c:pt idx="861">
                  <c:v>45036</c:v>
                </c:pt>
                <c:pt idx="862">
                  <c:v>45037</c:v>
                </c:pt>
                <c:pt idx="863">
                  <c:v>45040</c:v>
                </c:pt>
                <c:pt idx="864">
                  <c:v>45041</c:v>
                </c:pt>
                <c:pt idx="865">
                  <c:v>45042</c:v>
                </c:pt>
                <c:pt idx="866">
                  <c:v>45043</c:v>
                </c:pt>
                <c:pt idx="867">
                  <c:v>45044</c:v>
                </c:pt>
                <c:pt idx="868">
                  <c:v>45047</c:v>
                </c:pt>
                <c:pt idx="869">
                  <c:v>45048</c:v>
                </c:pt>
                <c:pt idx="870">
                  <c:v>45049</c:v>
                </c:pt>
                <c:pt idx="871">
                  <c:v>45050</c:v>
                </c:pt>
                <c:pt idx="872">
                  <c:v>45051</c:v>
                </c:pt>
                <c:pt idx="873">
                  <c:v>45054</c:v>
                </c:pt>
                <c:pt idx="874">
                  <c:v>45055</c:v>
                </c:pt>
                <c:pt idx="875">
                  <c:v>45056</c:v>
                </c:pt>
                <c:pt idx="876">
                  <c:v>45057</c:v>
                </c:pt>
                <c:pt idx="877">
                  <c:v>45058</c:v>
                </c:pt>
                <c:pt idx="878">
                  <c:v>45061</c:v>
                </c:pt>
                <c:pt idx="879">
                  <c:v>45062</c:v>
                </c:pt>
                <c:pt idx="880">
                  <c:v>45063</c:v>
                </c:pt>
                <c:pt idx="881">
                  <c:v>45064</c:v>
                </c:pt>
                <c:pt idx="882">
                  <c:v>45065</c:v>
                </c:pt>
                <c:pt idx="883">
                  <c:v>45068</c:v>
                </c:pt>
                <c:pt idx="884">
                  <c:v>45069</c:v>
                </c:pt>
                <c:pt idx="885">
                  <c:v>45070</c:v>
                </c:pt>
                <c:pt idx="886">
                  <c:v>45071</c:v>
                </c:pt>
                <c:pt idx="887">
                  <c:v>45072</c:v>
                </c:pt>
                <c:pt idx="888">
                  <c:v>45075</c:v>
                </c:pt>
                <c:pt idx="889">
                  <c:v>45076</c:v>
                </c:pt>
                <c:pt idx="890">
                  <c:v>45077</c:v>
                </c:pt>
                <c:pt idx="891">
                  <c:v>45078</c:v>
                </c:pt>
                <c:pt idx="892">
                  <c:v>45079</c:v>
                </c:pt>
                <c:pt idx="893">
                  <c:v>45082</c:v>
                </c:pt>
                <c:pt idx="894">
                  <c:v>45083</c:v>
                </c:pt>
                <c:pt idx="895">
                  <c:v>45084</c:v>
                </c:pt>
                <c:pt idx="896">
                  <c:v>45085</c:v>
                </c:pt>
                <c:pt idx="897">
                  <c:v>45086</c:v>
                </c:pt>
                <c:pt idx="898">
                  <c:v>45089</c:v>
                </c:pt>
                <c:pt idx="899">
                  <c:v>45090</c:v>
                </c:pt>
                <c:pt idx="900">
                  <c:v>45091</c:v>
                </c:pt>
                <c:pt idx="901">
                  <c:v>45092</c:v>
                </c:pt>
                <c:pt idx="902">
                  <c:v>45093</c:v>
                </c:pt>
                <c:pt idx="903">
                  <c:v>45096</c:v>
                </c:pt>
                <c:pt idx="904">
                  <c:v>45097</c:v>
                </c:pt>
                <c:pt idx="905">
                  <c:v>45098</c:v>
                </c:pt>
                <c:pt idx="906">
                  <c:v>45099</c:v>
                </c:pt>
                <c:pt idx="907">
                  <c:v>45100</c:v>
                </c:pt>
                <c:pt idx="908">
                  <c:v>45103</c:v>
                </c:pt>
                <c:pt idx="909">
                  <c:v>45104</c:v>
                </c:pt>
                <c:pt idx="910">
                  <c:v>45105</c:v>
                </c:pt>
                <c:pt idx="911">
                  <c:v>45106</c:v>
                </c:pt>
                <c:pt idx="912">
                  <c:v>45107</c:v>
                </c:pt>
                <c:pt idx="913">
                  <c:v>45110</c:v>
                </c:pt>
                <c:pt idx="914">
                  <c:v>45111</c:v>
                </c:pt>
                <c:pt idx="915">
                  <c:v>45112</c:v>
                </c:pt>
                <c:pt idx="916">
                  <c:v>45113</c:v>
                </c:pt>
                <c:pt idx="917">
                  <c:v>45114</c:v>
                </c:pt>
                <c:pt idx="918">
                  <c:v>45117</c:v>
                </c:pt>
                <c:pt idx="919">
                  <c:v>45118</c:v>
                </c:pt>
                <c:pt idx="920">
                  <c:v>45119</c:v>
                </c:pt>
                <c:pt idx="921">
                  <c:v>45120</c:v>
                </c:pt>
                <c:pt idx="922">
                  <c:v>45121</c:v>
                </c:pt>
                <c:pt idx="923">
                  <c:v>45124</c:v>
                </c:pt>
                <c:pt idx="924">
                  <c:v>45125</c:v>
                </c:pt>
                <c:pt idx="925">
                  <c:v>45126</c:v>
                </c:pt>
                <c:pt idx="926">
                  <c:v>45127</c:v>
                </c:pt>
                <c:pt idx="927">
                  <c:v>45128</c:v>
                </c:pt>
                <c:pt idx="928">
                  <c:v>45131</c:v>
                </c:pt>
                <c:pt idx="929">
                  <c:v>45132</c:v>
                </c:pt>
                <c:pt idx="930">
                  <c:v>45133</c:v>
                </c:pt>
                <c:pt idx="931">
                  <c:v>45134</c:v>
                </c:pt>
                <c:pt idx="932">
                  <c:v>45135</c:v>
                </c:pt>
                <c:pt idx="933">
                  <c:v>45138</c:v>
                </c:pt>
                <c:pt idx="934">
                  <c:v>45139</c:v>
                </c:pt>
                <c:pt idx="935">
                  <c:v>45140</c:v>
                </c:pt>
                <c:pt idx="936">
                  <c:v>45141</c:v>
                </c:pt>
                <c:pt idx="937">
                  <c:v>45142</c:v>
                </c:pt>
                <c:pt idx="938">
                  <c:v>45145</c:v>
                </c:pt>
                <c:pt idx="939">
                  <c:v>45146</c:v>
                </c:pt>
                <c:pt idx="940">
                  <c:v>45147</c:v>
                </c:pt>
                <c:pt idx="941">
                  <c:v>45148</c:v>
                </c:pt>
                <c:pt idx="942">
                  <c:v>45149</c:v>
                </c:pt>
                <c:pt idx="943">
                  <c:v>45152</c:v>
                </c:pt>
                <c:pt idx="944">
                  <c:v>45153</c:v>
                </c:pt>
                <c:pt idx="945">
                  <c:v>45154</c:v>
                </c:pt>
                <c:pt idx="946">
                  <c:v>45155</c:v>
                </c:pt>
                <c:pt idx="947">
                  <c:v>45156</c:v>
                </c:pt>
                <c:pt idx="948">
                  <c:v>45159</c:v>
                </c:pt>
                <c:pt idx="949">
                  <c:v>45160</c:v>
                </c:pt>
                <c:pt idx="950">
                  <c:v>45161</c:v>
                </c:pt>
                <c:pt idx="951">
                  <c:v>45162</c:v>
                </c:pt>
                <c:pt idx="952">
                  <c:v>45163</c:v>
                </c:pt>
                <c:pt idx="953">
                  <c:v>45166</c:v>
                </c:pt>
                <c:pt idx="954">
                  <c:v>45167</c:v>
                </c:pt>
                <c:pt idx="955">
                  <c:v>45168</c:v>
                </c:pt>
                <c:pt idx="956">
                  <c:v>45169</c:v>
                </c:pt>
                <c:pt idx="957">
                  <c:v>45170</c:v>
                </c:pt>
                <c:pt idx="958">
                  <c:v>45173</c:v>
                </c:pt>
                <c:pt idx="959">
                  <c:v>45174</c:v>
                </c:pt>
                <c:pt idx="960">
                  <c:v>45175</c:v>
                </c:pt>
                <c:pt idx="961">
                  <c:v>45176</c:v>
                </c:pt>
                <c:pt idx="962">
                  <c:v>45177</c:v>
                </c:pt>
                <c:pt idx="963">
                  <c:v>45180</c:v>
                </c:pt>
              </c:numCache>
            </c:numRef>
          </c:cat>
          <c:val>
            <c:numRef>
              <c:f>Sheet1!$D$2:$D$1226</c:f>
            </c:numRef>
          </c:val>
          <c:smooth val="0"/>
          <c:extLst>
            <c:ext xmlns:c16="http://schemas.microsoft.com/office/drawing/2014/chart" uri="{C3380CC4-5D6E-409C-BE32-E72D297353CC}">
              <c16:uniqueId val="{00000006-EBC4-4222-8B88-73469225685A}"/>
            </c:ext>
          </c:extLst>
        </c:ser>
        <c:ser>
          <c:idx val="5"/>
          <c:order val="5"/>
          <c:tx>
            <c:strRef>
              <c:f>Sheet1!$G$1</c:f>
              <c:strCache>
                <c:ptCount val="1"/>
                <c:pt idx="0">
                  <c:v>Բելառուս (2030թ.), աջ առանցք</c:v>
                </c:pt>
              </c:strCache>
            </c:strRef>
          </c:tx>
          <c:spPr>
            <a:ln w="19050" cap="rnd">
              <a:solidFill>
                <a:schemeClr val="accent6"/>
              </a:solidFill>
              <a:round/>
            </a:ln>
            <a:effectLst/>
          </c:spPr>
          <c:marker>
            <c:symbol val="none"/>
          </c:marker>
          <c:cat>
            <c:numRef>
              <c:f>Sheet1!$A$2:$A$1226</c:f>
              <c:numCache>
                <c:formatCode>m\/d\/yyyy</c:formatCode>
                <c:ptCount val="964"/>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pt idx="708">
                  <c:v>44823</c:v>
                </c:pt>
                <c:pt idx="709">
                  <c:v>44824</c:v>
                </c:pt>
                <c:pt idx="710">
                  <c:v>44825</c:v>
                </c:pt>
                <c:pt idx="711">
                  <c:v>44826</c:v>
                </c:pt>
                <c:pt idx="712">
                  <c:v>44827</c:v>
                </c:pt>
                <c:pt idx="713">
                  <c:v>44830</c:v>
                </c:pt>
                <c:pt idx="714">
                  <c:v>44831</c:v>
                </c:pt>
                <c:pt idx="715">
                  <c:v>44832</c:v>
                </c:pt>
                <c:pt idx="716">
                  <c:v>44833</c:v>
                </c:pt>
                <c:pt idx="717">
                  <c:v>44834</c:v>
                </c:pt>
                <c:pt idx="718">
                  <c:v>44837</c:v>
                </c:pt>
                <c:pt idx="719">
                  <c:v>44838</c:v>
                </c:pt>
                <c:pt idx="720">
                  <c:v>44839</c:v>
                </c:pt>
                <c:pt idx="721">
                  <c:v>44840</c:v>
                </c:pt>
                <c:pt idx="722">
                  <c:v>44841</c:v>
                </c:pt>
                <c:pt idx="723">
                  <c:v>44844</c:v>
                </c:pt>
                <c:pt idx="724">
                  <c:v>44845</c:v>
                </c:pt>
                <c:pt idx="725">
                  <c:v>44846</c:v>
                </c:pt>
                <c:pt idx="726">
                  <c:v>44847</c:v>
                </c:pt>
                <c:pt idx="727">
                  <c:v>44848</c:v>
                </c:pt>
                <c:pt idx="728">
                  <c:v>44851</c:v>
                </c:pt>
                <c:pt idx="729">
                  <c:v>44852</c:v>
                </c:pt>
                <c:pt idx="730">
                  <c:v>44853</c:v>
                </c:pt>
                <c:pt idx="731">
                  <c:v>44854</c:v>
                </c:pt>
                <c:pt idx="732">
                  <c:v>44855</c:v>
                </c:pt>
                <c:pt idx="733">
                  <c:v>44858</c:v>
                </c:pt>
                <c:pt idx="734">
                  <c:v>44859</c:v>
                </c:pt>
                <c:pt idx="735">
                  <c:v>44860</c:v>
                </c:pt>
                <c:pt idx="736">
                  <c:v>44861</c:v>
                </c:pt>
                <c:pt idx="737">
                  <c:v>44862</c:v>
                </c:pt>
                <c:pt idx="738">
                  <c:v>44865</c:v>
                </c:pt>
                <c:pt idx="739">
                  <c:v>44866</c:v>
                </c:pt>
                <c:pt idx="740">
                  <c:v>44867</c:v>
                </c:pt>
                <c:pt idx="741">
                  <c:v>44868</c:v>
                </c:pt>
                <c:pt idx="742">
                  <c:v>44869</c:v>
                </c:pt>
                <c:pt idx="743">
                  <c:v>44872</c:v>
                </c:pt>
                <c:pt idx="744">
                  <c:v>44873</c:v>
                </c:pt>
                <c:pt idx="745">
                  <c:v>44874</c:v>
                </c:pt>
                <c:pt idx="746">
                  <c:v>44875</c:v>
                </c:pt>
                <c:pt idx="747">
                  <c:v>44876</c:v>
                </c:pt>
                <c:pt idx="748">
                  <c:v>44879</c:v>
                </c:pt>
                <c:pt idx="749">
                  <c:v>44880</c:v>
                </c:pt>
                <c:pt idx="750">
                  <c:v>44881</c:v>
                </c:pt>
                <c:pt idx="751">
                  <c:v>44882</c:v>
                </c:pt>
                <c:pt idx="752">
                  <c:v>44883</c:v>
                </c:pt>
                <c:pt idx="753">
                  <c:v>44886</c:v>
                </c:pt>
                <c:pt idx="754">
                  <c:v>44887</c:v>
                </c:pt>
                <c:pt idx="755">
                  <c:v>44888</c:v>
                </c:pt>
                <c:pt idx="756">
                  <c:v>44889</c:v>
                </c:pt>
                <c:pt idx="757">
                  <c:v>44890</c:v>
                </c:pt>
                <c:pt idx="758">
                  <c:v>44893</c:v>
                </c:pt>
                <c:pt idx="759">
                  <c:v>44894</c:v>
                </c:pt>
                <c:pt idx="760">
                  <c:v>44895</c:v>
                </c:pt>
                <c:pt idx="761">
                  <c:v>44896</c:v>
                </c:pt>
                <c:pt idx="762">
                  <c:v>44897</c:v>
                </c:pt>
                <c:pt idx="763">
                  <c:v>44900</c:v>
                </c:pt>
                <c:pt idx="764">
                  <c:v>44901</c:v>
                </c:pt>
                <c:pt idx="765">
                  <c:v>44902</c:v>
                </c:pt>
                <c:pt idx="766">
                  <c:v>44903</c:v>
                </c:pt>
                <c:pt idx="767">
                  <c:v>44904</c:v>
                </c:pt>
                <c:pt idx="768">
                  <c:v>44907</c:v>
                </c:pt>
                <c:pt idx="769">
                  <c:v>44908</c:v>
                </c:pt>
                <c:pt idx="770">
                  <c:v>44909</c:v>
                </c:pt>
                <c:pt idx="771">
                  <c:v>44910</c:v>
                </c:pt>
                <c:pt idx="772">
                  <c:v>44911</c:v>
                </c:pt>
                <c:pt idx="773">
                  <c:v>44914</c:v>
                </c:pt>
                <c:pt idx="774">
                  <c:v>44915</c:v>
                </c:pt>
                <c:pt idx="775">
                  <c:v>44916</c:v>
                </c:pt>
                <c:pt idx="776">
                  <c:v>44917</c:v>
                </c:pt>
                <c:pt idx="777">
                  <c:v>44918</c:v>
                </c:pt>
                <c:pt idx="778">
                  <c:v>44921</c:v>
                </c:pt>
                <c:pt idx="779">
                  <c:v>44922</c:v>
                </c:pt>
                <c:pt idx="780">
                  <c:v>44923</c:v>
                </c:pt>
                <c:pt idx="781">
                  <c:v>44924</c:v>
                </c:pt>
                <c:pt idx="782">
                  <c:v>44925</c:v>
                </c:pt>
                <c:pt idx="783">
                  <c:v>44928</c:v>
                </c:pt>
                <c:pt idx="784">
                  <c:v>44929</c:v>
                </c:pt>
                <c:pt idx="785">
                  <c:v>44930</c:v>
                </c:pt>
                <c:pt idx="786">
                  <c:v>44931</c:v>
                </c:pt>
                <c:pt idx="787">
                  <c:v>44932</c:v>
                </c:pt>
                <c:pt idx="788">
                  <c:v>44935</c:v>
                </c:pt>
                <c:pt idx="789">
                  <c:v>44936</c:v>
                </c:pt>
                <c:pt idx="790">
                  <c:v>44937</c:v>
                </c:pt>
                <c:pt idx="791">
                  <c:v>44938</c:v>
                </c:pt>
                <c:pt idx="792">
                  <c:v>44939</c:v>
                </c:pt>
                <c:pt idx="793">
                  <c:v>44942</c:v>
                </c:pt>
                <c:pt idx="794">
                  <c:v>44943</c:v>
                </c:pt>
                <c:pt idx="795">
                  <c:v>44944</c:v>
                </c:pt>
                <c:pt idx="796">
                  <c:v>44945</c:v>
                </c:pt>
                <c:pt idx="797">
                  <c:v>44946</c:v>
                </c:pt>
                <c:pt idx="798">
                  <c:v>44949</c:v>
                </c:pt>
                <c:pt idx="799">
                  <c:v>44950</c:v>
                </c:pt>
                <c:pt idx="800">
                  <c:v>44951</c:v>
                </c:pt>
                <c:pt idx="801">
                  <c:v>44952</c:v>
                </c:pt>
                <c:pt idx="802">
                  <c:v>44953</c:v>
                </c:pt>
                <c:pt idx="803">
                  <c:v>44956</c:v>
                </c:pt>
                <c:pt idx="804">
                  <c:v>44957</c:v>
                </c:pt>
                <c:pt idx="805">
                  <c:v>44958</c:v>
                </c:pt>
                <c:pt idx="806">
                  <c:v>44959</c:v>
                </c:pt>
                <c:pt idx="807">
                  <c:v>44960</c:v>
                </c:pt>
                <c:pt idx="808">
                  <c:v>44963</c:v>
                </c:pt>
                <c:pt idx="809">
                  <c:v>44964</c:v>
                </c:pt>
                <c:pt idx="810">
                  <c:v>44965</c:v>
                </c:pt>
                <c:pt idx="811">
                  <c:v>44966</c:v>
                </c:pt>
                <c:pt idx="812">
                  <c:v>44967</c:v>
                </c:pt>
                <c:pt idx="813">
                  <c:v>44970</c:v>
                </c:pt>
                <c:pt idx="814">
                  <c:v>44971</c:v>
                </c:pt>
                <c:pt idx="815">
                  <c:v>44972</c:v>
                </c:pt>
                <c:pt idx="816">
                  <c:v>44973</c:v>
                </c:pt>
                <c:pt idx="817">
                  <c:v>44974</c:v>
                </c:pt>
                <c:pt idx="818">
                  <c:v>44977</c:v>
                </c:pt>
                <c:pt idx="819">
                  <c:v>44978</c:v>
                </c:pt>
                <c:pt idx="820">
                  <c:v>44979</c:v>
                </c:pt>
                <c:pt idx="821">
                  <c:v>44980</c:v>
                </c:pt>
                <c:pt idx="822">
                  <c:v>44981</c:v>
                </c:pt>
                <c:pt idx="823">
                  <c:v>44984</c:v>
                </c:pt>
                <c:pt idx="824">
                  <c:v>44985</c:v>
                </c:pt>
                <c:pt idx="825">
                  <c:v>44986</c:v>
                </c:pt>
                <c:pt idx="826">
                  <c:v>44987</c:v>
                </c:pt>
                <c:pt idx="827">
                  <c:v>44988</c:v>
                </c:pt>
                <c:pt idx="828">
                  <c:v>44991</c:v>
                </c:pt>
                <c:pt idx="829">
                  <c:v>44992</c:v>
                </c:pt>
                <c:pt idx="830">
                  <c:v>44993</c:v>
                </c:pt>
                <c:pt idx="831">
                  <c:v>44994</c:v>
                </c:pt>
                <c:pt idx="832">
                  <c:v>44995</c:v>
                </c:pt>
                <c:pt idx="833">
                  <c:v>44998</c:v>
                </c:pt>
                <c:pt idx="834">
                  <c:v>44999</c:v>
                </c:pt>
                <c:pt idx="835">
                  <c:v>45000</c:v>
                </c:pt>
                <c:pt idx="836">
                  <c:v>45001</c:v>
                </c:pt>
                <c:pt idx="837">
                  <c:v>45002</c:v>
                </c:pt>
                <c:pt idx="838">
                  <c:v>45005</c:v>
                </c:pt>
                <c:pt idx="839">
                  <c:v>45006</c:v>
                </c:pt>
                <c:pt idx="840">
                  <c:v>45007</c:v>
                </c:pt>
                <c:pt idx="841">
                  <c:v>45008</c:v>
                </c:pt>
                <c:pt idx="842">
                  <c:v>45009</c:v>
                </c:pt>
                <c:pt idx="843">
                  <c:v>45012</c:v>
                </c:pt>
                <c:pt idx="844">
                  <c:v>45013</c:v>
                </c:pt>
                <c:pt idx="845">
                  <c:v>45014</c:v>
                </c:pt>
                <c:pt idx="846">
                  <c:v>45015</c:v>
                </c:pt>
                <c:pt idx="847">
                  <c:v>45016</c:v>
                </c:pt>
                <c:pt idx="848">
                  <c:v>45019</c:v>
                </c:pt>
                <c:pt idx="849">
                  <c:v>45020</c:v>
                </c:pt>
                <c:pt idx="850">
                  <c:v>45021</c:v>
                </c:pt>
                <c:pt idx="851">
                  <c:v>45022</c:v>
                </c:pt>
                <c:pt idx="852">
                  <c:v>45023</c:v>
                </c:pt>
                <c:pt idx="853">
                  <c:v>45026</c:v>
                </c:pt>
                <c:pt idx="854">
                  <c:v>45027</c:v>
                </c:pt>
                <c:pt idx="855">
                  <c:v>45028</c:v>
                </c:pt>
                <c:pt idx="856">
                  <c:v>45029</c:v>
                </c:pt>
                <c:pt idx="857">
                  <c:v>45030</c:v>
                </c:pt>
                <c:pt idx="858">
                  <c:v>45033</c:v>
                </c:pt>
                <c:pt idx="859">
                  <c:v>45034</c:v>
                </c:pt>
                <c:pt idx="860">
                  <c:v>45035</c:v>
                </c:pt>
                <c:pt idx="861">
                  <c:v>45036</c:v>
                </c:pt>
                <c:pt idx="862">
                  <c:v>45037</c:v>
                </c:pt>
                <c:pt idx="863">
                  <c:v>45040</c:v>
                </c:pt>
                <c:pt idx="864">
                  <c:v>45041</c:v>
                </c:pt>
                <c:pt idx="865">
                  <c:v>45042</c:v>
                </c:pt>
                <c:pt idx="866">
                  <c:v>45043</c:v>
                </c:pt>
                <c:pt idx="867">
                  <c:v>45044</c:v>
                </c:pt>
                <c:pt idx="868">
                  <c:v>45047</c:v>
                </c:pt>
                <c:pt idx="869">
                  <c:v>45048</c:v>
                </c:pt>
                <c:pt idx="870">
                  <c:v>45049</c:v>
                </c:pt>
                <c:pt idx="871">
                  <c:v>45050</c:v>
                </c:pt>
                <c:pt idx="872">
                  <c:v>45051</c:v>
                </c:pt>
                <c:pt idx="873">
                  <c:v>45054</c:v>
                </c:pt>
                <c:pt idx="874">
                  <c:v>45055</c:v>
                </c:pt>
                <c:pt idx="875">
                  <c:v>45056</c:v>
                </c:pt>
                <c:pt idx="876">
                  <c:v>45057</c:v>
                </c:pt>
                <c:pt idx="877">
                  <c:v>45058</c:v>
                </c:pt>
                <c:pt idx="878">
                  <c:v>45061</c:v>
                </c:pt>
                <c:pt idx="879">
                  <c:v>45062</c:v>
                </c:pt>
                <c:pt idx="880">
                  <c:v>45063</c:v>
                </c:pt>
                <c:pt idx="881">
                  <c:v>45064</c:v>
                </c:pt>
                <c:pt idx="882">
                  <c:v>45065</c:v>
                </c:pt>
                <c:pt idx="883">
                  <c:v>45068</c:v>
                </c:pt>
                <c:pt idx="884">
                  <c:v>45069</c:v>
                </c:pt>
                <c:pt idx="885">
                  <c:v>45070</c:v>
                </c:pt>
                <c:pt idx="886">
                  <c:v>45071</c:v>
                </c:pt>
                <c:pt idx="887">
                  <c:v>45072</c:v>
                </c:pt>
                <c:pt idx="888">
                  <c:v>45075</c:v>
                </c:pt>
                <c:pt idx="889">
                  <c:v>45076</c:v>
                </c:pt>
                <c:pt idx="890">
                  <c:v>45077</c:v>
                </c:pt>
                <c:pt idx="891">
                  <c:v>45078</c:v>
                </c:pt>
                <c:pt idx="892">
                  <c:v>45079</c:v>
                </c:pt>
                <c:pt idx="893">
                  <c:v>45082</c:v>
                </c:pt>
                <c:pt idx="894">
                  <c:v>45083</c:v>
                </c:pt>
                <c:pt idx="895">
                  <c:v>45084</c:v>
                </c:pt>
                <c:pt idx="896">
                  <c:v>45085</c:v>
                </c:pt>
                <c:pt idx="897">
                  <c:v>45086</c:v>
                </c:pt>
                <c:pt idx="898">
                  <c:v>45089</c:v>
                </c:pt>
                <c:pt idx="899">
                  <c:v>45090</c:v>
                </c:pt>
                <c:pt idx="900">
                  <c:v>45091</c:v>
                </c:pt>
                <c:pt idx="901">
                  <c:v>45092</c:v>
                </c:pt>
                <c:pt idx="902">
                  <c:v>45093</c:v>
                </c:pt>
                <c:pt idx="903">
                  <c:v>45096</c:v>
                </c:pt>
                <c:pt idx="904">
                  <c:v>45097</c:v>
                </c:pt>
                <c:pt idx="905">
                  <c:v>45098</c:v>
                </c:pt>
                <c:pt idx="906">
                  <c:v>45099</c:v>
                </c:pt>
                <c:pt idx="907">
                  <c:v>45100</c:v>
                </c:pt>
                <c:pt idx="908">
                  <c:v>45103</c:v>
                </c:pt>
                <c:pt idx="909">
                  <c:v>45104</c:v>
                </c:pt>
                <c:pt idx="910">
                  <c:v>45105</c:v>
                </c:pt>
                <c:pt idx="911">
                  <c:v>45106</c:v>
                </c:pt>
                <c:pt idx="912">
                  <c:v>45107</c:v>
                </c:pt>
                <c:pt idx="913">
                  <c:v>45110</c:v>
                </c:pt>
                <c:pt idx="914">
                  <c:v>45111</c:v>
                </c:pt>
                <c:pt idx="915">
                  <c:v>45112</c:v>
                </c:pt>
                <c:pt idx="916">
                  <c:v>45113</c:v>
                </c:pt>
                <c:pt idx="917">
                  <c:v>45114</c:v>
                </c:pt>
                <c:pt idx="918">
                  <c:v>45117</c:v>
                </c:pt>
                <c:pt idx="919">
                  <c:v>45118</c:v>
                </c:pt>
                <c:pt idx="920">
                  <c:v>45119</c:v>
                </c:pt>
                <c:pt idx="921">
                  <c:v>45120</c:v>
                </c:pt>
                <c:pt idx="922">
                  <c:v>45121</c:v>
                </c:pt>
                <c:pt idx="923">
                  <c:v>45124</c:v>
                </c:pt>
                <c:pt idx="924">
                  <c:v>45125</c:v>
                </c:pt>
                <c:pt idx="925">
                  <c:v>45126</c:v>
                </c:pt>
                <c:pt idx="926">
                  <c:v>45127</c:v>
                </c:pt>
                <c:pt idx="927">
                  <c:v>45128</c:v>
                </c:pt>
                <c:pt idx="928">
                  <c:v>45131</c:v>
                </c:pt>
                <c:pt idx="929">
                  <c:v>45132</c:v>
                </c:pt>
                <c:pt idx="930">
                  <c:v>45133</c:v>
                </c:pt>
                <c:pt idx="931">
                  <c:v>45134</c:v>
                </c:pt>
                <c:pt idx="932">
                  <c:v>45135</c:v>
                </c:pt>
                <c:pt idx="933">
                  <c:v>45138</c:v>
                </c:pt>
                <c:pt idx="934">
                  <c:v>45139</c:v>
                </c:pt>
                <c:pt idx="935">
                  <c:v>45140</c:v>
                </c:pt>
                <c:pt idx="936">
                  <c:v>45141</c:v>
                </c:pt>
                <c:pt idx="937">
                  <c:v>45142</c:v>
                </c:pt>
                <c:pt idx="938">
                  <c:v>45145</c:v>
                </c:pt>
                <c:pt idx="939">
                  <c:v>45146</c:v>
                </c:pt>
                <c:pt idx="940">
                  <c:v>45147</c:v>
                </c:pt>
                <c:pt idx="941">
                  <c:v>45148</c:v>
                </c:pt>
                <c:pt idx="942">
                  <c:v>45149</c:v>
                </c:pt>
                <c:pt idx="943">
                  <c:v>45152</c:v>
                </c:pt>
                <c:pt idx="944">
                  <c:v>45153</c:v>
                </c:pt>
                <c:pt idx="945">
                  <c:v>45154</c:v>
                </c:pt>
                <c:pt idx="946">
                  <c:v>45155</c:v>
                </c:pt>
                <c:pt idx="947">
                  <c:v>45156</c:v>
                </c:pt>
                <c:pt idx="948">
                  <c:v>45159</c:v>
                </c:pt>
                <c:pt idx="949">
                  <c:v>45160</c:v>
                </c:pt>
                <c:pt idx="950">
                  <c:v>45161</c:v>
                </c:pt>
                <c:pt idx="951">
                  <c:v>45162</c:v>
                </c:pt>
                <c:pt idx="952">
                  <c:v>45163</c:v>
                </c:pt>
                <c:pt idx="953">
                  <c:v>45166</c:v>
                </c:pt>
                <c:pt idx="954">
                  <c:v>45167</c:v>
                </c:pt>
                <c:pt idx="955">
                  <c:v>45168</c:v>
                </c:pt>
                <c:pt idx="956">
                  <c:v>45169</c:v>
                </c:pt>
                <c:pt idx="957">
                  <c:v>45170</c:v>
                </c:pt>
                <c:pt idx="958">
                  <c:v>45173</c:v>
                </c:pt>
                <c:pt idx="959">
                  <c:v>45174</c:v>
                </c:pt>
                <c:pt idx="960">
                  <c:v>45175</c:v>
                </c:pt>
                <c:pt idx="961">
                  <c:v>45176</c:v>
                </c:pt>
                <c:pt idx="962">
                  <c:v>45177</c:v>
                </c:pt>
                <c:pt idx="963">
                  <c:v>45180</c:v>
                </c:pt>
              </c:numCache>
            </c:numRef>
          </c:cat>
          <c:val>
            <c:numRef>
              <c:f>Sheet1!$G$2:$G$1226</c:f>
              <c:numCache>
                <c:formatCode>0</c:formatCode>
                <c:ptCount val="964"/>
                <c:pt idx="0">
                  <c:v>3.45668</c:v>
                </c:pt>
                <c:pt idx="1">
                  <c:v>3.4153099999999998</c:v>
                </c:pt>
                <c:pt idx="2">
                  <c:v>3.49186</c:v>
                </c:pt>
                <c:pt idx="3">
                  <c:v>3.4552100000000001</c:v>
                </c:pt>
                <c:pt idx="4">
                  <c:v>3.4114800000000001</c:v>
                </c:pt>
                <c:pt idx="5">
                  <c:v>3.3294700000000002</c:v>
                </c:pt>
                <c:pt idx="6">
                  <c:v>3.2731599999999998</c:v>
                </c:pt>
                <c:pt idx="7">
                  <c:v>3.2604899999999999</c:v>
                </c:pt>
                <c:pt idx="8">
                  <c:v>3.1517500000000003</c:v>
                </c:pt>
                <c:pt idx="9">
                  <c:v>3.03186</c:v>
                </c:pt>
                <c:pt idx="10">
                  <c:v>3.09572</c:v>
                </c:pt>
                <c:pt idx="11">
                  <c:v>3.0803199999999999</c:v>
                </c:pt>
                <c:pt idx="12">
                  <c:v>3.0753599999999999</c:v>
                </c:pt>
                <c:pt idx="13">
                  <c:v>3.0753599999999999</c:v>
                </c:pt>
                <c:pt idx="14">
                  <c:v>3.1412800000000001</c:v>
                </c:pt>
                <c:pt idx="15">
                  <c:v>3.1427999999999998</c:v>
                </c:pt>
                <c:pt idx="16">
                  <c:v>3.2298100000000001</c:v>
                </c:pt>
                <c:pt idx="17">
                  <c:v>3.2908200000000001</c:v>
                </c:pt>
                <c:pt idx="18">
                  <c:v>3.4282900000000001</c:v>
                </c:pt>
                <c:pt idx="19">
                  <c:v>3.3715499999999996</c:v>
                </c:pt>
                <c:pt idx="20">
                  <c:v>3.4178600000000001</c:v>
                </c:pt>
                <c:pt idx="21">
                  <c:v>3.4437799999999998</c:v>
                </c:pt>
                <c:pt idx="22">
                  <c:v>3.51159</c:v>
                </c:pt>
                <c:pt idx="23">
                  <c:v>3.5322100000000001</c:v>
                </c:pt>
                <c:pt idx="24">
                  <c:v>3.4563900000000003</c:v>
                </c:pt>
                <c:pt idx="25">
                  <c:v>3.4051799999999997</c:v>
                </c:pt>
                <c:pt idx="26">
                  <c:v>3.3851799999999996</c:v>
                </c:pt>
                <c:pt idx="27">
                  <c:v>3.4485600000000001</c:v>
                </c:pt>
                <c:pt idx="28">
                  <c:v>3.4666199999999998</c:v>
                </c:pt>
                <c:pt idx="29">
                  <c:v>3.4285300000000003</c:v>
                </c:pt>
                <c:pt idx="30">
                  <c:v>3.3924799999999999</c:v>
                </c:pt>
                <c:pt idx="31">
                  <c:v>3.41466</c:v>
                </c:pt>
                <c:pt idx="32">
                  <c:v>3.3338900000000002</c:v>
                </c:pt>
                <c:pt idx="33">
                  <c:v>3.3338900000000002</c:v>
                </c:pt>
                <c:pt idx="34">
                  <c:v>3.3436900000000005</c:v>
                </c:pt>
                <c:pt idx="35">
                  <c:v>3.3305000000000002</c:v>
                </c:pt>
                <c:pt idx="36">
                  <c:v>3.3434900000000001</c:v>
                </c:pt>
                <c:pt idx="37">
                  <c:v>3.3826200000000002</c:v>
                </c:pt>
                <c:pt idx="38">
                  <c:v>3.5078500000000004</c:v>
                </c:pt>
                <c:pt idx="39">
                  <c:v>3.59015</c:v>
                </c:pt>
                <c:pt idx="40">
                  <c:v>3.6234600000000001</c:v>
                </c:pt>
                <c:pt idx="41">
                  <c:v>3.7427300000000003</c:v>
                </c:pt>
                <c:pt idx="42">
                  <c:v>4.0796000000000001</c:v>
                </c:pt>
                <c:pt idx="43">
                  <c:v>4.1107800000000001</c:v>
                </c:pt>
                <c:pt idx="44">
                  <c:v>4.1762600000000001</c:v>
                </c:pt>
                <c:pt idx="45">
                  <c:v>4.1165799999999999</c:v>
                </c:pt>
                <c:pt idx="46">
                  <c:v>4.1961300000000001</c:v>
                </c:pt>
                <c:pt idx="47">
                  <c:v>4.4555499999999997</c:v>
                </c:pt>
                <c:pt idx="48">
                  <c:v>5.2029100000000001</c:v>
                </c:pt>
                <c:pt idx="49">
                  <c:v>4.9917100000000003</c:v>
                </c:pt>
                <c:pt idx="50">
                  <c:v>5.04922</c:v>
                </c:pt>
                <c:pt idx="51">
                  <c:v>5.6737900000000003</c:v>
                </c:pt>
                <c:pt idx="52">
                  <c:v>5.5682600000000004</c:v>
                </c:pt>
                <c:pt idx="53">
                  <c:v>6.2325499999999998</c:v>
                </c:pt>
                <c:pt idx="54">
                  <c:v>6.2810799999999993</c:v>
                </c:pt>
                <c:pt idx="55">
                  <c:v>6.55532</c:v>
                </c:pt>
                <c:pt idx="56">
                  <c:v>6.5780499999999993</c:v>
                </c:pt>
                <c:pt idx="57">
                  <c:v>6.8737199999999996</c:v>
                </c:pt>
                <c:pt idx="58">
                  <c:v>7.5104199999999999</c:v>
                </c:pt>
                <c:pt idx="59">
                  <c:v>7.3462399999999999</c:v>
                </c:pt>
                <c:pt idx="60">
                  <c:v>7.2514500000000002</c:v>
                </c:pt>
                <c:pt idx="61">
                  <c:v>6.7624400000000007</c:v>
                </c:pt>
                <c:pt idx="62">
                  <c:v>6.6836900000000004</c:v>
                </c:pt>
                <c:pt idx="63">
                  <c:v>6.9193800000000003</c:v>
                </c:pt>
                <c:pt idx="64">
                  <c:v>6.7474600000000002</c:v>
                </c:pt>
                <c:pt idx="65">
                  <c:v>6.8524300000000009</c:v>
                </c:pt>
                <c:pt idx="66">
                  <c:v>6.8110999999999997</c:v>
                </c:pt>
                <c:pt idx="67">
                  <c:v>6.6935199999999995</c:v>
                </c:pt>
                <c:pt idx="68">
                  <c:v>6.4351799999999999</c:v>
                </c:pt>
                <c:pt idx="69">
                  <c:v>6.2674699999999994</c:v>
                </c:pt>
                <c:pt idx="70">
                  <c:v>6.4759199999999995</c:v>
                </c:pt>
                <c:pt idx="71">
                  <c:v>6.5149999999999997</c:v>
                </c:pt>
                <c:pt idx="72">
                  <c:v>6.5149999999999997</c:v>
                </c:pt>
                <c:pt idx="73">
                  <c:v>6.4798</c:v>
                </c:pt>
                <c:pt idx="74">
                  <c:v>6.3826800000000006</c:v>
                </c:pt>
                <c:pt idx="75">
                  <c:v>6.5212900000000005</c:v>
                </c:pt>
                <c:pt idx="76">
                  <c:v>6.5683500000000006</c:v>
                </c:pt>
                <c:pt idx="77">
                  <c:v>6.53688</c:v>
                </c:pt>
                <c:pt idx="78">
                  <c:v>6.5804499999999999</c:v>
                </c:pt>
                <c:pt idx="79">
                  <c:v>6.9003800000000002</c:v>
                </c:pt>
                <c:pt idx="80">
                  <c:v>6.9357299999999995</c:v>
                </c:pt>
                <c:pt idx="81">
                  <c:v>6.9111099999999999</c:v>
                </c:pt>
                <c:pt idx="82">
                  <c:v>6.9579100000000009</c:v>
                </c:pt>
                <c:pt idx="83">
                  <c:v>6.9598199999999997</c:v>
                </c:pt>
                <c:pt idx="84">
                  <c:v>7.0712800000000007</c:v>
                </c:pt>
                <c:pt idx="85">
                  <c:v>7.0244399999999994</c:v>
                </c:pt>
                <c:pt idx="86">
                  <c:v>6.9628599999999992</c:v>
                </c:pt>
                <c:pt idx="87">
                  <c:v>6.9594300000000002</c:v>
                </c:pt>
                <c:pt idx="88">
                  <c:v>6.9984700000000002</c:v>
                </c:pt>
                <c:pt idx="89">
                  <c:v>6.9106899999999998</c:v>
                </c:pt>
                <c:pt idx="90">
                  <c:v>6.8261900000000004</c:v>
                </c:pt>
                <c:pt idx="91">
                  <c:v>6.8058399999999999</c:v>
                </c:pt>
                <c:pt idx="92">
                  <c:v>6.8123400000000007</c:v>
                </c:pt>
                <c:pt idx="93">
                  <c:v>6.6584599999999998</c:v>
                </c:pt>
                <c:pt idx="94">
                  <c:v>6.5647799999999998</c:v>
                </c:pt>
                <c:pt idx="95">
                  <c:v>6.4644399999999997</c:v>
                </c:pt>
                <c:pt idx="96">
                  <c:v>6.5011599999999996</c:v>
                </c:pt>
                <c:pt idx="97">
                  <c:v>6.2313999999999998</c:v>
                </c:pt>
                <c:pt idx="98">
                  <c:v>5.9547799999999995</c:v>
                </c:pt>
                <c:pt idx="99">
                  <c:v>5.8477899999999998</c:v>
                </c:pt>
                <c:pt idx="100">
                  <c:v>5.7629299999999999</c:v>
                </c:pt>
                <c:pt idx="101">
                  <c:v>5.7696400000000008</c:v>
                </c:pt>
                <c:pt idx="102">
                  <c:v>5.7754600000000007</c:v>
                </c:pt>
                <c:pt idx="103">
                  <c:v>5.7754600000000007</c:v>
                </c:pt>
                <c:pt idx="104">
                  <c:v>5.6690099999999992</c:v>
                </c:pt>
                <c:pt idx="105">
                  <c:v>5.6837300000000006</c:v>
                </c:pt>
                <c:pt idx="106">
                  <c:v>5.6248299999999993</c:v>
                </c:pt>
                <c:pt idx="107">
                  <c:v>5.6539900000000003</c:v>
                </c:pt>
                <c:pt idx="108">
                  <c:v>5.6246499999999999</c:v>
                </c:pt>
                <c:pt idx="109">
                  <c:v>5.53383</c:v>
                </c:pt>
                <c:pt idx="110">
                  <c:v>5.4058399999999995</c:v>
                </c:pt>
                <c:pt idx="111">
                  <c:v>5.3256300000000003</c:v>
                </c:pt>
                <c:pt idx="112">
                  <c:v>5.1941999999999995</c:v>
                </c:pt>
                <c:pt idx="113">
                  <c:v>5.12723</c:v>
                </c:pt>
                <c:pt idx="114">
                  <c:v>5.1839599999999999</c:v>
                </c:pt>
                <c:pt idx="115">
                  <c:v>5.1960500000000005</c:v>
                </c:pt>
                <c:pt idx="116">
                  <c:v>5.3802700000000003</c:v>
                </c:pt>
                <c:pt idx="117">
                  <c:v>5.3888599999999993</c:v>
                </c:pt>
                <c:pt idx="118">
                  <c:v>5.5482199999999997</c:v>
                </c:pt>
                <c:pt idx="119">
                  <c:v>5.50258</c:v>
                </c:pt>
                <c:pt idx="120">
                  <c:v>5.6090300000000006</c:v>
                </c:pt>
                <c:pt idx="121">
                  <c:v>5.5553099999999995</c:v>
                </c:pt>
                <c:pt idx="122">
                  <c:v>5.5884499999999999</c:v>
                </c:pt>
                <c:pt idx="123">
                  <c:v>5.6502499999999998</c:v>
                </c:pt>
                <c:pt idx="124">
                  <c:v>5.7041899999999996</c:v>
                </c:pt>
                <c:pt idx="125">
                  <c:v>5.8416099999999993</c:v>
                </c:pt>
                <c:pt idx="126">
                  <c:v>6.1775000000000002</c:v>
                </c:pt>
                <c:pt idx="127">
                  <c:v>6.1093600000000006</c:v>
                </c:pt>
                <c:pt idx="128">
                  <c:v>6.1296299999999997</c:v>
                </c:pt>
                <c:pt idx="129">
                  <c:v>6.10548</c:v>
                </c:pt>
                <c:pt idx="130">
                  <c:v>6.0279699999999998</c:v>
                </c:pt>
                <c:pt idx="131">
                  <c:v>5.9463499999999998</c:v>
                </c:pt>
                <c:pt idx="132">
                  <c:v>5.9463499999999998</c:v>
                </c:pt>
                <c:pt idx="133">
                  <c:v>5.8951599999999997</c:v>
                </c:pt>
                <c:pt idx="134">
                  <c:v>5.9711999999999996</c:v>
                </c:pt>
                <c:pt idx="135">
                  <c:v>6.0040200000000006</c:v>
                </c:pt>
                <c:pt idx="136">
                  <c:v>6.0309900000000001</c:v>
                </c:pt>
                <c:pt idx="137">
                  <c:v>6.1673400000000003</c:v>
                </c:pt>
                <c:pt idx="138">
                  <c:v>6.1716200000000008</c:v>
                </c:pt>
                <c:pt idx="139">
                  <c:v>6.3697100000000004</c:v>
                </c:pt>
                <c:pt idx="140">
                  <c:v>6.4106300000000003</c:v>
                </c:pt>
                <c:pt idx="141">
                  <c:v>6.4719299999999995</c:v>
                </c:pt>
                <c:pt idx="142">
                  <c:v>6.4687699999999992</c:v>
                </c:pt>
                <c:pt idx="143">
                  <c:v>6.4796199999999997</c:v>
                </c:pt>
                <c:pt idx="144">
                  <c:v>6.4985900000000001</c:v>
                </c:pt>
                <c:pt idx="145">
                  <c:v>6.5536599999999998</c:v>
                </c:pt>
                <c:pt idx="146">
                  <c:v>6.5410000000000004</c:v>
                </c:pt>
                <c:pt idx="147">
                  <c:v>6.5592100000000002</c:v>
                </c:pt>
                <c:pt idx="148">
                  <c:v>6.5081199999999999</c:v>
                </c:pt>
                <c:pt idx="149">
                  <c:v>6.4830899999999998</c:v>
                </c:pt>
                <c:pt idx="150">
                  <c:v>6.2970100000000002</c:v>
                </c:pt>
                <c:pt idx="151">
                  <c:v>6.3117999999999999</c:v>
                </c:pt>
                <c:pt idx="152">
                  <c:v>6.1469899999999997</c:v>
                </c:pt>
                <c:pt idx="153">
                  <c:v>6.0743399999999994</c:v>
                </c:pt>
                <c:pt idx="154">
                  <c:v>6.0052099999999999</c:v>
                </c:pt>
                <c:pt idx="155">
                  <c:v>5.9143799999999995</c:v>
                </c:pt>
                <c:pt idx="156">
                  <c:v>6.0015400000000003</c:v>
                </c:pt>
                <c:pt idx="157">
                  <c:v>6.0447699999999998</c:v>
                </c:pt>
                <c:pt idx="158">
                  <c:v>6.1295099999999998</c:v>
                </c:pt>
                <c:pt idx="159">
                  <c:v>6.1969700000000003</c:v>
                </c:pt>
                <c:pt idx="160">
                  <c:v>6.1078299999999999</c:v>
                </c:pt>
                <c:pt idx="161">
                  <c:v>6.3665399999999996</c:v>
                </c:pt>
                <c:pt idx="162">
                  <c:v>6.7242100000000002</c:v>
                </c:pt>
                <c:pt idx="163">
                  <c:v>7.0969100000000003</c:v>
                </c:pt>
                <c:pt idx="164">
                  <c:v>6.6606300000000003</c:v>
                </c:pt>
                <c:pt idx="165">
                  <c:v>6.6215200000000003</c:v>
                </c:pt>
                <c:pt idx="166">
                  <c:v>6.7296299999999993</c:v>
                </c:pt>
                <c:pt idx="167">
                  <c:v>6.7051199999999991</c:v>
                </c:pt>
                <c:pt idx="168">
                  <c:v>6.8261800000000008</c:v>
                </c:pt>
                <c:pt idx="169">
                  <c:v>6.8277800000000006</c:v>
                </c:pt>
                <c:pt idx="170">
                  <c:v>6.7302300000000006</c:v>
                </c:pt>
                <c:pt idx="171">
                  <c:v>6.4162999999999997</c:v>
                </c:pt>
                <c:pt idx="172">
                  <c:v>6.4144399999999999</c:v>
                </c:pt>
                <c:pt idx="173">
                  <c:v>6.45275</c:v>
                </c:pt>
                <c:pt idx="174">
                  <c:v>6.312619999999999</c:v>
                </c:pt>
                <c:pt idx="175">
                  <c:v>6.2288699999999997</c:v>
                </c:pt>
                <c:pt idx="176">
                  <c:v>6.2905100000000003</c:v>
                </c:pt>
                <c:pt idx="177">
                  <c:v>6.2195</c:v>
                </c:pt>
                <c:pt idx="178">
                  <c:v>6.2195</c:v>
                </c:pt>
                <c:pt idx="179">
                  <c:v>6.2934799999999997</c:v>
                </c:pt>
                <c:pt idx="180">
                  <c:v>6.35684</c:v>
                </c:pt>
                <c:pt idx="181">
                  <c:v>6.2993699999999997</c:v>
                </c:pt>
                <c:pt idx="182">
                  <c:v>6.3282699999999998</c:v>
                </c:pt>
                <c:pt idx="183">
                  <c:v>6.2320899999999995</c:v>
                </c:pt>
                <c:pt idx="184">
                  <c:v>6.2058100000000005</c:v>
                </c:pt>
                <c:pt idx="185">
                  <c:v>6.2076900000000004</c:v>
                </c:pt>
                <c:pt idx="186">
                  <c:v>6.2151099999999992</c:v>
                </c:pt>
                <c:pt idx="187">
                  <c:v>5.9916700000000001</c:v>
                </c:pt>
                <c:pt idx="188">
                  <c:v>6.1730200000000002</c:v>
                </c:pt>
                <c:pt idx="189">
                  <c:v>6.2337800000000003</c:v>
                </c:pt>
                <c:pt idx="190">
                  <c:v>6.2915599999999996</c:v>
                </c:pt>
                <c:pt idx="191">
                  <c:v>6.5111999999999997</c:v>
                </c:pt>
                <c:pt idx="192">
                  <c:v>6.5203599999999993</c:v>
                </c:pt>
                <c:pt idx="193">
                  <c:v>6.4618399999999996</c:v>
                </c:pt>
                <c:pt idx="194">
                  <c:v>6.4675900000000004</c:v>
                </c:pt>
                <c:pt idx="195">
                  <c:v>6.4245399999999995</c:v>
                </c:pt>
                <c:pt idx="196">
                  <c:v>6.2526800000000007</c:v>
                </c:pt>
                <c:pt idx="197">
                  <c:v>6.2646799999999994</c:v>
                </c:pt>
                <c:pt idx="198">
                  <c:v>6.10032</c:v>
                </c:pt>
                <c:pt idx="199">
                  <c:v>6.0521599999999998</c:v>
                </c:pt>
                <c:pt idx="200">
                  <c:v>5.9684400000000002</c:v>
                </c:pt>
                <c:pt idx="201">
                  <c:v>5.9031700000000003</c:v>
                </c:pt>
                <c:pt idx="202">
                  <c:v>5.9013900000000001</c:v>
                </c:pt>
                <c:pt idx="203">
                  <c:v>5.9013900000000001</c:v>
                </c:pt>
                <c:pt idx="204">
                  <c:v>5.9376300000000004</c:v>
                </c:pt>
                <c:pt idx="205">
                  <c:v>6.0371500000000005</c:v>
                </c:pt>
                <c:pt idx="206">
                  <c:v>6.2758599999999998</c:v>
                </c:pt>
                <c:pt idx="207">
                  <c:v>6.2205899999999996</c:v>
                </c:pt>
                <c:pt idx="208">
                  <c:v>6.1278099999999993</c:v>
                </c:pt>
                <c:pt idx="209">
                  <c:v>6.1339300000000003</c:v>
                </c:pt>
                <c:pt idx="210">
                  <c:v>6.0572100000000004</c:v>
                </c:pt>
                <c:pt idx="211">
                  <c:v>6.0912600000000001</c:v>
                </c:pt>
                <c:pt idx="212">
                  <c:v>6.0422799999999999</c:v>
                </c:pt>
                <c:pt idx="213">
                  <c:v>6.1397599999999999</c:v>
                </c:pt>
                <c:pt idx="214">
                  <c:v>6.1601599999999994</c:v>
                </c:pt>
                <c:pt idx="215">
                  <c:v>6.1886400000000004</c:v>
                </c:pt>
                <c:pt idx="216">
                  <c:v>6.1467200000000002</c:v>
                </c:pt>
                <c:pt idx="217">
                  <c:v>6.1302200000000004</c:v>
                </c:pt>
                <c:pt idx="218">
                  <c:v>6.1609100000000003</c:v>
                </c:pt>
                <c:pt idx="219">
                  <c:v>6.1154399999999995</c:v>
                </c:pt>
                <c:pt idx="220">
                  <c:v>6.1646099999999997</c:v>
                </c:pt>
                <c:pt idx="221">
                  <c:v>5.9942799999999998</c:v>
                </c:pt>
                <c:pt idx="222">
                  <c:v>5.9462800000000007</c:v>
                </c:pt>
                <c:pt idx="223">
                  <c:v>5.6733900000000004</c:v>
                </c:pt>
                <c:pt idx="224">
                  <c:v>5.5707800000000001</c:v>
                </c:pt>
                <c:pt idx="225">
                  <c:v>5.5707800000000001</c:v>
                </c:pt>
                <c:pt idx="226">
                  <c:v>5.6415300000000004</c:v>
                </c:pt>
                <c:pt idx="227">
                  <c:v>5.6338900000000001</c:v>
                </c:pt>
                <c:pt idx="228">
                  <c:v>5.6351199999999997</c:v>
                </c:pt>
                <c:pt idx="229">
                  <c:v>5.73475</c:v>
                </c:pt>
                <c:pt idx="230">
                  <c:v>5.8</c:v>
                </c:pt>
                <c:pt idx="231">
                  <c:v>5.8409900000000006</c:v>
                </c:pt>
                <c:pt idx="232">
                  <c:v>5.8383399999999996</c:v>
                </c:pt>
                <c:pt idx="233">
                  <c:v>5.7641</c:v>
                </c:pt>
                <c:pt idx="234">
                  <c:v>5.6436699999999993</c:v>
                </c:pt>
                <c:pt idx="235">
                  <c:v>5.5624800000000008</c:v>
                </c:pt>
                <c:pt idx="236">
                  <c:v>5.5624800000000008</c:v>
                </c:pt>
                <c:pt idx="237">
                  <c:v>5.2933699999999995</c:v>
                </c:pt>
                <c:pt idx="238">
                  <c:v>5.2410600000000001</c:v>
                </c:pt>
                <c:pt idx="239">
                  <c:v>5.0069400000000002</c:v>
                </c:pt>
                <c:pt idx="240">
                  <c:v>4.9645000000000001</c:v>
                </c:pt>
                <c:pt idx="241">
                  <c:v>4.9206200000000004</c:v>
                </c:pt>
                <c:pt idx="242">
                  <c:v>4.8264999999999993</c:v>
                </c:pt>
                <c:pt idx="243">
                  <c:v>4.88232</c:v>
                </c:pt>
                <c:pt idx="244">
                  <c:v>4.9049200000000006</c:v>
                </c:pt>
                <c:pt idx="245">
                  <c:v>4.8926799999999995</c:v>
                </c:pt>
                <c:pt idx="246">
                  <c:v>4.9741800000000005</c:v>
                </c:pt>
                <c:pt idx="247">
                  <c:v>4.9982299999999995</c:v>
                </c:pt>
                <c:pt idx="248">
                  <c:v>4.9976900000000004</c:v>
                </c:pt>
                <c:pt idx="249">
                  <c:v>4.9885599999999997</c:v>
                </c:pt>
                <c:pt idx="250">
                  <c:v>4.9895899999999997</c:v>
                </c:pt>
                <c:pt idx="251">
                  <c:v>4.9803899999999999</c:v>
                </c:pt>
                <c:pt idx="252">
                  <c:v>4.9603799999999998</c:v>
                </c:pt>
                <c:pt idx="253">
                  <c:v>4.9902699999999998</c:v>
                </c:pt>
                <c:pt idx="254">
                  <c:v>5.0219800000000001</c:v>
                </c:pt>
                <c:pt idx="255">
                  <c:v>5.0194600000000005</c:v>
                </c:pt>
                <c:pt idx="256">
                  <c:v>5.0369400000000004</c:v>
                </c:pt>
                <c:pt idx="257">
                  <c:v>5.0369400000000004</c:v>
                </c:pt>
                <c:pt idx="258">
                  <c:v>5.0390100000000002</c:v>
                </c:pt>
                <c:pt idx="259">
                  <c:v>5.0338600000000007</c:v>
                </c:pt>
                <c:pt idx="260">
                  <c:v>5.01274</c:v>
                </c:pt>
                <c:pt idx="261">
                  <c:v>5.0306499999999996</c:v>
                </c:pt>
                <c:pt idx="262">
                  <c:v>5.0306499999999996</c:v>
                </c:pt>
                <c:pt idx="263">
                  <c:v>4.9528500000000006</c:v>
                </c:pt>
                <c:pt idx="264">
                  <c:v>4.9580700000000002</c:v>
                </c:pt>
                <c:pt idx="265">
                  <c:v>4.8944000000000001</c:v>
                </c:pt>
                <c:pt idx="266">
                  <c:v>4.8489699999999996</c:v>
                </c:pt>
                <c:pt idx="267">
                  <c:v>4.8359500000000004</c:v>
                </c:pt>
                <c:pt idx="268">
                  <c:v>4.82423</c:v>
                </c:pt>
                <c:pt idx="269">
                  <c:v>4.8813700000000004</c:v>
                </c:pt>
                <c:pt idx="270">
                  <c:v>4.9147800000000004</c:v>
                </c:pt>
                <c:pt idx="271">
                  <c:v>4.8620800000000006</c:v>
                </c:pt>
                <c:pt idx="272">
                  <c:v>4.8622800000000002</c:v>
                </c:pt>
                <c:pt idx="273">
                  <c:v>4.8622800000000002</c:v>
                </c:pt>
                <c:pt idx="274">
                  <c:v>4.89595</c:v>
                </c:pt>
                <c:pt idx="275">
                  <c:v>4.88171</c:v>
                </c:pt>
                <c:pt idx="276">
                  <c:v>4.8740600000000001</c:v>
                </c:pt>
                <c:pt idx="277">
                  <c:v>4.95838</c:v>
                </c:pt>
                <c:pt idx="278">
                  <c:v>4.9935900000000002</c:v>
                </c:pt>
                <c:pt idx="279">
                  <c:v>5.0220099999999999</c:v>
                </c:pt>
                <c:pt idx="280">
                  <c:v>5.0529799999999998</c:v>
                </c:pt>
                <c:pt idx="281">
                  <c:v>4.9885000000000002</c:v>
                </c:pt>
                <c:pt idx="282">
                  <c:v>4.9796899999999997</c:v>
                </c:pt>
                <c:pt idx="283">
                  <c:v>4.9386099999999997</c:v>
                </c:pt>
                <c:pt idx="284">
                  <c:v>4.8792099999999996</c:v>
                </c:pt>
                <c:pt idx="285">
                  <c:v>4.8688200000000004</c:v>
                </c:pt>
                <c:pt idx="286">
                  <c:v>4.8914900000000001</c:v>
                </c:pt>
                <c:pt idx="287">
                  <c:v>4.8780799999999997</c:v>
                </c:pt>
                <c:pt idx="288">
                  <c:v>4.9385199999999996</c:v>
                </c:pt>
                <c:pt idx="289">
                  <c:v>5.0409300000000004</c:v>
                </c:pt>
                <c:pt idx="290">
                  <c:v>5.0640200000000002</c:v>
                </c:pt>
                <c:pt idx="291">
                  <c:v>5.093</c:v>
                </c:pt>
                <c:pt idx="292">
                  <c:v>5.0848000000000004</c:v>
                </c:pt>
                <c:pt idx="293">
                  <c:v>5.0848000000000004</c:v>
                </c:pt>
                <c:pt idx="294">
                  <c:v>5.00366</c:v>
                </c:pt>
                <c:pt idx="295">
                  <c:v>5.00976</c:v>
                </c:pt>
                <c:pt idx="296">
                  <c:v>4.9890100000000004</c:v>
                </c:pt>
                <c:pt idx="297">
                  <c:v>4.9380500000000005</c:v>
                </c:pt>
                <c:pt idx="298">
                  <c:v>4.9414199999999999</c:v>
                </c:pt>
                <c:pt idx="299">
                  <c:v>4.9762200000000005</c:v>
                </c:pt>
                <c:pt idx="300">
                  <c:v>4.9599900000000003</c:v>
                </c:pt>
                <c:pt idx="301">
                  <c:v>4.8758999999999997</c:v>
                </c:pt>
                <c:pt idx="302">
                  <c:v>4.98454</c:v>
                </c:pt>
                <c:pt idx="303">
                  <c:v>4.9947800000000004</c:v>
                </c:pt>
                <c:pt idx="304">
                  <c:v>5.1375300000000008</c:v>
                </c:pt>
                <c:pt idx="305">
                  <c:v>5.1288599999999995</c:v>
                </c:pt>
                <c:pt idx="306">
                  <c:v>5.13354</c:v>
                </c:pt>
                <c:pt idx="307">
                  <c:v>5.2882299999999995</c:v>
                </c:pt>
                <c:pt idx="308">
                  <c:v>5.4020700000000001</c:v>
                </c:pt>
                <c:pt idx="309">
                  <c:v>5.3024100000000001</c:v>
                </c:pt>
                <c:pt idx="310">
                  <c:v>5.3552</c:v>
                </c:pt>
                <c:pt idx="311">
                  <c:v>5.5093300000000003</c:v>
                </c:pt>
                <c:pt idx="312">
                  <c:v>5.6834400000000009</c:v>
                </c:pt>
                <c:pt idx="313">
                  <c:v>5.7116300000000004</c:v>
                </c:pt>
                <c:pt idx="314">
                  <c:v>5.4856199999999999</c:v>
                </c:pt>
                <c:pt idx="315">
                  <c:v>5.5276199999999998</c:v>
                </c:pt>
                <c:pt idx="316">
                  <c:v>5.4838399999999998</c:v>
                </c:pt>
                <c:pt idx="317">
                  <c:v>5.3780899999999994</c:v>
                </c:pt>
                <c:pt idx="318">
                  <c:v>5.3220600000000005</c:v>
                </c:pt>
                <c:pt idx="319">
                  <c:v>5.4171900000000006</c:v>
                </c:pt>
                <c:pt idx="320">
                  <c:v>5.5131899999999998</c:v>
                </c:pt>
                <c:pt idx="321">
                  <c:v>5.4894699999999998</c:v>
                </c:pt>
                <c:pt idx="322">
                  <c:v>5.4803599999999992</c:v>
                </c:pt>
                <c:pt idx="323">
                  <c:v>5.4499500000000003</c:v>
                </c:pt>
                <c:pt idx="324">
                  <c:v>5.5910400000000005</c:v>
                </c:pt>
                <c:pt idx="325">
                  <c:v>5.5453200000000002</c:v>
                </c:pt>
                <c:pt idx="326">
                  <c:v>5.6536999999999997</c:v>
                </c:pt>
                <c:pt idx="327">
                  <c:v>5.63314</c:v>
                </c:pt>
                <c:pt idx="328">
                  <c:v>5.6340200000000005</c:v>
                </c:pt>
                <c:pt idx="329">
                  <c:v>5.7130200000000002</c:v>
                </c:pt>
                <c:pt idx="330">
                  <c:v>5.75976</c:v>
                </c:pt>
                <c:pt idx="331">
                  <c:v>5.7525199999999996</c:v>
                </c:pt>
                <c:pt idx="332">
                  <c:v>5.7733399999999993</c:v>
                </c:pt>
                <c:pt idx="333">
                  <c:v>5.76112</c:v>
                </c:pt>
                <c:pt idx="334">
                  <c:v>5.8026</c:v>
                </c:pt>
                <c:pt idx="335">
                  <c:v>5.7539099999999994</c:v>
                </c:pt>
                <c:pt idx="336">
                  <c:v>5.8069600000000001</c:v>
                </c:pt>
                <c:pt idx="337">
                  <c:v>5.7251000000000003</c:v>
                </c:pt>
                <c:pt idx="338">
                  <c:v>5.5916899999999998</c:v>
                </c:pt>
                <c:pt idx="339">
                  <c:v>5.5195000000000007</c:v>
                </c:pt>
                <c:pt idx="340">
                  <c:v>5.3656600000000001</c:v>
                </c:pt>
                <c:pt idx="341">
                  <c:v>5.2716600000000007</c:v>
                </c:pt>
                <c:pt idx="342">
                  <c:v>5.2420500000000008</c:v>
                </c:pt>
                <c:pt idx="343">
                  <c:v>5.24505</c:v>
                </c:pt>
                <c:pt idx="344">
                  <c:v>5.2662900000000006</c:v>
                </c:pt>
                <c:pt idx="345">
                  <c:v>5.2291099999999995</c:v>
                </c:pt>
                <c:pt idx="346">
                  <c:v>5.2394399999999992</c:v>
                </c:pt>
                <c:pt idx="347">
                  <c:v>5.2564700000000002</c:v>
                </c:pt>
                <c:pt idx="348">
                  <c:v>5.28789</c:v>
                </c:pt>
                <c:pt idx="349">
                  <c:v>5.3320899999999991</c:v>
                </c:pt>
                <c:pt idx="350">
                  <c:v>5.3299300000000009</c:v>
                </c:pt>
                <c:pt idx="351">
                  <c:v>5.3323999999999998</c:v>
                </c:pt>
                <c:pt idx="352">
                  <c:v>5.3446100000000003</c:v>
                </c:pt>
                <c:pt idx="353">
                  <c:v>5.3347500000000005</c:v>
                </c:pt>
                <c:pt idx="354">
                  <c:v>5.3801999999999994</c:v>
                </c:pt>
                <c:pt idx="355">
                  <c:v>5.3566499999999992</c:v>
                </c:pt>
                <c:pt idx="356">
                  <c:v>5.4570699999999999</c:v>
                </c:pt>
                <c:pt idx="357">
                  <c:v>5.4791999999999996</c:v>
                </c:pt>
                <c:pt idx="358">
                  <c:v>5.4830100000000002</c:v>
                </c:pt>
                <c:pt idx="359">
                  <c:v>5.4579100000000009</c:v>
                </c:pt>
                <c:pt idx="360">
                  <c:v>5.4881799999999998</c:v>
                </c:pt>
                <c:pt idx="361">
                  <c:v>5.5301800000000005</c:v>
                </c:pt>
                <c:pt idx="362">
                  <c:v>5.4344500000000009</c:v>
                </c:pt>
                <c:pt idx="363">
                  <c:v>5.9120799999999996</c:v>
                </c:pt>
                <c:pt idx="364">
                  <c:v>6.0175999999999998</c:v>
                </c:pt>
                <c:pt idx="365">
                  <c:v>6.1368799999999997</c:v>
                </c:pt>
                <c:pt idx="366">
                  <c:v>6.1147099999999996</c:v>
                </c:pt>
                <c:pt idx="367">
                  <c:v>6.0975699999999993</c:v>
                </c:pt>
                <c:pt idx="368">
                  <c:v>6.0975699999999993</c:v>
                </c:pt>
                <c:pt idx="369">
                  <c:v>5.9844399999999993</c:v>
                </c:pt>
                <c:pt idx="370">
                  <c:v>5.9335900000000006</c:v>
                </c:pt>
                <c:pt idx="371">
                  <c:v>5.88598</c:v>
                </c:pt>
                <c:pt idx="372">
                  <c:v>5.9373500000000003</c:v>
                </c:pt>
                <c:pt idx="373">
                  <c:v>5.8955799999999998</c:v>
                </c:pt>
                <c:pt idx="374">
                  <c:v>5.8721199999999998</c:v>
                </c:pt>
                <c:pt idx="375">
                  <c:v>5.8514099999999996</c:v>
                </c:pt>
                <c:pt idx="376">
                  <c:v>5.8689300000000006</c:v>
                </c:pt>
                <c:pt idx="377">
                  <c:v>5.8869500000000006</c:v>
                </c:pt>
                <c:pt idx="378">
                  <c:v>5.8746499999999999</c:v>
                </c:pt>
                <c:pt idx="379">
                  <c:v>5.9952599999999991</c:v>
                </c:pt>
                <c:pt idx="380">
                  <c:v>6.0202800000000005</c:v>
                </c:pt>
                <c:pt idx="381">
                  <c:v>6.0301300000000007</c:v>
                </c:pt>
                <c:pt idx="382">
                  <c:v>6.0692100000000009</c:v>
                </c:pt>
                <c:pt idx="383">
                  <c:v>6.6702599999999999</c:v>
                </c:pt>
                <c:pt idx="384">
                  <c:v>6.8010099999999998</c:v>
                </c:pt>
                <c:pt idx="385">
                  <c:v>6.8215599999999998</c:v>
                </c:pt>
                <c:pt idx="386">
                  <c:v>6.8422099999999997</c:v>
                </c:pt>
                <c:pt idx="387">
                  <c:v>6.7799900000000006</c:v>
                </c:pt>
                <c:pt idx="388">
                  <c:v>6.8380899999999993</c:v>
                </c:pt>
                <c:pt idx="389">
                  <c:v>6.8664499999999995</c:v>
                </c:pt>
                <c:pt idx="390">
                  <c:v>6.8597199999999994</c:v>
                </c:pt>
                <c:pt idx="391">
                  <c:v>6.8463799999999999</c:v>
                </c:pt>
                <c:pt idx="392">
                  <c:v>6.8924000000000003</c:v>
                </c:pt>
                <c:pt idx="393">
                  <c:v>6.8924000000000003</c:v>
                </c:pt>
                <c:pt idx="394">
                  <c:v>6.9738099999999994</c:v>
                </c:pt>
                <c:pt idx="395">
                  <c:v>7.0006200000000005</c:v>
                </c:pt>
                <c:pt idx="396">
                  <c:v>7.0228099999999998</c:v>
                </c:pt>
                <c:pt idx="397">
                  <c:v>7.0052300000000001</c:v>
                </c:pt>
                <c:pt idx="398">
                  <c:v>6.9891099999999993</c:v>
                </c:pt>
                <c:pt idx="399">
                  <c:v>6.97384</c:v>
                </c:pt>
                <c:pt idx="400">
                  <c:v>6.9930700000000003</c:v>
                </c:pt>
                <c:pt idx="401">
                  <c:v>7.0317800000000004</c:v>
                </c:pt>
                <c:pt idx="402">
                  <c:v>7.0378700000000007</c:v>
                </c:pt>
                <c:pt idx="403">
                  <c:v>7.1657100000000007</c:v>
                </c:pt>
                <c:pt idx="404">
                  <c:v>7.1582000000000008</c:v>
                </c:pt>
                <c:pt idx="405">
                  <c:v>7.0834999999999999</c:v>
                </c:pt>
                <c:pt idx="406">
                  <c:v>7.0814200000000005</c:v>
                </c:pt>
                <c:pt idx="407">
                  <c:v>7.0274699999999992</c:v>
                </c:pt>
                <c:pt idx="408">
                  <c:v>7.0312400000000004</c:v>
                </c:pt>
                <c:pt idx="409">
                  <c:v>6.93689</c:v>
                </c:pt>
                <c:pt idx="410">
                  <c:v>6.8235799999999998</c:v>
                </c:pt>
                <c:pt idx="411">
                  <c:v>6.7902099999999992</c:v>
                </c:pt>
                <c:pt idx="412">
                  <c:v>6.7736000000000001</c:v>
                </c:pt>
                <c:pt idx="413">
                  <c:v>6.7701799999999999</c:v>
                </c:pt>
                <c:pt idx="414">
                  <c:v>6.77529</c:v>
                </c:pt>
                <c:pt idx="415">
                  <c:v>6.7849400000000006</c:v>
                </c:pt>
                <c:pt idx="416">
                  <c:v>6.7627700000000006</c:v>
                </c:pt>
                <c:pt idx="417">
                  <c:v>6.7155700000000005</c:v>
                </c:pt>
                <c:pt idx="418">
                  <c:v>6.7085600000000003</c:v>
                </c:pt>
                <c:pt idx="419">
                  <c:v>6.7793299999999999</c:v>
                </c:pt>
                <c:pt idx="420">
                  <c:v>6.7693700000000003</c:v>
                </c:pt>
                <c:pt idx="421">
                  <c:v>6.7807899999999997</c:v>
                </c:pt>
                <c:pt idx="422">
                  <c:v>6.8701800000000004</c:v>
                </c:pt>
                <c:pt idx="423">
                  <c:v>6.9175900000000006</c:v>
                </c:pt>
                <c:pt idx="424">
                  <c:v>6.9532500000000006</c:v>
                </c:pt>
                <c:pt idx="425">
                  <c:v>6.9259299999999993</c:v>
                </c:pt>
                <c:pt idx="426">
                  <c:v>6.9535</c:v>
                </c:pt>
                <c:pt idx="427">
                  <c:v>6.9957399999999996</c:v>
                </c:pt>
                <c:pt idx="428">
                  <c:v>7.0708099999999998</c:v>
                </c:pt>
                <c:pt idx="429">
                  <c:v>7.0575999999999999</c:v>
                </c:pt>
                <c:pt idx="430">
                  <c:v>7.01614</c:v>
                </c:pt>
                <c:pt idx="431">
                  <c:v>6.9612800000000004</c:v>
                </c:pt>
                <c:pt idx="432">
                  <c:v>6.9939</c:v>
                </c:pt>
                <c:pt idx="433">
                  <c:v>7.02163</c:v>
                </c:pt>
                <c:pt idx="434">
                  <c:v>6.9377899999999997</c:v>
                </c:pt>
                <c:pt idx="435">
                  <c:v>6.8248100000000003</c:v>
                </c:pt>
                <c:pt idx="436">
                  <c:v>6.73726</c:v>
                </c:pt>
                <c:pt idx="437">
                  <c:v>6.6516899999999994</c:v>
                </c:pt>
                <c:pt idx="438">
                  <c:v>6.6516899999999994</c:v>
                </c:pt>
                <c:pt idx="439">
                  <c:v>6.54223</c:v>
                </c:pt>
                <c:pt idx="440">
                  <c:v>6.4573199999999993</c:v>
                </c:pt>
                <c:pt idx="441">
                  <c:v>6.4899500000000003</c:v>
                </c:pt>
                <c:pt idx="442">
                  <c:v>6.43527</c:v>
                </c:pt>
                <c:pt idx="443">
                  <c:v>6.4280200000000001</c:v>
                </c:pt>
                <c:pt idx="444">
                  <c:v>6.4942100000000007</c:v>
                </c:pt>
                <c:pt idx="445">
                  <c:v>6.4564500000000002</c:v>
                </c:pt>
                <c:pt idx="446">
                  <c:v>6.3912800000000001</c:v>
                </c:pt>
                <c:pt idx="447">
                  <c:v>6.3348500000000003</c:v>
                </c:pt>
                <c:pt idx="448">
                  <c:v>6.4363099999999998</c:v>
                </c:pt>
                <c:pt idx="449">
                  <c:v>6.4128800000000004</c:v>
                </c:pt>
                <c:pt idx="450">
                  <c:v>6.4868399999999999</c:v>
                </c:pt>
                <c:pt idx="451">
                  <c:v>6.4079300000000003</c:v>
                </c:pt>
                <c:pt idx="452">
                  <c:v>6.4168799999999999</c:v>
                </c:pt>
                <c:pt idx="453">
                  <c:v>6.4689800000000002</c:v>
                </c:pt>
                <c:pt idx="454">
                  <c:v>6.5564499999999999</c:v>
                </c:pt>
                <c:pt idx="455">
                  <c:v>6.5396799999999997</c:v>
                </c:pt>
                <c:pt idx="456">
                  <c:v>6.6430600000000002</c:v>
                </c:pt>
                <c:pt idx="457">
                  <c:v>6.7177200000000008</c:v>
                </c:pt>
                <c:pt idx="458">
                  <c:v>6.7780100000000001</c:v>
                </c:pt>
                <c:pt idx="459">
                  <c:v>6.7381100000000007</c:v>
                </c:pt>
                <c:pt idx="460">
                  <c:v>6.7488300000000008</c:v>
                </c:pt>
                <c:pt idx="461">
                  <c:v>6.7863699999999998</c:v>
                </c:pt>
                <c:pt idx="462">
                  <c:v>6.7753200000000007</c:v>
                </c:pt>
                <c:pt idx="463">
                  <c:v>6.7753200000000007</c:v>
                </c:pt>
                <c:pt idx="464">
                  <c:v>6.8</c:v>
                </c:pt>
                <c:pt idx="465">
                  <c:v>6.8097500000000002</c:v>
                </c:pt>
                <c:pt idx="466">
                  <c:v>6.8741499999999993</c:v>
                </c:pt>
                <c:pt idx="467">
                  <c:v>6.8178299999999998</c:v>
                </c:pt>
                <c:pt idx="468">
                  <c:v>6.7880799999999999</c:v>
                </c:pt>
                <c:pt idx="469">
                  <c:v>6.7259799999999998</c:v>
                </c:pt>
                <c:pt idx="470">
                  <c:v>6.7602099999999998</c:v>
                </c:pt>
                <c:pt idx="471">
                  <c:v>6.7272400000000001</c:v>
                </c:pt>
                <c:pt idx="472">
                  <c:v>6.7478999999999996</c:v>
                </c:pt>
                <c:pt idx="473">
                  <c:v>6.75223</c:v>
                </c:pt>
                <c:pt idx="474">
                  <c:v>6.7735599999999998</c:v>
                </c:pt>
                <c:pt idx="475">
                  <c:v>6.8194500000000007</c:v>
                </c:pt>
                <c:pt idx="476">
                  <c:v>6.8449199999999992</c:v>
                </c:pt>
                <c:pt idx="477">
                  <c:v>6.8420899999999998</c:v>
                </c:pt>
                <c:pt idx="478">
                  <c:v>6.8564400000000001</c:v>
                </c:pt>
                <c:pt idx="479">
                  <c:v>6.8806600000000007</c:v>
                </c:pt>
                <c:pt idx="480">
                  <c:v>6.8264399999999998</c:v>
                </c:pt>
                <c:pt idx="481">
                  <c:v>6.8936199999999994</c:v>
                </c:pt>
                <c:pt idx="482">
                  <c:v>6.9503999999999992</c:v>
                </c:pt>
                <c:pt idx="483">
                  <c:v>6.9096400000000004</c:v>
                </c:pt>
                <c:pt idx="484">
                  <c:v>6.9685799999999993</c:v>
                </c:pt>
                <c:pt idx="485">
                  <c:v>7.2099599999999997</c:v>
                </c:pt>
                <c:pt idx="486">
                  <c:v>7.2099599999999997</c:v>
                </c:pt>
                <c:pt idx="487">
                  <c:v>7.3478599999999998</c:v>
                </c:pt>
                <c:pt idx="488">
                  <c:v>7.4813499999999999</c:v>
                </c:pt>
                <c:pt idx="489">
                  <c:v>7.5682000000000009</c:v>
                </c:pt>
                <c:pt idx="490">
                  <c:v>7.6737000000000002</c:v>
                </c:pt>
                <c:pt idx="491">
                  <c:v>7.6092300000000002</c:v>
                </c:pt>
                <c:pt idx="492">
                  <c:v>7.6448299999999998</c:v>
                </c:pt>
                <c:pt idx="493">
                  <c:v>7.5424600000000002</c:v>
                </c:pt>
                <c:pt idx="494">
                  <c:v>7.6000199999999998</c:v>
                </c:pt>
                <c:pt idx="495">
                  <c:v>7.6015899999999998</c:v>
                </c:pt>
                <c:pt idx="496">
                  <c:v>7.6015899999999998</c:v>
                </c:pt>
                <c:pt idx="497">
                  <c:v>7.8271699999999997</c:v>
                </c:pt>
                <c:pt idx="498">
                  <c:v>7.7688999999999995</c:v>
                </c:pt>
                <c:pt idx="499">
                  <c:v>7.970839999999999</c:v>
                </c:pt>
                <c:pt idx="500">
                  <c:v>7.9541399999999998</c:v>
                </c:pt>
                <c:pt idx="501">
                  <c:v>7.9862099999999998</c:v>
                </c:pt>
                <c:pt idx="502">
                  <c:v>8.0873699999999999</c:v>
                </c:pt>
                <c:pt idx="503">
                  <c:v>8.1964000000000006</c:v>
                </c:pt>
                <c:pt idx="504">
                  <c:v>8.2492900000000002</c:v>
                </c:pt>
                <c:pt idx="505">
                  <c:v>8.2626799999999996</c:v>
                </c:pt>
                <c:pt idx="506">
                  <c:v>8.3452800000000007</c:v>
                </c:pt>
                <c:pt idx="507">
                  <c:v>8.4054599999999997</c:v>
                </c:pt>
                <c:pt idx="508">
                  <c:v>8.4520999999999997</c:v>
                </c:pt>
                <c:pt idx="509">
                  <c:v>8.4994500000000013</c:v>
                </c:pt>
                <c:pt idx="510">
                  <c:v>8.4897600000000004</c:v>
                </c:pt>
                <c:pt idx="511">
                  <c:v>8.5151599999999998</c:v>
                </c:pt>
                <c:pt idx="512">
                  <c:v>8.5713600000000003</c:v>
                </c:pt>
                <c:pt idx="513">
                  <c:v>8.5495799999999988</c:v>
                </c:pt>
                <c:pt idx="514">
                  <c:v>8.5381400000000003</c:v>
                </c:pt>
                <c:pt idx="515">
                  <c:v>8.4998000000000005</c:v>
                </c:pt>
                <c:pt idx="516">
                  <c:v>8.5266900000000003</c:v>
                </c:pt>
                <c:pt idx="517">
                  <c:v>8.5266900000000003</c:v>
                </c:pt>
                <c:pt idx="518">
                  <c:v>8.49953</c:v>
                </c:pt>
                <c:pt idx="519">
                  <c:v>8.5235500000000002</c:v>
                </c:pt>
                <c:pt idx="520">
                  <c:v>8.3734799999999989</c:v>
                </c:pt>
                <c:pt idx="521">
                  <c:v>8.3519100000000002</c:v>
                </c:pt>
                <c:pt idx="522">
                  <c:v>8.3806100000000008</c:v>
                </c:pt>
                <c:pt idx="523">
                  <c:v>8.2927099999999996</c:v>
                </c:pt>
                <c:pt idx="524">
                  <c:v>8.2020400000000002</c:v>
                </c:pt>
                <c:pt idx="525">
                  <c:v>8.1462199999999996</c:v>
                </c:pt>
                <c:pt idx="526">
                  <c:v>8.1631400000000003</c:v>
                </c:pt>
                <c:pt idx="527">
                  <c:v>8.1596200000000003</c:v>
                </c:pt>
                <c:pt idx="528">
                  <c:v>8.1405799999999999</c:v>
                </c:pt>
                <c:pt idx="529">
                  <c:v>8.1780999999999988</c:v>
                </c:pt>
                <c:pt idx="530">
                  <c:v>8.1248100000000001</c:v>
                </c:pt>
                <c:pt idx="531">
                  <c:v>8.1254899999999992</c:v>
                </c:pt>
                <c:pt idx="532">
                  <c:v>8.1537900000000008</c:v>
                </c:pt>
                <c:pt idx="533">
                  <c:v>8.1537900000000008</c:v>
                </c:pt>
                <c:pt idx="534">
                  <c:v>8.1599500000000003</c:v>
                </c:pt>
                <c:pt idx="535">
                  <c:v>8.2056100000000001</c:v>
                </c:pt>
                <c:pt idx="536">
                  <c:v>8.36496</c:v>
                </c:pt>
                <c:pt idx="537">
                  <c:v>8.7779299999999996</c:v>
                </c:pt>
                <c:pt idx="538">
                  <c:v>8.98583</c:v>
                </c:pt>
                <c:pt idx="539">
                  <c:v>9.1317699999999995</c:v>
                </c:pt>
                <c:pt idx="540">
                  <c:v>9.1864799999999995</c:v>
                </c:pt>
                <c:pt idx="541">
                  <c:v>9.2841699999999996</c:v>
                </c:pt>
                <c:pt idx="542">
                  <c:v>9.3443699999999996</c:v>
                </c:pt>
                <c:pt idx="543">
                  <c:v>9.340349999999999</c:v>
                </c:pt>
                <c:pt idx="544">
                  <c:v>9.3096700000000006</c:v>
                </c:pt>
                <c:pt idx="545">
                  <c:v>9.1852800000000006</c:v>
                </c:pt>
                <c:pt idx="546">
                  <c:v>8.9814000000000007</c:v>
                </c:pt>
                <c:pt idx="547">
                  <c:v>8.8506099999999996</c:v>
                </c:pt>
                <c:pt idx="548">
                  <c:v>8.9067499999999988</c:v>
                </c:pt>
                <c:pt idx="549">
                  <c:v>8.8577399999999997</c:v>
                </c:pt>
                <c:pt idx="550">
                  <c:v>8.8120700000000003</c:v>
                </c:pt>
                <c:pt idx="551">
                  <c:v>8.7604100000000003</c:v>
                </c:pt>
                <c:pt idx="552">
                  <c:v>8.7862200000000001</c:v>
                </c:pt>
                <c:pt idx="553">
                  <c:v>8.8227200000000003</c:v>
                </c:pt>
                <c:pt idx="554">
                  <c:v>8.7502499999999994</c:v>
                </c:pt>
                <c:pt idx="555">
                  <c:v>8.7255900000000004</c:v>
                </c:pt>
                <c:pt idx="556">
                  <c:v>8.7902699999999996</c:v>
                </c:pt>
                <c:pt idx="557">
                  <c:v>8.8053299999999997</c:v>
                </c:pt>
                <c:pt idx="558">
                  <c:v>8.8053299999999997</c:v>
                </c:pt>
                <c:pt idx="559">
                  <c:v>9.36843</c:v>
                </c:pt>
                <c:pt idx="560">
                  <c:v>9.8315099999999997</c:v>
                </c:pt>
                <c:pt idx="561">
                  <c:v>14.61135</c:v>
                </c:pt>
                <c:pt idx="562">
                  <c:v>14.5954</c:v>
                </c:pt>
                <c:pt idx="563">
                  <c:v>31.4011</c:v>
                </c:pt>
                <c:pt idx="564">
                  <c:v>38.411920000000002</c:v>
                </c:pt>
                <c:pt idx="565">
                  <c:v>42.457879999999996</c:v>
                </c:pt>
                <c:pt idx="566">
                  <c:v>53.595669999999998</c:v>
                </c:pt>
                <c:pt idx="567">
                  <c:v>115.79520000000001</c:v>
                </c:pt>
                <c:pt idx="568">
                  <c:v>97.216419999999999</c:v>
                </c:pt>
                <c:pt idx="569">
                  <c:v>96.069810000000004</c:v>
                </c:pt>
                <c:pt idx="570">
                  <c:v>92.058080000000004</c:v>
                </c:pt>
                <c:pt idx="571">
                  <c:v>88.88373</c:v>
                </c:pt>
                <c:pt idx="572">
                  <c:v>83.047549999999987</c:v>
                </c:pt>
                <c:pt idx="573">
                  <c:v>79.623310000000004</c:v>
                </c:pt>
                <c:pt idx="574">
                  <c:v>78.994120000000009</c:v>
                </c:pt>
                <c:pt idx="575">
                  <c:v>66.787269999999992</c:v>
                </c:pt>
                <c:pt idx="576">
                  <c:v>56.659669999999998</c:v>
                </c:pt>
                <c:pt idx="577">
                  <c:v>55.151649999999997</c:v>
                </c:pt>
                <c:pt idx="578">
                  <c:v>52.56718</c:v>
                </c:pt>
                <c:pt idx="579">
                  <c:v>51.617579999999997</c:v>
                </c:pt>
                <c:pt idx="580">
                  <c:v>50.4495</c:v>
                </c:pt>
                <c:pt idx="581">
                  <c:v>57.196319999999993</c:v>
                </c:pt>
                <c:pt idx="582">
                  <c:v>60.927929999999996</c:v>
                </c:pt>
                <c:pt idx="583">
                  <c:v>59.950009999999999</c:v>
                </c:pt>
                <c:pt idx="584">
                  <c:v>59.027430000000003</c:v>
                </c:pt>
                <c:pt idx="585">
                  <c:v>51.93244</c:v>
                </c:pt>
                <c:pt idx="586">
                  <c:v>46.476279999999996</c:v>
                </c:pt>
                <c:pt idx="587">
                  <c:v>46.04504</c:v>
                </c:pt>
                <c:pt idx="588">
                  <c:v>46.029480000000007</c:v>
                </c:pt>
                <c:pt idx="589">
                  <c:v>45.317399999999999</c:v>
                </c:pt>
                <c:pt idx="590">
                  <c:v>46.500789999999995</c:v>
                </c:pt>
                <c:pt idx="591">
                  <c:v>47.530020000000007</c:v>
                </c:pt>
                <c:pt idx="592">
                  <c:v>48.204549999999998</c:v>
                </c:pt>
                <c:pt idx="593">
                  <c:v>48.289960000000001</c:v>
                </c:pt>
                <c:pt idx="594">
                  <c:v>48.407619999999994</c:v>
                </c:pt>
                <c:pt idx="595">
                  <c:v>49.612209999999997</c:v>
                </c:pt>
                <c:pt idx="596">
                  <c:v>48.615569999999998</c:v>
                </c:pt>
                <c:pt idx="597">
                  <c:v>48.615569999999998</c:v>
                </c:pt>
                <c:pt idx="598">
                  <c:v>47.002499999999998</c:v>
                </c:pt>
                <c:pt idx="599">
                  <c:v>49.627209999999998</c:v>
                </c:pt>
                <c:pt idx="600">
                  <c:v>51.060379999999995</c:v>
                </c:pt>
                <c:pt idx="601">
                  <c:v>50.633649999999996</c:v>
                </c:pt>
                <c:pt idx="602">
                  <c:v>51.114350000000002</c:v>
                </c:pt>
                <c:pt idx="603">
                  <c:v>50.508320000000005</c:v>
                </c:pt>
                <c:pt idx="604">
                  <c:v>50.722990000000003</c:v>
                </c:pt>
                <c:pt idx="605">
                  <c:v>53.52852</c:v>
                </c:pt>
                <c:pt idx="606">
                  <c:v>52.845839999999995</c:v>
                </c:pt>
                <c:pt idx="607">
                  <c:v>52.833580000000005</c:v>
                </c:pt>
                <c:pt idx="608">
                  <c:v>52.752929999999999</c:v>
                </c:pt>
                <c:pt idx="609">
                  <c:v>52.789449999999995</c:v>
                </c:pt>
                <c:pt idx="610">
                  <c:v>51.87424</c:v>
                </c:pt>
                <c:pt idx="611">
                  <c:v>52.455939999999998</c:v>
                </c:pt>
                <c:pt idx="612">
                  <c:v>53.522700000000007</c:v>
                </c:pt>
                <c:pt idx="613">
                  <c:v>53.777520000000003</c:v>
                </c:pt>
                <c:pt idx="614">
                  <c:v>49.634799999999998</c:v>
                </c:pt>
                <c:pt idx="615">
                  <c:v>49.462600000000002</c:v>
                </c:pt>
                <c:pt idx="616">
                  <c:v>51.516809999999992</c:v>
                </c:pt>
                <c:pt idx="617">
                  <c:v>51.334409999999998</c:v>
                </c:pt>
                <c:pt idx="618">
                  <c:v>49.874679999999998</c:v>
                </c:pt>
                <c:pt idx="619">
                  <c:v>49.231090000000002</c:v>
                </c:pt>
                <c:pt idx="620">
                  <c:v>49.91713</c:v>
                </c:pt>
                <c:pt idx="621">
                  <c:v>50.489110000000004</c:v>
                </c:pt>
                <c:pt idx="622">
                  <c:v>50.646639999999998</c:v>
                </c:pt>
                <c:pt idx="623">
                  <c:v>49.756779999999999</c:v>
                </c:pt>
                <c:pt idx="624">
                  <c:v>49.213860000000004</c:v>
                </c:pt>
                <c:pt idx="625">
                  <c:v>49.559040000000003</c:v>
                </c:pt>
                <c:pt idx="626">
                  <c:v>49.365100000000005</c:v>
                </c:pt>
                <c:pt idx="627">
                  <c:v>47.916820000000001</c:v>
                </c:pt>
                <c:pt idx="628">
                  <c:v>47.916820000000001</c:v>
                </c:pt>
                <c:pt idx="629">
                  <c:v>48.064480000000003</c:v>
                </c:pt>
                <c:pt idx="630">
                  <c:v>46.483699999999999</c:v>
                </c:pt>
                <c:pt idx="631">
                  <c:v>47.259859999999996</c:v>
                </c:pt>
                <c:pt idx="632">
                  <c:v>47.255389999999998</c:v>
                </c:pt>
                <c:pt idx="633">
                  <c:v>46.17098</c:v>
                </c:pt>
                <c:pt idx="634">
                  <c:v>46.769210000000001</c:v>
                </c:pt>
                <c:pt idx="635">
                  <c:v>46.824399999999997</c:v>
                </c:pt>
                <c:pt idx="636">
                  <c:v>46.919380000000004</c:v>
                </c:pt>
                <c:pt idx="637">
                  <c:v>47.37397</c:v>
                </c:pt>
                <c:pt idx="638">
                  <c:v>47.264719999999997</c:v>
                </c:pt>
                <c:pt idx="639">
                  <c:v>47.103490000000001</c:v>
                </c:pt>
                <c:pt idx="640">
                  <c:v>47.137059999999998</c:v>
                </c:pt>
                <c:pt idx="641">
                  <c:v>47.14049</c:v>
                </c:pt>
                <c:pt idx="642">
                  <c:v>47.180020000000006</c:v>
                </c:pt>
                <c:pt idx="643">
                  <c:v>47.180020000000006</c:v>
                </c:pt>
                <c:pt idx="644">
                  <c:v>47.122079999999997</c:v>
                </c:pt>
                <c:pt idx="645">
                  <c:v>47.495649999999998</c:v>
                </c:pt>
                <c:pt idx="646">
                  <c:v>47.548149999999993</c:v>
                </c:pt>
                <c:pt idx="647">
                  <c:v>47.421170000000004</c:v>
                </c:pt>
                <c:pt idx="648">
                  <c:v>46.963999999999999</c:v>
                </c:pt>
                <c:pt idx="649">
                  <c:v>47.320820000000005</c:v>
                </c:pt>
                <c:pt idx="650">
                  <c:v>47.040439999999997</c:v>
                </c:pt>
                <c:pt idx="651">
                  <c:v>47.214709999999997</c:v>
                </c:pt>
                <c:pt idx="652">
                  <c:v>47.598469999999999</c:v>
                </c:pt>
                <c:pt idx="653">
                  <c:v>47.598469999999999</c:v>
                </c:pt>
                <c:pt idx="654">
                  <c:v>47.393119999999996</c:v>
                </c:pt>
                <c:pt idx="655">
                  <c:v>47.008500000000005</c:v>
                </c:pt>
                <c:pt idx="656">
                  <c:v>46.894509999999997</c:v>
                </c:pt>
                <c:pt idx="657">
                  <c:v>46.845089999999999</c:v>
                </c:pt>
                <c:pt idx="658">
                  <c:v>46.988590000000002</c:v>
                </c:pt>
                <c:pt idx="659">
                  <c:v>47.013990000000007</c:v>
                </c:pt>
                <c:pt idx="660">
                  <c:v>47.048500000000004</c:v>
                </c:pt>
                <c:pt idx="661">
                  <c:v>46.952950000000001</c:v>
                </c:pt>
                <c:pt idx="662">
                  <c:v>47.209200000000003</c:v>
                </c:pt>
                <c:pt idx="663">
                  <c:v>46.064570000000003</c:v>
                </c:pt>
                <c:pt idx="664">
                  <c:v>47.281649999999999</c:v>
                </c:pt>
                <c:pt idx="665">
                  <c:v>49.229329999999997</c:v>
                </c:pt>
                <c:pt idx="666">
                  <c:v>49.356940000000002</c:v>
                </c:pt>
                <c:pt idx="667">
                  <c:v>50.716769999999997</c:v>
                </c:pt>
                <c:pt idx="668">
                  <c:v>55.756790000000002</c:v>
                </c:pt>
                <c:pt idx="669">
                  <c:v>56.571130000000004</c:v>
                </c:pt>
                <c:pt idx="670">
                  <c:v>57.347670000000001</c:v>
                </c:pt>
                <c:pt idx="671">
                  <c:v>56.484530000000007</c:v>
                </c:pt>
                <c:pt idx="672">
                  <c:v>55.897740000000006</c:v>
                </c:pt>
                <c:pt idx="673">
                  <c:v>56.062780000000004</c:v>
                </c:pt>
                <c:pt idx="674">
                  <c:v>55.96161</c:v>
                </c:pt>
                <c:pt idx="675">
                  <c:v>57.31</c:v>
                </c:pt>
                <c:pt idx="676">
                  <c:v>57.414449999999995</c:v>
                </c:pt>
                <c:pt idx="677">
                  <c:v>57.285769999999999</c:v>
                </c:pt>
                <c:pt idx="678">
                  <c:v>56.697870000000002</c:v>
                </c:pt>
                <c:pt idx="679">
                  <c:v>54.98218</c:v>
                </c:pt>
                <c:pt idx="680">
                  <c:v>54.923419999999993</c:v>
                </c:pt>
                <c:pt idx="681">
                  <c:v>53.232389999999995</c:v>
                </c:pt>
                <c:pt idx="682">
                  <c:v>52.368469999999995</c:v>
                </c:pt>
                <c:pt idx="683">
                  <c:v>49.964799999999997</c:v>
                </c:pt>
                <c:pt idx="684">
                  <c:v>48.441220000000001</c:v>
                </c:pt>
                <c:pt idx="685">
                  <c:v>47.807020000000001</c:v>
                </c:pt>
                <c:pt idx="686">
                  <c:v>48.352579999999996</c:v>
                </c:pt>
                <c:pt idx="687">
                  <c:v>47.271909999999998</c:v>
                </c:pt>
                <c:pt idx="688">
                  <c:v>46.844269999999995</c:v>
                </c:pt>
                <c:pt idx="689">
                  <c:v>44.490429999999996</c:v>
                </c:pt>
                <c:pt idx="690">
                  <c:v>44.193540000000006</c:v>
                </c:pt>
                <c:pt idx="691">
                  <c:v>38.881740000000001</c:v>
                </c:pt>
                <c:pt idx="692">
                  <c:v>38.733989999999999</c:v>
                </c:pt>
                <c:pt idx="693">
                  <c:v>38.754249999999999</c:v>
                </c:pt>
                <c:pt idx="694">
                  <c:v>38.521390000000004</c:v>
                </c:pt>
                <c:pt idx="695">
                  <c:v>37.33634</c:v>
                </c:pt>
                <c:pt idx="696">
                  <c:v>37.4054</c:v>
                </c:pt>
                <c:pt idx="697">
                  <c:v>35.323720000000002</c:v>
                </c:pt>
                <c:pt idx="698">
                  <c:v>35.323720000000002</c:v>
                </c:pt>
                <c:pt idx="699">
                  <c:v>35.140010000000004</c:v>
                </c:pt>
                <c:pt idx="700">
                  <c:v>34.697519999999997</c:v>
                </c:pt>
                <c:pt idx="701">
                  <c:v>34.290569999999995</c:v>
                </c:pt>
                <c:pt idx="702">
                  <c:v>33.688139999999997</c:v>
                </c:pt>
                <c:pt idx="703">
                  <c:v>32.239650000000005</c:v>
                </c:pt>
                <c:pt idx="704">
                  <c:v>31.97044</c:v>
                </c:pt>
                <c:pt idx="705">
                  <c:v>31.834389999999999</c:v>
                </c:pt>
                <c:pt idx="706">
                  <c:v>31.874169999999999</c:v>
                </c:pt>
                <c:pt idx="707">
                  <c:v>31.345880000000001</c:v>
                </c:pt>
                <c:pt idx="708">
                  <c:v>31.318950000000001</c:v>
                </c:pt>
                <c:pt idx="709">
                  <c:v>30.886460000000003</c:v>
                </c:pt>
                <c:pt idx="710">
                  <c:v>30.810469999999999</c:v>
                </c:pt>
                <c:pt idx="711">
                  <c:v>30.71602</c:v>
                </c:pt>
                <c:pt idx="712">
                  <c:v>30.88335</c:v>
                </c:pt>
                <c:pt idx="713">
                  <c:v>31.023420000000002</c:v>
                </c:pt>
                <c:pt idx="714">
                  <c:v>30.768829999999998</c:v>
                </c:pt>
                <c:pt idx="715">
                  <c:v>30.842890000000001</c:v>
                </c:pt>
                <c:pt idx="716">
                  <c:v>30.123910000000002</c:v>
                </c:pt>
                <c:pt idx="717">
                  <c:v>30.313769999999998</c:v>
                </c:pt>
                <c:pt idx="718">
                  <c:v>30.876069999999999</c:v>
                </c:pt>
                <c:pt idx="719">
                  <c:v>31.00309</c:v>
                </c:pt>
                <c:pt idx="720">
                  <c:v>30.886559999999999</c:v>
                </c:pt>
                <c:pt idx="721">
                  <c:v>30.753769999999999</c:v>
                </c:pt>
                <c:pt idx="722">
                  <c:v>31.118839999999999</c:v>
                </c:pt>
                <c:pt idx="723">
                  <c:v>31.118839999999999</c:v>
                </c:pt>
                <c:pt idx="724">
                  <c:v>32.582540000000002</c:v>
                </c:pt>
                <c:pt idx="725">
                  <c:v>33.93891</c:v>
                </c:pt>
                <c:pt idx="726">
                  <c:v>33.906550000000003</c:v>
                </c:pt>
                <c:pt idx="727">
                  <c:v>34.1128</c:v>
                </c:pt>
                <c:pt idx="728">
                  <c:v>32.937570000000001</c:v>
                </c:pt>
                <c:pt idx="729">
                  <c:v>33.052820000000004</c:v>
                </c:pt>
                <c:pt idx="730">
                  <c:v>33.940809999999999</c:v>
                </c:pt>
                <c:pt idx="731">
                  <c:v>33.722079999999998</c:v>
                </c:pt>
                <c:pt idx="732">
                  <c:v>34.307609999999997</c:v>
                </c:pt>
                <c:pt idx="733">
                  <c:v>34.320569999999996</c:v>
                </c:pt>
                <c:pt idx="734">
                  <c:v>34.48227</c:v>
                </c:pt>
                <c:pt idx="735">
                  <c:v>34.649419999999999</c:v>
                </c:pt>
                <c:pt idx="736">
                  <c:v>33.780200000000001</c:v>
                </c:pt>
                <c:pt idx="737">
                  <c:v>33.6828</c:v>
                </c:pt>
                <c:pt idx="738">
                  <c:v>33.72522</c:v>
                </c:pt>
                <c:pt idx="739">
                  <c:v>34.95317</c:v>
                </c:pt>
                <c:pt idx="740">
                  <c:v>34.576340000000002</c:v>
                </c:pt>
                <c:pt idx="741">
                  <c:v>34.416599999999995</c:v>
                </c:pt>
                <c:pt idx="742">
                  <c:v>34.412939999999999</c:v>
                </c:pt>
                <c:pt idx="743">
                  <c:v>34.036680000000004</c:v>
                </c:pt>
                <c:pt idx="744">
                  <c:v>33.642689999999995</c:v>
                </c:pt>
                <c:pt idx="745">
                  <c:v>33.344560000000001</c:v>
                </c:pt>
                <c:pt idx="746">
                  <c:v>32.975360000000002</c:v>
                </c:pt>
                <c:pt idx="747">
                  <c:v>32.975360000000002</c:v>
                </c:pt>
                <c:pt idx="748">
                  <c:v>31.671129999999998</c:v>
                </c:pt>
                <c:pt idx="749">
                  <c:v>31.543049999999997</c:v>
                </c:pt>
                <c:pt idx="750">
                  <c:v>28.648339999999997</c:v>
                </c:pt>
                <c:pt idx="751">
                  <c:v>28.408770000000001</c:v>
                </c:pt>
                <c:pt idx="752">
                  <c:v>30.433699999999998</c:v>
                </c:pt>
                <c:pt idx="753">
                  <c:v>30.269209999999998</c:v>
                </c:pt>
                <c:pt idx="754">
                  <c:v>28.860959999999999</c:v>
                </c:pt>
                <c:pt idx="755">
                  <c:v>27.935310000000001</c:v>
                </c:pt>
                <c:pt idx="756">
                  <c:v>27.935310000000001</c:v>
                </c:pt>
                <c:pt idx="757">
                  <c:v>24.769679999999997</c:v>
                </c:pt>
                <c:pt idx="758">
                  <c:v>24.186570000000003</c:v>
                </c:pt>
                <c:pt idx="759">
                  <c:v>23.188299999999998</c:v>
                </c:pt>
                <c:pt idx="760">
                  <c:v>22.98386</c:v>
                </c:pt>
                <c:pt idx="761">
                  <c:v>23.111470000000001</c:v>
                </c:pt>
                <c:pt idx="762">
                  <c:v>23.185230000000001</c:v>
                </c:pt>
                <c:pt idx="763">
                  <c:v>22.959710000000001</c:v>
                </c:pt>
                <c:pt idx="764">
                  <c:v>22.745949999999997</c:v>
                </c:pt>
                <c:pt idx="765">
                  <c:v>23.228619999999999</c:v>
                </c:pt>
                <c:pt idx="766">
                  <c:v>23.048870000000001</c:v>
                </c:pt>
                <c:pt idx="767">
                  <c:v>22.961370000000002</c:v>
                </c:pt>
                <c:pt idx="768">
                  <c:v>22.770489999999999</c:v>
                </c:pt>
                <c:pt idx="769">
                  <c:v>22.986460000000001</c:v>
                </c:pt>
                <c:pt idx="770">
                  <c:v>23.181159999999998</c:v>
                </c:pt>
                <c:pt idx="771">
                  <c:v>23.359189999999998</c:v>
                </c:pt>
                <c:pt idx="772">
                  <c:v>23.43927</c:v>
                </c:pt>
                <c:pt idx="773">
                  <c:v>23.360700000000001</c:v>
                </c:pt>
                <c:pt idx="774">
                  <c:v>23.132750000000001</c:v>
                </c:pt>
                <c:pt idx="775">
                  <c:v>23.250279999999997</c:v>
                </c:pt>
                <c:pt idx="776">
                  <c:v>23.208299999999998</c:v>
                </c:pt>
                <c:pt idx="777">
                  <c:v>23.128069999999997</c:v>
                </c:pt>
                <c:pt idx="778">
                  <c:v>23.128069999999997</c:v>
                </c:pt>
                <c:pt idx="779">
                  <c:v>23.034870000000002</c:v>
                </c:pt>
                <c:pt idx="780">
                  <c:v>23.157820000000001</c:v>
                </c:pt>
                <c:pt idx="781">
                  <c:v>23.156619999999997</c:v>
                </c:pt>
                <c:pt idx="782">
                  <c:v>23.29466</c:v>
                </c:pt>
                <c:pt idx="783">
                  <c:v>23.29466</c:v>
                </c:pt>
                <c:pt idx="784">
                  <c:v>23.40436</c:v>
                </c:pt>
                <c:pt idx="785">
                  <c:v>23.598139999999997</c:v>
                </c:pt>
                <c:pt idx="786">
                  <c:v>23.466529999999999</c:v>
                </c:pt>
                <c:pt idx="787">
                  <c:v>23.85399</c:v>
                </c:pt>
                <c:pt idx="788">
                  <c:v>23.8125</c:v>
                </c:pt>
                <c:pt idx="789">
                  <c:v>23.645910000000001</c:v>
                </c:pt>
                <c:pt idx="790">
                  <c:v>23.68092</c:v>
                </c:pt>
                <c:pt idx="791">
                  <c:v>23.705290000000002</c:v>
                </c:pt>
                <c:pt idx="792">
                  <c:v>23.3567</c:v>
                </c:pt>
                <c:pt idx="793">
                  <c:v>23.3567</c:v>
                </c:pt>
                <c:pt idx="794">
                  <c:v>23.279640000000001</c:v>
                </c:pt>
                <c:pt idx="795">
                  <c:v>23.38721</c:v>
                </c:pt>
                <c:pt idx="796">
                  <c:v>23.357410000000002</c:v>
                </c:pt>
                <c:pt idx="797">
                  <c:v>23.440970000000004</c:v>
                </c:pt>
                <c:pt idx="798">
                  <c:v>23.581480000000003</c:v>
                </c:pt>
                <c:pt idx="799">
                  <c:v>23.578490000000002</c:v>
                </c:pt>
                <c:pt idx="800">
                  <c:v>23.699450000000002</c:v>
                </c:pt>
                <c:pt idx="801">
                  <c:v>23.545999999999999</c:v>
                </c:pt>
                <c:pt idx="802">
                  <c:v>23.556429999999999</c:v>
                </c:pt>
                <c:pt idx="803">
                  <c:v>23.55246</c:v>
                </c:pt>
                <c:pt idx="804">
                  <c:v>23.986750000000001</c:v>
                </c:pt>
                <c:pt idx="805">
                  <c:v>24.318670000000001</c:v>
                </c:pt>
                <c:pt idx="806">
                  <c:v>24.627220000000001</c:v>
                </c:pt>
                <c:pt idx="807">
                  <c:v>24.676280000000002</c:v>
                </c:pt>
                <c:pt idx="808">
                  <c:v>24.739349999999998</c:v>
                </c:pt>
                <c:pt idx="809">
                  <c:v>24.75395</c:v>
                </c:pt>
                <c:pt idx="810">
                  <c:v>24.87988</c:v>
                </c:pt>
                <c:pt idx="811">
                  <c:v>24.944540000000003</c:v>
                </c:pt>
                <c:pt idx="812">
                  <c:v>24.671599999999998</c:v>
                </c:pt>
                <c:pt idx="813">
                  <c:v>24.741399999999999</c:v>
                </c:pt>
                <c:pt idx="814">
                  <c:v>24.91525</c:v>
                </c:pt>
                <c:pt idx="815">
                  <c:v>24.74841</c:v>
                </c:pt>
                <c:pt idx="816">
                  <c:v>24.794119999999999</c:v>
                </c:pt>
                <c:pt idx="817">
                  <c:v>24.963509999999999</c:v>
                </c:pt>
                <c:pt idx="818">
                  <c:v>24.963509999999999</c:v>
                </c:pt>
                <c:pt idx="819">
                  <c:v>24.892510000000001</c:v>
                </c:pt>
                <c:pt idx="820">
                  <c:v>24.901570000000003</c:v>
                </c:pt>
                <c:pt idx="821">
                  <c:v>24.99372</c:v>
                </c:pt>
                <c:pt idx="822">
                  <c:v>22.91114</c:v>
                </c:pt>
                <c:pt idx="823">
                  <c:v>22.917660000000001</c:v>
                </c:pt>
                <c:pt idx="824">
                  <c:v>23.214459999999999</c:v>
                </c:pt>
                <c:pt idx="825">
                  <c:v>22.976439999999997</c:v>
                </c:pt>
                <c:pt idx="826">
                  <c:v>22.969319999999996</c:v>
                </c:pt>
                <c:pt idx="827">
                  <c:v>23.03904</c:v>
                </c:pt>
                <c:pt idx="828">
                  <c:v>22.873339999999999</c:v>
                </c:pt>
                <c:pt idx="829">
                  <c:v>22.849630000000001</c:v>
                </c:pt>
                <c:pt idx="830">
                  <c:v>22.950530000000001</c:v>
                </c:pt>
                <c:pt idx="831">
                  <c:v>22.84601</c:v>
                </c:pt>
                <c:pt idx="832">
                  <c:v>23.08832</c:v>
                </c:pt>
                <c:pt idx="833">
                  <c:v>23.290320000000001</c:v>
                </c:pt>
                <c:pt idx="834">
                  <c:v>23.285019999999999</c:v>
                </c:pt>
                <c:pt idx="835">
                  <c:v>23.484679999999997</c:v>
                </c:pt>
                <c:pt idx="836">
                  <c:v>23.306539999999998</c:v>
                </c:pt>
                <c:pt idx="837">
                  <c:v>23.50994</c:v>
                </c:pt>
                <c:pt idx="838">
                  <c:v>23.476149999999997</c:v>
                </c:pt>
                <c:pt idx="839">
                  <c:v>23.403270000000003</c:v>
                </c:pt>
                <c:pt idx="840">
                  <c:v>23.621729999999999</c:v>
                </c:pt>
                <c:pt idx="841">
                  <c:v>23.788609999999998</c:v>
                </c:pt>
                <c:pt idx="842">
                  <c:v>23.544599999999999</c:v>
                </c:pt>
                <c:pt idx="843">
                  <c:v>23.642130000000002</c:v>
                </c:pt>
                <c:pt idx="844">
                  <c:v>23.327930000000002</c:v>
                </c:pt>
                <c:pt idx="845">
                  <c:v>23.121469999999999</c:v>
                </c:pt>
                <c:pt idx="846">
                  <c:v>23.153220000000001</c:v>
                </c:pt>
                <c:pt idx="847">
                  <c:v>23.166119999999999</c:v>
                </c:pt>
                <c:pt idx="848">
                  <c:v>23.20966</c:v>
                </c:pt>
                <c:pt idx="849">
                  <c:v>23.26679</c:v>
                </c:pt>
                <c:pt idx="850">
                  <c:v>23.425729999999998</c:v>
                </c:pt>
                <c:pt idx="851">
                  <c:v>23.297550000000001</c:v>
                </c:pt>
                <c:pt idx="852">
                  <c:v>23.10708</c:v>
                </c:pt>
                <c:pt idx="853">
                  <c:v>23.309549999999998</c:v>
                </c:pt>
                <c:pt idx="854">
                  <c:v>23.351219999999998</c:v>
                </c:pt>
                <c:pt idx="855">
                  <c:v>23.210369999999998</c:v>
                </c:pt>
                <c:pt idx="856">
                  <c:v>23.31223</c:v>
                </c:pt>
                <c:pt idx="857">
                  <c:v>23.151979999999998</c:v>
                </c:pt>
                <c:pt idx="858">
                  <c:v>22.95917</c:v>
                </c:pt>
                <c:pt idx="859">
                  <c:v>22.947710000000001</c:v>
                </c:pt>
                <c:pt idx="860">
                  <c:v>22.957289999999997</c:v>
                </c:pt>
                <c:pt idx="861">
                  <c:v>22.909549999999999</c:v>
                </c:pt>
                <c:pt idx="862">
                  <c:v>22.885100000000001</c:v>
                </c:pt>
                <c:pt idx="863">
                  <c:v>22.984659999999998</c:v>
                </c:pt>
                <c:pt idx="864">
                  <c:v>23.10352</c:v>
                </c:pt>
                <c:pt idx="865">
                  <c:v>23.084340000000001</c:v>
                </c:pt>
                <c:pt idx="866">
                  <c:v>22.636709999999997</c:v>
                </c:pt>
                <c:pt idx="867">
                  <c:v>22.91667</c:v>
                </c:pt>
                <c:pt idx="868">
                  <c:v>23.00451</c:v>
                </c:pt>
                <c:pt idx="869">
                  <c:v>22.72167</c:v>
                </c:pt>
                <c:pt idx="870">
                  <c:v>22.540050000000001</c:v>
                </c:pt>
                <c:pt idx="871">
                  <c:v>22.56108</c:v>
                </c:pt>
                <c:pt idx="872">
                  <c:v>18.937260000000002</c:v>
                </c:pt>
                <c:pt idx="873">
                  <c:v>18.710090000000001</c:v>
                </c:pt>
                <c:pt idx="874">
                  <c:v>18.87088</c:v>
                </c:pt>
                <c:pt idx="875">
                  <c:v>18.920540000000003</c:v>
                </c:pt>
                <c:pt idx="876">
                  <c:v>19.070329999999998</c:v>
                </c:pt>
                <c:pt idx="877">
                  <c:v>18.93338</c:v>
                </c:pt>
                <c:pt idx="878">
                  <c:v>18.804390000000001</c:v>
                </c:pt>
                <c:pt idx="879">
                  <c:v>18.762</c:v>
                </c:pt>
                <c:pt idx="880">
                  <c:v>18.864799999999999</c:v>
                </c:pt>
                <c:pt idx="881">
                  <c:v>18.825189999999999</c:v>
                </c:pt>
                <c:pt idx="882">
                  <c:v>18.797049999999999</c:v>
                </c:pt>
                <c:pt idx="883">
                  <c:v>18.7821</c:v>
                </c:pt>
                <c:pt idx="884">
                  <c:v>18.853920000000002</c:v>
                </c:pt>
                <c:pt idx="885">
                  <c:v>18.876549999999998</c:v>
                </c:pt>
                <c:pt idx="886">
                  <c:v>18.761330000000001</c:v>
                </c:pt>
                <c:pt idx="887">
                  <c:v>18.790289999999999</c:v>
                </c:pt>
                <c:pt idx="888">
                  <c:v>18.790289999999999</c:v>
                </c:pt>
                <c:pt idx="889">
                  <c:v>18.88017</c:v>
                </c:pt>
                <c:pt idx="890">
                  <c:v>19.309739999999998</c:v>
                </c:pt>
                <c:pt idx="891">
                  <c:v>19.307950000000002</c:v>
                </c:pt>
                <c:pt idx="892">
                  <c:v>19.28331</c:v>
                </c:pt>
                <c:pt idx="893">
                  <c:v>19.28659</c:v>
                </c:pt>
                <c:pt idx="894">
                  <c:v>19.312889999999999</c:v>
                </c:pt>
                <c:pt idx="895">
                  <c:v>18.99765</c:v>
                </c:pt>
                <c:pt idx="896">
                  <c:v>19.157899999999998</c:v>
                </c:pt>
                <c:pt idx="897">
                  <c:v>19.11365</c:v>
                </c:pt>
                <c:pt idx="898">
                  <c:v>19.14143</c:v>
                </c:pt>
                <c:pt idx="899">
                  <c:v>19.137270000000001</c:v>
                </c:pt>
                <c:pt idx="900">
                  <c:v>19.162790000000001</c:v>
                </c:pt>
                <c:pt idx="901">
                  <c:v>19.319749999999999</c:v>
                </c:pt>
                <c:pt idx="902">
                  <c:v>19.28126</c:v>
                </c:pt>
                <c:pt idx="903">
                  <c:v>19.28126</c:v>
                </c:pt>
                <c:pt idx="904">
                  <c:v>19.307870000000001</c:v>
                </c:pt>
                <c:pt idx="905">
                  <c:v>19.73686</c:v>
                </c:pt>
                <c:pt idx="906">
                  <c:v>19.641179999999999</c:v>
                </c:pt>
                <c:pt idx="907">
                  <c:v>19.711130000000001</c:v>
                </c:pt>
                <c:pt idx="908">
                  <c:v>19.796199999999999</c:v>
                </c:pt>
                <c:pt idx="909">
                  <c:v>19.948779999999999</c:v>
                </c:pt>
                <c:pt idx="910">
                  <c:v>19.84695</c:v>
                </c:pt>
                <c:pt idx="911">
                  <c:v>19.729870000000002</c:v>
                </c:pt>
                <c:pt idx="912">
                  <c:v>19.942529999999998</c:v>
                </c:pt>
                <c:pt idx="913">
                  <c:v>19.970019999999998</c:v>
                </c:pt>
                <c:pt idx="914">
                  <c:v>19.970019999999998</c:v>
                </c:pt>
                <c:pt idx="915">
                  <c:v>19.821389999999997</c:v>
                </c:pt>
                <c:pt idx="916">
                  <c:v>19.72409</c:v>
                </c:pt>
                <c:pt idx="917">
                  <c:v>19.718669999999999</c:v>
                </c:pt>
                <c:pt idx="918">
                  <c:v>19.819739999999999</c:v>
                </c:pt>
                <c:pt idx="919">
                  <c:v>19.855080000000001</c:v>
                </c:pt>
                <c:pt idx="920">
                  <c:v>19.9465</c:v>
                </c:pt>
                <c:pt idx="921">
                  <c:v>20.296010000000003</c:v>
                </c:pt>
                <c:pt idx="922">
                  <c:v>20.25282</c:v>
                </c:pt>
                <c:pt idx="923">
                  <c:v>20.28847</c:v>
                </c:pt>
                <c:pt idx="924">
                  <c:v>20.31315</c:v>
                </c:pt>
                <c:pt idx="925">
                  <c:v>20.402339999999999</c:v>
                </c:pt>
                <c:pt idx="926">
                  <c:v>20.3446</c:v>
                </c:pt>
                <c:pt idx="927">
                  <c:v>20.35426</c:v>
                </c:pt>
                <c:pt idx="928">
                  <c:v>20.344349999999999</c:v>
                </c:pt>
                <c:pt idx="929">
                  <c:v>20.348309999999998</c:v>
                </c:pt>
                <c:pt idx="930">
                  <c:v>20.119389999999999</c:v>
                </c:pt>
                <c:pt idx="931">
                  <c:v>20.018810000000002</c:v>
                </c:pt>
                <c:pt idx="932">
                  <c:v>20.108330000000002</c:v>
                </c:pt>
                <c:pt idx="933">
                  <c:v>20.077850000000002</c:v>
                </c:pt>
                <c:pt idx="934">
                  <c:v>20.003620000000002</c:v>
                </c:pt>
                <c:pt idx="935">
                  <c:v>20.005029999999998</c:v>
                </c:pt>
                <c:pt idx="936">
                  <c:v>20.067550000000001</c:v>
                </c:pt>
                <c:pt idx="937">
                  <c:v>20.21218</c:v>
                </c:pt>
                <c:pt idx="938">
                  <c:v>20.056339999999999</c:v>
                </c:pt>
                <c:pt idx="939">
                  <c:v>20.283180000000002</c:v>
                </c:pt>
                <c:pt idx="940">
                  <c:v>20.29776</c:v>
                </c:pt>
                <c:pt idx="941">
                  <c:v>20.811540000000001</c:v>
                </c:pt>
                <c:pt idx="942">
                  <c:v>20.757550000000002</c:v>
                </c:pt>
                <c:pt idx="943">
                  <c:v>20.771419999999999</c:v>
                </c:pt>
                <c:pt idx="944">
                  <c:v>20.73442</c:v>
                </c:pt>
                <c:pt idx="945">
                  <c:v>20.701589999999999</c:v>
                </c:pt>
                <c:pt idx="946">
                  <c:v>20.756610000000002</c:v>
                </c:pt>
                <c:pt idx="947">
                  <c:v>20.766260000000003</c:v>
                </c:pt>
                <c:pt idx="948">
                  <c:v>20.715450000000001</c:v>
                </c:pt>
                <c:pt idx="949">
                  <c:v>20.729800000000001</c:v>
                </c:pt>
                <c:pt idx="950">
                  <c:v>20.885439999999999</c:v>
                </c:pt>
                <c:pt idx="951">
                  <c:v>19.338290000000001</c:v>
                </c:pt>
                <c:pt idx="952">
                  <c:v>19.362439999999999</c:v>
                </c:pt>
                <c:pt idx="953">
                  <c:v>19.403320000000001</c:v>
                </c:pt>
                <c:pt idx="954">
                  <c:v>19.524999999999999</c:v>
                </c:pt>
                <c:pt idx="955">
                  <c:v>20.376259999999998</c:v>
                </c:pt>
                <c:pt idx="956">
                  <c:v>20.542559999999998</c:v>
                </c:pt>
                <c:pt idx="957">
                  <c:v>20.46904</c:v>
                </c:pt>
                <c:pt idx="958">
                  <c:v>20.46904</c:v>
                </c:pt>
                <c:pt idx="959">
                  <c:v>20.42652</c:v>
                </c:pt>
                <c:pt idx="960">
                  <c:v>20.421800000000001</c:v>
                </c:pt>
                <c:pt idx="961">
                  <c:v>20.418219999999998</c:v>
                </c:pt>
                <c:pt idx="962">
                  <c:v>21.488440000000001</c:v>
                </c:pt>
                <c:pt idx="963">
                  <c:v>21.449589999999997</c:v>
                </c:pt>
              </c:numCache>
            </c:numRef>
          </c:val>
          <c:smooth val="0"/>
          <c:extLst>
            <c:ext xmlns:c16="http://schemas.microsoft.com/office/drawing/2014/chart" uri="{C3380CC4-5D6E-409C-BE32-E72D297353CC}">
              <c16:uniqueId val="{00000007-EBC4-4222-8B88-73469225685A}"/>
            </c:ext>
          </c:extLst>
        </c:ser>
        <c:ser>
          <c:idx val="6"/>
          <c:order val="6"/>
          <c:tx>
            <c:strRef>
              <c:f>Sheet1!$H$1</c:f>
              <c:strCache>
                <c:ptCount val="1"/>
                <c:pt idx="0">
                  <c:v>Ղազախստան (2025 թ.)</c:v>
                </c:pt>
              </c:strCache>
            </c:strRef>
          </c:tx>
          <c:spPr>
            <a:ln w="19050" cap="rnd">
              <a:solidFill>
                <a:schemeClr val="bg1">
                  <a:lumMod val="65000"/>
                </a:schemeClr>
              </a:solidFill>
              <a:round/>
            </a:ln>
            <a:effectLst/>
          </c:spPr>
          <c:marker>
            <c:symbol val="none"/>
          </c:marker>
          <c:cat>
            <c:numRef>
              <c:f>Sheet1!$A$2:$A$1226</c:f>
              <c:numCache>
                <c:formatCode>m\/d\/yyyy</c:formatCode>
                <c:ptCount val="964"/>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pt idx="708">
                  <c:v>44823</c:v>
                </c:pt>
                <c:pt idx="709">
                  <c:v>44824</c:v>
                </c:pt>
                <c:pt idx="710">
                  <c:v>44825</c:v>
                </c:pt>
                <c:pt idx="711">
                  <c:v>44826</c:v>
                </c:pt>
                <c:pt idx="712">
                  <c:v>44827</c:v>
                </c:pt>
                <c:pt idx="713">
                  <c:v>44830</c:v>
                </c:pt>
                <c:pt idx="714">
                  <c:v>44831</c:v>
                </c:pt>
                <c:pt idx="715">
                  <c:v>44832</c:v>
                </c:pt>
                <c:pt idx="716">
                  <c:v>44833</c:v>
                </c:pt>
                <c:pt idx="717">
                  <c:v>44834</c:v>
                </c:pt>
                <c:pt idx="718">
                  <c:v>44837</c:v>
                </c:pt>
                <c:pt idx="719">
                  <c:v>44838</c:v>
                </c:pt>
                <c:pt idx="720">
                  <c:v>44839</c:v>
                </c:pt>
                <c:pt idx="721">
                  <c:v>44840</c:v>
                </c:pt>
                <c:pt idx="722">
                  <c:v>44841</c:v>
                </c:pt>
                <c:pt idx="723">
                  <c:v>44844</c:v>
                </c:pt>
                <c:pt idx="724">
                  <c:v>44845</c:v>
                </c:pt>
                <c:pt idx="725">
                  <c:v>44846</c:v>
                </c:pt>
                <c:pt idx="726">
                  <c:v>44847</c:v>
                </c:pt>
                <c:pt idx="727">
                  <c:v>44848</c:v>
                </c:pt>
                <c:pt idx="728">
                  <c:v>44851</c:v>
                </c:pt>
                <c:pt idx="729">
                  <c:v>44852</c:v>
                </c:pt>
                <c:pt idx="730">
                  <c:v>44853</c:v>
                </c:pt>
                <c:pt idx="731">
                  <c:v>44854</c:v>
                </c:pt>
                <c:pt idx="732">
                  <c:v>44855</c:v>
                </c:pt>
                <c:pt idx="733">
                  <c:v>44858</c:v>
                </c:pt>
                <c:pt idx="734">
                  <c:v>44859</c:v>
                </c:pt>
                <c:pt idx="735">
                  <c:v>44860</c:v>
                </c:pt>
                <c:pt idx="736">
                  <c:v>44861</c:v>
                </c:pt>
                <c:pt idx="737">
                  <c:v>44862</c:v>
                </c:pt>
                <c:pt idx="738">
                  <c:v>44865</c:v>
                </c:pt>
                <c:pt idx="739">
                  <c:v>44866</c:v>
                </c:pt>
                <c:pt idx="740">
                  <c:v>44867</c:v>
                </c:pt>
                <c:pt idx="741">
                  <c:v>44868</c:v>
                </c:pt>
                <c:pt idx="742">
                  <c:v>44869</c:v>
                </c:pt>
                <c:pt idx="743">
                  <c:v>44872</c:v>
                </c:pt>
                <c:pt idx="744">
                  <c:v>44873</c:v>
                </c:pt>
                <c:pt idx="745">
                  <c:v>44874</c:v>
                </c:pt>
                <c:pt idx="746">
                  <c:v>44875</c:v>
                </c:pt>
                <c:pt idx="747">
                  <c:v>44876</c:v>
                </c:pt>
                <c:pt idx="748">
                  <c:v>44879</c:v>
                </c:pt>
                <c:pt idx="749">
                  <c:v>44880</c:v>
                </c:pt>
                <c:pt idx="750">
                  <c:v>44881</c:v>
                </c:pt>
                <c:pt idx="751">
                  <c:v>44882</c:v>
                </c:pt>
                <c:pt idx="752">
                  <c:v>44883</c:v>
                </c:pt>
                <c:pt idx="753">
                  <c:v>44886</c:v>
                </c:pt>
                <c:pt idx="754">
                  <c:v>44887</c:v>
                </c:pt>
                <c:pt idx="755">
                  <c:v>44888</c:v>
                </c:pt>
                <c:pt idx="756">
                  <c:v>44889</c:v>
                </c:pt>
                <c:pt idx="757">
                  <c:v>44890</c:v>
                </c:pt>
                <c:pt idx="758">
                  <c:v>44893</c:v>
                </c:pt>
                <c:pt idx="759">
                  <c:v>44894</c:v>
                </c:pt>
                <c:pt idx="760">
                  <c:v>44895</c:v>
                </c:pt>
                <c:pt idx="761">
                  <c:v>44896</c:v>
                </c:pt>
                <c:pt idx="762">
                  <c:v>44897</c:v>
                </c:pt>
                <c:pt idx="763">
                  <c:v>44900</c:v>
                </c:pt>
                <c:pt idx="764">
                  <c:v>44901</c:v>
                </c:pt>
                <c:pt idx="765">
                  <c:v>44902</c:v>
                </c:pt>
                <c:pt idx="766">
                  <c:v>44903</c:v>
                </c:pt>
                <c:pt idx="767">
                  <c:v>44904</c:v>
                </c:pt>
                <c:pt idx="768">
                  <c:v>44907</c:v>
                </c:pt>
                <c:pt idx="769">
                  <c:v>44908</c:v>
                </c:pt>
                <c:pt idx="770">
                  <c:v>44909</c:v>
                </c:pt>
                <c:pt idx="771">
                  <c:v>44910</c:v>
                </c:pt>
                <c:pt idx="772">
                  <c:v>44911</c:v>
                </c:pt>
                <c:pt idx="773">
                  <c:v>44914</c:v>
                </c:pt>
                <c:pt idx="774">
                  <c:v>44915</c:v>
                </c:pt>
                <c:pt idx="775">
                  <c:v>44916</c:v>
                </c:pt>
                <c:pt idx="776">
                  <c:v>44917</c:v>
                </c:pt>
                <c:pt idx="777">
                  <c:v>44918</c:v>
                </c:pt>
                <c:pt idx="778">
                  <c:v>44921</c:v>
                </c:pt>
                <c:pt idx="779">
                  <c:v>44922</c:v>
                </c:pt>
                <c:pt idx="780">
                  <c:v>44923</c:v>
                </c:pt>
                <c:pt idx="781">
                  <c:v>44924</c:v>
                </c:pt>
                <c:pt idx="782">
                  <c:v>44925</c:v>
                </c:pt>
                <c:pt idx="783">
                  <c:v>44928</c:v>
                </c:pt>
                <c:pt idx="784">
                  <c:v>44929</c:v>
                </c:pt>
                <c:pt idx="785">
                  <c:v>44930</c:v>
                </c:pt>
                <c:pt idx="786">
                  <c:v>44931</c:v>
                </c:pt>
                <c:pt idx="787">
                  <c:v>44932</c:v>
                </c:pt>
                <c:pt idx="788">
                  <c:v>44935</c:v>
                </c:pt>
                <c:pt idx="789">
                  <c:v>44936</c:v>
                </c:pt>
                <c:pt idx="790">
                  <c:v>44937</c:v>
                </c:pt>
                <c:pt idx="791">
                  <c:v>44938</c:v>
                </c:pt>
                <c:pt idx="792">
                  <c:v>44939</c:v>
                </c:pt>
                <c:pt idx="793">
                  <c:v>44942</c:v>
                </c:pt>
                <c:pt idx="794">
                  <c:v>44943</c:v>
                </c:pt>
                <c:pt idx="795">
                  <c:v>44944</c:v>
                </c:pt>
                <c:pt idx="796">
                  <c:v>44945</c:v>
                </c:pt>
                <c:pt idx="797">
                  <c:v>44946</c:v>
                </c:pt>
                <c:pt idx="798">
                  <c:v>44949</c:v>
                </c:pt>
                <c:pt idx="799">
                  <c:v>44950</c:v>
                </c:pt>
                <c:pt idx="800">
                  <c:v>44951</c:v>
                </c:pt>
                <c:pt idx="801">
                  <c:v>44952</c:v>
                </c:pt>
                <c:pt idx="802">
                  <c:v>44953</c:v>
                </c:pt>
                <c:pt idx="803">
                  <c:v>44956</c:v>
                </c:pt>
                <c:pt idx="804">
                  <c:v>44957</c:v>
                </c:pt>
                <c:pt idx="805">
                  <c:v>44958</c:v>
                </c:pt>
                <c:pt idx="806">
                  <c:v>44959</c:v>
                </c:pt>
                <c:pt idx="807">
                  <c:v>44960</c:v>
                </c:pt>
                <c:pt idx="808">
                  <c:v>44963</c:v>
                </c:pt>
                <c:pt idx="809">
                  <c:v>44964</c:v>
                </c:pt>
                <c:pt idx="810">
                  <c:v>44965</c:v>
                </c:pt>
                <c:pt idx="811">
                  <c:v>44966</c:v>
                </c:pt>
                <c:pt idx="812">
                  <c:v>44967</c:v>
                </c:pt>
                <c:pt idx="813">
                  <c:v>44970</c:v>
                </c:pt>
                <c:pt idx="814">
                  <c:v>44971</c:v>
                </c:pt>
                <c:pt idx="815">
                  <c:v>44972</c:v>
                </c:pt>
                <c:pt idx="816">
                  <c:v>44973</c:v>
                </c:pt>
                <c:pt idx="817">
                  <c:v>44974</c:v>
                </c:pt>
                <c:pt idx="818">
                  <c:v>44977</c:v>
                </c:pt>
                <c:pt idx="819">
                  <c:v>44978</c:v>
                </c:pt>
                <c:pt idx="820">
                  <c:v>44979</c:v>
                </c:pt>
                <c:pt idx="821">
                  <c:v>44980</c:v>
                </c:pt>
                <c:pt idx="822">
                  <c:v>44981</c:v>
                </c:pt>
                <c:pt idx="823">
                  <c:v>44984</c:v>
                </c:pt>
                <c:pt idx="824">
                  <c:v>44985</c:v>
                </c:pt>
                <c:pt idx="825">
                  <c:v>44986</c:v>
                </c:pt>
                <c:pt idx="826">
                  <c:v>44987</c:v>
                </c:pt>
                <c:pt idx="827">
                  <c:v>44988</c:v>
                </c:pt>
                <c:pt idx="828">
                  <c:v>44991</c:v>
                </c:pt>
                <c:pt idx="829">
                  <c:v>44992</c:v>
                </c:pt>
                <c:pt idx="830">
                  <c:v>44993</c:v>
                </c:pt>
                <c:pt idx="831">
                  <c:v>44994</c:v>
                </c:pt>
                <c:pt idx="832">
                  <c:v>44995</c:v>
                </c:pt>
                <c:pt idx="833">
                  <c:v>44998</c:v>
                </c:pt>
                <c:pt idx="834">
                  <c:v>44999</c:v>
                </c:pt>
                <c:pt idx="835">
                  <c:v>45000</c:v>
                </c:pt>
                <c:pt idx="836">
                  <c:v>45001</c:v>
                </c:pt>
                <c:pt idx="837">
                  <c:v>45002</c:v>
                </c:pt>
                <c:pt idx="838">
                  <c:v>45005</c:v>
                </c:pt>
                <c:pt idx="839">
                  <c:v>45006</c:v>
                </c:pt>
                <c:pt idx="840">
                  <c:v>45007</c:v>
                </c:pt>
                <c:pt idx="841">
                  <c:v>45008</c:v>
                </c:pt>
                <c:pt idx="842">
                  <c:v>45009</c:v>
                </c:pt>
                <c:pt idx="843">
                  <c:v>45012</c:v>
                </c:pt>
                <c:pt idx="844">
                  <c:v>45013</c:v>
                </c:pt>
                <c:pt idx="845">
                  <c:v>45014</c:v>
                </c:pt>
                <c:pt idx="846">
                  <c:v>45015</c:v>
                </c:pt>
                <c:pt idx="847">
                  <c:v>45016</c:v>
                </c:pt>
                <c:pt idx="848">
                  <c:v>45019</c:v>
                </c:pt>
                <c:pt idx="849">
                  <c:v>45020</c:v>
                </c:pt>
                <c:pt idx="850">
                  <c:v>45021</c:v>
                </c:pt>
                <c:pt idx="851">
                  <c:v>45022</c:v>
                </c:pt>
                <c:pt idx="852">
                  <c:v>45023</c:v>
                </c:pt>
                <c:pt idx="853">
                  <c:v>45026</c:v>
                </c:pt>
                <c:pt idx="854">
                  <c:v>45027</c:v>
                </c:pt>
                <c:pt idx="855">
                  <c:v>45028</c:v>
                </c:pt>
                <c:pt idx="856">
                  <c:v>45029</c:v>
                </c:pt>
                <c:pt idx="857">
                  <c:v>45030</c:v>
                </c:pt>
                <c:pt idx="858">
                  <c:v>45033</c:v>
                </c:pt>
                <c:pt idx="859">
                  <c:v>45034</c:v>
                </c:pt>
                <c:pt idx="860">
                  <c:v>45035</c:v>
                </c:pt>
                <c:pt idx="861">
                  <c:v>45036</c:v>
                </c:pt>
                <c:pt idx="862">
                  <c:v>45037</c:v>
                </c:pt>
                <c:pt idx="863">
                  <c:v>45040</c:v>
                </c:pt>
                <c:pt idx="864">
                  <c:v>45041</c:v>
                </c:pt>
                <c:pt idx="865">
                  <c:v>45042</c:v>
                </c:pt>
                <c:pt idx="866">
                  <c:v>45043</c:v>
                </c:pt>
                <c:pt idx="867">
                  <c:v>45044</c:v>
                </c:pt>
                <c:pt idx="868">
                  <c:v>45047</c:v>
                </c:pt>
                <c:pt idx="869">
                  <c:v>45048</c:v>
                </c:pt>
                <c:pt idx="870">
                  <c:v>45049</c:v>
                </c:pt>
                <c:pt idx="871">
                  <c:v>45050</c:v>
                </c:pt>
                <c:pt idx="872">
                  <c:v>45051</c:v>
                </c:pt>
                <c:pt idx="873">
                  <c:v>45054</c:v>
                </c:pt>
                <c:pt idx="874">
                  <c:v>45055</c:v>
                </c:pt>
                <c:pt idx="875">
                  <c:v>45056</c:v>
                </c:pt>
                <c:pt idx="876">
                  <c:v>45057</c:v>
                </c:pt>
                <c:pt idx="877">
                  <c:v>45058</c:v>
                </c:pt>
                <c:pt idx="878">
                  <c:v>45061</c:v>
                </c:pt>
                <c:pt idx="879">
                  <c:v>45062</c:v>
                </c:pt>
                <c:pt idx="880">
                  <c:v>45063</c:v>
                </c:pt>
                <c:pt idx="881">
                  <c:v>45064</c:v>
                </c:pt>
                <c:pt idx="882">
                  <c:v>45065</c:v>
                </c:pt>
                <c:pt idx="883">
                  <c:v>45068</c:v>
                </c:pt>
                <c:pt idx="884">
                  <c:v>45069</c:v>
                </c:pt>
                <c:pt idx="885">
                  <c:v>45070</c:v>
                </c:pt>
                <c:pt idx="886">
                  <c:v>45071</c:v>
                </c:pt>
                <c:pt idx="887">
                  <c:v>45072</c:v>
                </c:pt>
                <c:pt idx="888">
                  <c:v>45075</c:v>
                </c:pt>
                <c:pt idx="889">
                  <c:v>45076</c:v>
                </c:pt>
                <c:pt idx="890">
                  <c:v>45077</c:v>
                </c:pt>
                <c:pt idx="891">
                  <c:v>45078</c:v>
                </c:pt>
                <c:pt idx="892">
                  <c:v>45079</c:v>
                </c:pt>
                <c:pt idx="893">
                  <c:v>45082</c:v>
                </c:pt>
                <c:pt idx="894">
                  <c:v>45083</c:v>
                </c:pt>
                <c:pt idx="895">
                  <c:v>45084</c:v>
                </c:pt>
                <c:pt idx="896">
                  <c:v>45085</c:v>
                </c:pt>
                <c:pt idx="897">
                  <c:v>45086</c:v>
                </c:pt>
                <c:pt idx="898">
                  <c:v>45089</c:v>
                </c:pt>
                <c:pt idx="899">
                  <c:v>45090</c:v>
                </c:pt>
                <c:pt idx="900">
                  <c:v>45091</c:v>
                </c:pt>
                <c:pt idx="901">
                  <c:v>45092</c:v>
                </c:pt>
                <c:pt idx="902">
                  <c:v>45093</c:v>
                </c:pt>
                <c:pt idx="903">
                  <c:v>45096</c:v>
                </c:pt>
                <c:pt idx="904">
                  <c:v>45097</c:v>
                </c:pt>
                <c:pt idx="905">
                  <c:v>45098</c:v>
                </c:pt>
                <c:pt idx="906">
                  <c:v>45099</c:v>
                </c:pt>
                <c:pt idx="907">
                  <c:v>45100</c:v>
                </c:pt>
                <c:pt idx="908">
                  <c:v>45103</c:v>
                </c:pt>
                <c:pt idx="909">
                  <c:v>45104</c:v>
                </c:pt>
                <c:pt idx="910">
                  <c:v>45105</c:v>
                </c:pt>
                <c:pt idx="911">
                  <c:v>45106</c:v>
                </c:pt>
                <c:pt idx="912">
                  <c:v>45107</c:v>
                </c:pt>
                <c:pt idx="913">
                  <c:v>45110</c:v>
                </c:pt>
                <c:pt idx="914">
                  <c:v>45111</c:v>
                </c:pt>
                <c:pt idx="915">
                  <c:v>45112</c:v>
                </c:pt>
                <c:pt idx="916">
                  <c:v>45113</c:v>
                </c:pt>
                <c:pt idx="917">
                  <c:v>45114</c:v>
                </c:pt>
                <c:pt idx="918">
                  <c:v>45117</c:v>
                </c:pt>
                <c:pt idx="919">
                  <c:v>45118</c:v>
                </c:pt>
                <c:pt idx="920">
                  <c:v>45119</c:v>
                </c:pt>
                <c:pt idx="921">
                  <c:v>45120</c:v>
                </c:pt>
                <c:pt idx="922">
                  <c:v>45121</c:v>
                </c:pt>
                <c:pt idx="923">
                  <c:v>45124</c:v>
                </c:pt>
                <c:pt idx="924">
                  <c:v>45125</c:v>
                </c:pt>
                <c:pt idx="925">
                  <c:v>45126</c:v>
                </c:pt>
                <c:pt idx="926">
                  <c:v>45127</c:v>
                </c:pt>
                <c:pt idx="927">
                  <c:v>45128</c:v>
                </c:pt>
                <c:pt idx="928">
                  <c:v>45131</c:v>
                </c:pt>
                <c:pt idx="929">
                  <c:v>45132</c:v>
                </c:pt>
                <c:pt idx="930">
                  <c:v>45133</c:v>
                </c:pt>
                <c:pt idx="931">
                  <c:v>45134</c:v>
                </c:pt>
                <c:pt idx="932">
                  <c:v>45135</c:v>
                </c:pt>
                <c:pt idx="933">
                  <c:v>45138</c:v>
                </c:pt>
                <c:pt idx="934">
                  <c:v>45139</c:v>
                </c:pt>
                <c:pt idx="935">
                  <c:v>45140</c:v>
                </c:pt>
                <c:pt idx="936">
                  <c:v>45141</c:v>
                </c:pt>
                <c:pt idx="937">
                  <c:v>45142</c:v>
                </c:pt>
                <c:pt idx="938">
                  <c:v>45145</c:v>
                </c:pt>
                <c:pt idx="939">
                  <c:v>45146</c:v>
                </c:pt>
                <c:pt idx="940">
                  <c:v>45147</c:v>
                </c:pt>
                <c:pt idx="941">
                  <c:v>45148</c:v>
                </c:pt>
                <c:pt idx="942">
                  <c:v>45149</c:v>
                </c:pt>
                <c:pt idx="943">
                  <c:v>45152</c:v>
                </c:pt>
                <c:pt idx="944">
                  <c:v>45153</c:v>
                </c:pt>
                <c:pt idx="945">
                  <c:v>45154</c:v>
                </c:pt>
                <c:pt idx="946">
                  <c:v>45155</c:v>
                </c:pt>
                <c:pt idx="947">
                  <c:v>45156</c:v>
                </c:pt>
                <c:pt idx="948">
                  <c:v>45159</c:v>
                </c:pt>
                <c:pt idx="949">
                  <c:v>45160</c:v>
                </c:pt>
                <c:pt idx="950">
                  <c:v>45161</c:v>
                </c:pt>
                <c:pt idx="951">
                  <c:v>45162</c:v>
                </c:pt>
                <c:pt idx="952">
                  <c:v>45163</c:v>
                </c:pt>
                <c:pt idx="953">
                  <c:v>45166</c:v>
                </c:pt>
                <c:pt idx="954">
                  <c:v>45167</c:v>
                </c:pt>
                <c:pt idx="955">
                  <c:v>45168</c:v>
                </c:pt>
                <c:pt idx="956">
                  <c:v>45169</c:v>
                </c:pt>
                <c:pt idx="957">
                  <c:v>45170</c:v>
                </c:pt>
                <c:pt idx="958">
                  <c:v>45173</c:v>
                </c:pt>
                <c:pt idx="959">
                  <c:v>45174</c:v>
                </c:pt>
                <c:pt idx="960">
                  <c:v>45175</c:v>
                </c:pt>
                <c:pt idx="961">
                  <c:v>45176</c:v>
                </c:pt>
                <c:pt idx="962">
                  <c:v>45177</c:v>
                </c:pt>
                <c:pt idx="963">
                  <c:v>45180</c:v>
                </c:pt>
              </c:numCache>
            </c:numRef>
          </c:cat>
          <c:val>
            <c:numRef>
              <c:f>Sheet1!$H$2:$H$1226</c:f>
              <c:numCache>
                <c:formatCode>0</c:formatCode>
                <c:ptCount val="964"/>
                <c:pt idx="0">
                  <c:v>0.53600000000000003</c:v>
                </c:pt>
                <c:pt idx="1">
                  <c:v>0.49976999999999999</c:v>
                </c:pt>
                <c:pt idx="2">
                  <c:v>0.57070999999999994</c:v>
                </c:pt>
                <c:pt idx="3">
                  <c:v>0.58564000000000005</c:v>
                </c:pt>
                <c:pt idx="4">
                  <c:v>0.54823</c:v>
                </c:pt>
                <c:pt idx="5">
                  <c:v>0.55486999999999997</c:v>
                </c:pt>
                <c:pt idx="6">
                  <c:v>0.47810999999999998</c:v>
                </c:pt>
                <c:pt idx="7">
                  <c:v>0.49371999999999999</c:v>
                </c:pt>
                <c:pt idx="8">
                  <c:v>0.48853000000000002</c:v>
                </c:pt>
                <c:pt idx="9">
                  <c:v>0.49103999999999998</c:v>
                </c:pt>
                <c:pt idx="10">
                  <c:v>0.52758000000000005</c:v>
                </c:pt>
                <c:pt idx="11">
                  <c:v>0.52017000000000002</c:v>
                </c:pt>
                <c:pt idx="12">
                  <c:v>0.50507999999999997</c:v>
                </c:pt>
                <c:pt idx="13">
                  <c:v>0.50507999999999997</c:v>
                </c:pt>
                <c:pt idx="14">
                  <c:v>0.52396999999999994</c:v>
                </c:pt>
                <c:pt idx="15">
                  <c:v>0.55591999999999997</c:v>
                </c:pt>
                <c:pt idx="16">
                  <c:v>0.58630000000000004</c:v>
                </c:pt>
                <c:pt idx="17">
                  <c:v>0.59223999999999999</c:v>
                </c:pt>
                <c:pt idx="18">
                  <c:v>0.72241</c:v>
                </c:pt>
                <c:pt idx="19">
                  <c:v>0.75025999999999993</c:v>
                </c:pt>
                <c:pt idx="20">
                  <c:v>0.71448999999999996</c:v>
                </c:pt>
                <c:pt idx="21">
                  <c:v>0.75309999999999999</c:v>
                </c:pt>
                <c:pt idx="22">
                  <c:v>0.73821000000000003</c:v>
                </c:pt>
                <c:pt idx="23">
                  <c:v>0.77263999999999999</c:v>
                </c:pt>
                <c:pt idx="24">
                  <c:v>0.73427000000000009</c:v>
                </c:pt>
                <c:pt idx="25">
                  <c:v>0.69676000000000005</c:v>
                </c:pt>
                <c:pt idx="26">
                  <c:v>0.68403000000000003</c:v>
                </c:pt>
                <c:pt idx="27">
                  <c:v>0.70876000000000006</c:v>
                </c:pt>
                <c:pt idx="28">
                  <c:v>0.73921000000000003</c:v>
                </c:pt>
                <c:pt idx="29">
                  <c:v>0.71675</c:v>
                </c:pt>
                <c:pt idx="30">
                  <c:v>0.68276999999999999</c:v>
                </c:pt>
                <c:pt idx="31">
                  <c:v>0.70799999999999996</c:v>
                </c:pt>
                <c:pt idx="32">
                  <c:v>0.68169999999999997</c:v>
                </c:pt>
                <c:pt idx="33">
                  <c:v>0.68169999999999997</c:v>
                </c:pt>
                <c:pt idx="34">
                  <c:v>0.70189999999999997</c:v>
                </c:pt>
                <c:pt idx="35">
                  <c:v>0.66855000000000009</c:v>
                </c:pt>
                <c:pt idx="36">
                  <c:v>0.65480999999999989</c:v>
                </c:pt>
                <c:pt idx="37">
                  <c:v>0.6710299999999999</c:v>
                </c:pt>
                <c:pt idx="38">
                  <c:v>0.75388000000000011</c:v>
                </c:pt>
                <c:pt idx="39">
                  <c:v>0.77760999999999991</c:v>
                </c:pt>
                <c:pt idx="40">
                  <c:v>0.8397</c:v>
                </c:pt>
                <c:pt idx="41">
                  <c:v>0.89941000000000004</c:v>
                </c:pt>
                <c:pt idx="42">
                  <c:v>1.18188</c:v>
                </c:pt>
                <c:pt idx="43">
                  <c:v>1.31928</c:v>
                </c:pt>
                <c:pt idx="44">
                  <c:v>1.1708799999999999</c:v>
                </c:pt>
                <c:pt idx="45">
                  <c:v>1.2998099999999999</c:v>
                </c:pt>
                <c:pt idx="46">
                  <c:v>1.2320099999999998</c:v>
                </c:pt>
                <c:pt idx="47">
                  <c:v>1.3675999999999999</c:v>
                </c:pt>
                <c:pt idx="48">
                  <c:v>1.95482</c:v>
                </c:pt>
                <c:pt idx="49">
                  <c:v>1.7009100000000001</c:v>
                </c:pt>
                <c:pt idx="50">
                  <c:v>1.7594700000000001</c:v>
                </c:pt>
                <c:pt idx="51">
                  <c:v>1.9165000000000001</c:v>
                </c:pt>
                <c:pt idx="52">
                  <c:v>2.0610300000000001</c:v>
                </c:pt>
                <c:pt idx="53">
                  <c:v>2.1472199999999999</c:v>
                </c:pt>
                <c:pt idx="54">
                  <c:v>2.3667500000000001</c:v>
                </c:pt>
                <c:pt idx="55">
                  <c:v>2.4547099999999999</c:v>
                </c:pt>
                <c:pt idx="56">
                  <c:v>3.1110799999999998</c:v>
                </c:pt>
                <c:pt idx="57">
                  <c:v>3.2946200000000001</c:v>
                </c:pt>
                <c:pt idx="58">
                  <c:v>3.7508600000000003</c:v>
                </c:pt>
                <c:pt idx="59">
                  <c:v>3.80803</c:v>
                </c:pt>
                <c:pt idx="60">
                  <c:v>3.4944199999999999</c:v>
                </c:pt>
                <c:pt idx="61">
                  <c:v>3.4558800000000001</c:v>
                </c:pt>
                <c:pt idx="62">
                  <c:v>3.0612699999999999</c:v>
                </c:pt>
                <c:pt idx="63">
                  <c:v>3.2094799999999997</c:v>
                </c:pt>
                <c:pt idx="64">
                  <c:v>3.1412</c:v>
                </c:pt>
                <c:pt idx="65">
                  <c:v>3.1332200000000001</c:v>
                </c:pt>
                <c:pt idx="66">
                  <c:v>3.0118099999999997</c:v>
                </c:pt>
                <c:pt idx="67">
                  <c:v>2.7802999999999995</c:v>
                </c:pt>
                <c:pt idx="68">
                  <c:v>2.4717699999999998</c:v>
                </c:pt>
                <c:pt idx="69">
                  <c:v>2.2374799999999997</c:v>
                </c:pt>
                <c:pt idx="70">
                  <c:v>2.15422</c:v>
                </c:pt>
                <c:pt idx="71">
                  <c:v>2.1812</c:v>
                </c:pt>
                <c:pt idx="72">
                  <c:v>2.1812</c:v>
                </c:pt>
                <c:pt idx="73">
                  <c:v>2.1423000000000001</c:v>
                </c:pt>
                <c:pt idx="74">
                  <c:v>2.1431200000000001</c:v>
                </c:pt>
                <c:pt idx="75">
                  <c:v>2.1837399999999998</c:v>
                </c:pt>
                <c:pt idx="76">
                  <c:v>2.2176900000000002</c:v>
                </c:pt>
                <c:pt idx="77">
                  <c:v>2.1816499999999999</c:v>
                </c:pt>
                <c:pt idx="78">
                  <c:v>2.1833</c:v>
                </c:pt>
                <c:pt idx="79">
                  <c:v>2.3550299999999997</c:v>
                </c:pt>
                <c:pt idx="80">
                  <c:v>2.5280900000000002</c:v>
                </c:pt>
                <c:pt idx="81">
                  <c:v>2.51309</c:v>
                </c:pt>
                <c:pt idx="82">
                  <c:v>2.4803999999999999</c:v>
                </c:pt>
                <c:pt idx="83">
                  <c:v>2.4527899999999998</c:v>
                </c:pt>
                <c:pt idx="84">
                  <c:v>2.4552700000000001</c:v>
                </c:pt>
                <c:pt idx="85">
                  <c:v>2.47824</c:v>
                </c:pt>
                <c:pt idx="86">
                  <c:v>2.4203100000000002</c:v>
                </c:pt>
                <c:pt idx="87">
                  <c:v>2.41086</c:v>
                </c:pt>
                <c:pt idx="88">
                  <c:v>2.4271199999999999</c:v>
                </c:pt>
                <c:pt idx="89">
                  <c:v>2.3329200000000001</c:v>
                </c:pt>
                <c:pt idx="90">
                  <c:v>2.21089</c:v>
                </c:pt>
                <c:pt idx="91">
                  <c:v>2.1728800000000001</c:v>
                </c:pt>
                <c:pt idx="92">
                  <c:v>2.1971600000000002</c:v>
                </c:pt>
                <c:pt idx="93">
                  <c:v>2.1187100000000001</c:v>
                </c:pt>
                <c:pt idx="94">
                  <c:v>2.0244800000000001</c:v>
                </c:pt>
                <c:pt idx="95">
                  <c:v>2.0023</c:v>
                </c:pt>
                <c:pt idx="96">
                  <c:v>2.00665</c:v>
                </c:pt>
                <c:pt idx="97">
                  <c:v>1.94017</c:v>
                </c:pt>
                <c:pt idx="98">
                  <c:v>1.8311500000000001</c:v>
                </c:pt>
                <c:pt idx="99">
                  <c:v>1.71136</c:v>
                </c:pt>
                <c:pt idx="100">
                  <c:v>1.6573800000000001</c:v>
                </c:pt>
                <c:pt idx="101">
                  <c:v>1.5865400000000001</c:v>
                </c:pt>
                <c:pt idx="102">
                  <c:v>1.58683</c:v>
                </c:pt>
                <c:pt idx="103">
                  <c:v>1.58683</c:v>
                </c:pt>
                <c:pt idx="104">
                  <c:v>1.5127199999999998</c:v>
                </c:pt>
                <c:pt idx="105">
                  <c:v>1.4782200000000001</c:v>
                </c:pt>
                <c:pt idx="106">
                  <c:v>1.4801200000000001</c:v>
                </c:pt>
                <c:pt idx="107">
                  <c:v>1.46292</c:v>
                </c:pt>
                <c:pt idx="108">
                  <c:v>1.4753999999999998</c:v>
                </c:pt>
                <c:pt idx="109">
                  <c:v>1.4462799999999998</c:v>
                </c:pt>
                <c:pt idx="110">
                  <c:v>1.32345</c:v>
                </c:pt>
                <c:pt idx="111">
                  <c:v>1.2156499999999999</c:v>
                </c:pt>
                <c:pt idx="112">
                  <c:v>1.13371</c:v>
                </c:pt>
                <c:pt idx="113">
                  <c:v>1.0884799999999999</c:v>
                </c:pt>
                <c:pt idx="114">
                  <c:v>1.12984</c:v>
                </c:pt>
                <c:pt idx="115">
                  <c:v>1.17771</c:v>
                </c:pt>
                <c:pt idx="116">
                  <c:v>1.30281</c:v>
                </c:pt>
                <c:pt idx="117">
                  <c:v>1.3360400000000001</c:v>
                </c:pt>
                <c:pt idx="118">
                  <c:v>1.4440500000000001</c:v>
                </c:pt>
                <c:pt idx="119">
                  <c:v>1.3922399999999999</c:v>
                </c:pt>
                <c:pt idx="120">
                  <c:v>1.3811000000000002</c:v>
                </c:pt>
                <c:pt idx="121">
                  <c:v>1.36572</c:v>
                </c:pt>
                <c:pt idx="122">
                  <c:v>1.3526099999999999</c:v>
                </c:pt>
                <c:pt idx="123">
                  <c:v>1.3661000000000001</c:v>
                </c:pt>
                <c:pt idx="124">
                  <c:v>1.3396199999999998</c:v>
                </c:pt>
                <c:pt idx="125">
                  <c:v>1.33802</c:v>
                </c:pt>
                <c:pt idx="126">
                  <c:v>1.4456</c:v>
                </c:pt>
                <c:pt idx="127">
                  <c:v>1.43702</c:v>
                </c:pt>
                <c:pt idx="128">
                  <c:v>1.4512700000000001</c:v>
                </c:pt>
                <c:pt idx="129">
                  <c:v>1.4858099999999999</c:v>
                </c:pt>
                <c:pt idx="130">
                  <c:v>1.44886</c:v>
                </c:pt>
                <c:pt idx="131">
                  <c:v>1.42249</c:v>
                </c:pt>
                <c:pt idx="132">
                  <c:v>1.42249</c:v>
                </c:pt>
                <c:pt idx="133">
                  <c:v>1.4016599999999999</c:v>
                </c:pt>
                <c:pt idx="134">
                  <c:v>1.3887299999999998</c:v>
                </c:pt>
                <c:pt idx="135">
                  <c:v>1.38985</c:v>
                </c:pt>
                <c:pt idx="136">
                  <c:v>1.3752600000000001</c:v>
                </c:pt>
                <c:pt idx="137">
                  <c:v>1.3927500000000002</c:v>
                </c:pt>
                <c:pt idx="138">
                  <c:v>1.36633</c:v>
                </c:pt>
                <c:pt idx="139">
                  <c:v>1.3724700000000001</c:v>
                </c:pt>
                <c:pt idx="140">
                  <c:v>1.3644499999999999</c:v>
                </c:pt>
                <c:pt idx="141">
                  <c:v>1.3506399999999998</c:v>
                </c:pt>
                <c:pt idx="142">
                  <c:v>1.35809</c:v>
                </c:pt>
                <c:pt idx="143">
                  <c:v>1.34409</c:v>
                </c:pt>
                <c:pt idx="144">
                  <c:v>1.32745</c:v>
                </c:pt>
                <c:pt idx="145">
                  <c:v>1.3342400000000001</c:v>
                </c:pt>
                <c:pt idx="146">
                  <c:v>1.3234899999999998</c:v>
                </c:pt>
                <c:pt idx="147">
                  <c:v>1.3271000000000002</c:v>
                </c:pt>
                <c:pt idx="148">
                  <c:v>1.3351</c:v>
                </c:pt>
                <c:pt idx="149">
                  <c:v>1.3130000000000002</c:v>
                </c:pt>
                <c:pt idx="150">
                  <c:v>1.3123500000000001</c:v>
                </c:pt>
                <c:pt idx="151">
                  <c:v>1.3177699999999999</c:v>
                </c:pt>
                <c:pt idx="152">
                  <c:v>1.3270500000000001</c:v>
                </c:pt>
                <c:pt idx="153">
                  <c:v>1.2875299999999998</c:v>
                </c:pt>
                <c:pt idx="154">
                  <c:v>1.2520800000000001</c:v>
                </c:pt>
                <c:pt idx="155">
                  <c:v>1.1506999999999998</c:v>
                </c:pt>
                <c:pt idx="156">
                  <c:v>1.0854000000000001</c:v>
                </c:pt>
                <c:pt idx="157">
                  <c:v>1.0313099999999999</c:v>
                </c:pt>
                <c:pt idx="158">
                  <c:v>0.97358</c:v>
                </c:pt>
                <c:pt idx="159">
                  <c:v>0.90839000000000003</c:v>
                </c:pt>
                <c:pt idx="160">
                  <c:v>0.87635000000000007</c:v>
                </c:pt>
                <c:pt idx="161">
                  <c:v>0.87892999999999999</c:v>
                </c:pt>
                <c:pt idx="162">
                  <c:v>0.89504000000000006</c:v>
                </c:pt>
                <c:pt idx="163">
                  <c:v>0.93833</c:v>
                </c:pt>
                <c:pt idx="164">
                  <c:v>1.0061599999999999</c:v>
                </c:pt>
                <c:pt idx="165">
                  <c:v>1.0391699999999999</c:v>
                </c:pt>
                <c:pt idx="166">
                  <c:v>1.07145</c:v>
                </c:pt>
                <c:pt idx="167">
                  <c:v>1.12344</c:v>
                </c:pt>
                <c:pt idx="168">
                  <c:v>1.13927</c:v>
                </c:pt>
                <c:pt idx="169">
                  <c:v>1.1000100000000002</c:v>
                </c:pt>
                <c:pt idx="170">
                  <c:v>1.10175</c:v>
                </c:pt>
                <c:pt idx="171">
                  <c:v>1.1406799999999999</c:v>
                </c:pt>
                <c:pt idx="172">
                  <c:v>1.1275299999999999</c:v>
                </c:pt>
                <c:pt idx="173">
                  <c:v>1.13002</c:v>
                </c:pt>
                <c:pt idx="174">
                  <c:v>1.13849</c:v>
                </c:pt>
                <c:pt idx="175">
                  <c:v>1.0895300000000001</c:v>
                </c:pt>
                <c:pt idx="176">
                  <c:v>1.0767599999999999</c:v>
                </c:pt>
                <c:pt idx="177">
                  <c:v>1.1109599999999999</c:v>
                </c:pt>
                <c:pt idx="178">
                  <c:v>1.1109599999999999</c:v>
                </c:pt>
                <c:pt idx="179">
                  <c:v>1.13592</c:v>
                </c:pt>
                <c:pt idx="180">
                  <c:v>1.1792199999999999</c:v>
                </c:pt>
                <c:pt idx="181">
                  <c:v>1.17727</c:v>
                </c:pt>
                <c:pt idx="182">
                  <c:v>1.17743</c:v>
                </c:pt>
                <c:pt idx="183">
                  <c:v>1.2049099999999999</c:v>
                </c:pt>
                <c:pt idx="184">
                  <c:v>1.2055400000000001</c:v>
                </c:pt>
                <c:pt idx="185">
                  <c:v>1.1886000000000001</c:v>
                </c:pt>
                <c:pt idx="186">
                  <c:v>1.20991</c:v>
                </c:pt>
                <c:pt idx="187">
                  <c:v>1.21305</c:v>
                </c:pt>
                <c:pt idx="188">
                  <c:v>1.2395699999999998</c:v>
                </c:pt>
                <c:pt idx="189">
                  <c:v>1.29036</c:v>
                </c:pt>
                <c:pt idx="190">
                  <c:v>1.3002099999999999</c:v>
                </c:pt>
                <c:pt idx="191">
                  <c:v>1.3512299999999999</c:v>
                </c:pt>
                <c:pt idx="192">
                  <c:v>1.4052799999999999</c:v>
                </c:pt>
                <c:pt idx="193">
                  <c:v>1.3866900000000002</c:v>
                </c:pt>
                <c:pt idx="194">
                  <c:v>1.4126099999999999</c:v>
                </c:pt>
                <c:pt idx="195">
                  <c:v>1.41482</c:v>
                </c:pt>
                <c:pt idx="196">
                  <c:v>1.36191</c:v>
                </c:pt>
                <c:pt idx="197">
                  <c:v>1.38785</c:v>
                </c:pt>
                <c:pt idx="198">
                  <c:v>1.3604499999999999</c:v>
                </c:pt>
                <c:pt idx="199">
                  <c:v>1.3125100000000001</c:v>
                </c:pt>
                <c:pt idx="200">
                  <c:v>1.27776</c:v>
                </c:pt>
                <c:pt idx="201">
                  <c:v>1.2450300000000001</c:v>
                </c:pt>
                <c:pt idx="202">
                  <c:v>1.2518099999999999</c:v>
                </c:pt>
                <c:pt idx="203">
                  <c:v>1.2518099999999999</c:v>
                </c:pt>
                <c:pt idx="204">
                  <c:v>1.2348399999999999</c:v>
                </c:pt>
                <c:pt idx="205">
                  <c:v>1.26126</c:v>
                </c:pt>
                <c:pt idx="206">
                  <c:v>1.26878</c:v>
                </c:pt>
                <c:pt idx="207">
                  <c:v>1.25203</c:v>
                </c:pt>
                <c:pt idx="208">
                  <c:v>1.20987</c:v>
                </c:pt>
                <c:pt idx="209">
                  <c:v>1.20275</c:v>
                </c:pt>
                <c:pt idx="210">
                  <c:v>1.1872</c:v>
                </c:pt>
                <c:pt idx="211">
                  <c:v>1.1897</c:v>
                </c:pt>
                <c:pt idx="212">
                  <c:v>1.1759200000000001</c:v>
                </c:pt>
                <c:pt idx="213">
                  <c:v>1.19621</c:v>
                </c:pt>
                <c:pt idx="214">
                  <c:v>1.22075</c:v>
                </c:pt>
                <c:pt idx="215">
                  <c:v>1.25146</c:v>
                </c:pt>
                <c:pt idx="216">
                  <c:v>1.22004</c:v>
                </c:pt>
                <c:pt idx="217">
                  <c:v>1.1915</c:v>
                </c:pt>
                <c:pt idx="218">
                  <c:v>1.1572</c:v>
                </c:pt>
                <c:pt idx="219">
                  <c:v>1.12625</c:v>
                </c:pt>
                <c:pt idx="220">
                  <c:v>1.1330899999999999</c:v>
                </c:pt>
                <c:pt idx="221">
                  <c:v>1.0646200000000001</c:v>
                </c:pt>
                <c:pt idx="222">
                  <c:v>1.0323599999999999</c:v>
                </c:pt>
                <c:pt idx="223">
                  <c:v>0.99802000000000002</c:v>
                </c:pt>
                <c:pt idx="224">
                  <c:v>0.89573999999999998</c:v>
                </c:pt>
                <c:pt idx="225">
                  <c:v>0.89573999999999998</c:v>
                </c:pt>
                <c:pt idx="226">
                  <c:v>0.88572000000000006</c:v>
                </c:pt>
                <c:pt idx="227">
                  <c:v>0.91031000000000006</c:v>
                </c:pt>
                <c:pt idx="228">
                  <c:v>0.91861000000000004</c:v>
                </c:pt>
                <c:pt idx="229">
                  <c:v>0.88016000000000005</c:v>
                </c:pt>
                <c:pt idx="230">
                  <c:v>0.89039000000000001</c:v>
                </c:pt>
                <c:pt idx="231">
                  <c:v>0.85766999999999993</c:v>
                </c:pt>
                <c:pt idx="232">
                  <c:v>0.8358199999999999</c:v>
                </c:pt>
                <c:pt idx="233">
                  <c:v>0.83209999999999995</c:v>
                </c:pt>
                <c:pt idx="234">
                  <c:v>0.80406000000000011</c:v>
                </c:pt>
                <c:pt idx="235">
                  <c:v>0.76261000000000001</c:v>
                </c:pt>
                <c:pt idx="236">
                  <c:v>0.76261000000000001</c:v>
                </c:pt>
                <c:pt idx="237">
                  <c:v>0.75597999999999999</c:v>
                </c:pt>
                <c:pt idx="238">
                  <c:v>0.75980000000000003</c:v>
                </c:pt>
                <c:pt idx="239">
                  <c:v>0.74950000000000006</c:v>
                </c:pt>
                <c:pt idx="240">
                  <c:v>0.70709</c:v>
                </c:pt>
                <c:pt idx="241">
                  <c:v>0.69968000000000008</c:v>
                </c:pt>
                <c:pt idx="242">
                  <c:v>0.66528999999999994</c:v>
                </c:pt>
                <c:pt idx="243">
                  <c:v>0.67610000000000003</c:v>
                </c:pt>
                <c:pt idx="244">
                  <c:v>0.68833</c:v>
                </c:pt>
                <c:pt idx="245">
                  <c:v>0.66959000000000002</c:v>
                </c:pt>
                <c:pt idx="246">
                  <c:v>0.66087999999999991</c:v>
                </c:pt>
                <c:pt idx="247">
                  <c:v>0.68096999999999996</c:v>
                </c:pt>
                <c:pt idx="248">
                  <c:v>0.68445999999999996</c:v>
                </c:pt>
                <c:pt idx="249">
                  <c:v>0.68775999999999993</c:v>
                </c:pt>
                <c:pt idx="250">
                  <c:v>0.67450999999999994</c:v>
                </c:pt>
                <c:pt idx="251">
                  <c:v>0.66122000000000003</c:v>
                </c:pt>
                <c:pt idx="252">
                  <c:v>0.63195000000000001</c:v>
                </c:pt>
                <c:pt idx="253">
                  <c:v>0.6583</c:v>
                </c:pt>
                <c:pt idx="254">
                  <c:v>0.64108000000000009</c:v>
                </c:pt>
                <c:pt idx="255">
                  <c:v>0.63153000000000004</c:v>
                </c:pt>
                <c:pt idx="256">
                  <c:v>0.62277000000000005</c:v>
                </c:pt>
                <c:pt idx="257">
                  <c:v>0.62277000000000005</c:v>
                </c:pt>
                <c:pt idx="258">
                  <c:v>0.61597999999999997</c:v>
                </c:pt>
                <c:pt idx="259">
                  <c:v>0.62692999999999999</c:v>
                </c:pt>
                <c:pt idx="260">
                  <c:v>0.60392999999999997</c:v>
                </c:pt>
                <c:pt idx="261">
                  <c:v>0.61243999999999998</c:v>
                </c:pt>
                <c:pt idx="262">
                  <c:v>0.61243999999999998</c:v>
                </c:pt>
                <c:pt idx="263">
                  <c:v>0.59050999999999998</c:v>
                </c:pt>
                <c:pt idx="264">
                  <c:v>0.56715000000000004</c:v>
                </c:pt>
                <c:pt idx="265">
                  <c:v>0.53640999999999994</c:v>
                </c:pt>
                <c:pt idx="266">
                  <c:v>0.54364999999999997</c:v>
                </c:pt>
                <c:pt idx="267">
                  <c:v>0.52359999999999995</c:v>
                </c:pt>
                <c:pt idx="268">
                  <c:v>0.50451999999999997</c:v>
                </c:pt>
                <c:pt idx="269">
                  <c:v>0.47381999999999996</c:v>
                </c:pt>
                <c:pt idx="270">
                  <c:v>0.47403000000000001</c:v>
                </c:pt>
                <c:pt idx="271">
                  <c:v>0.48255000000000003</c:v>
                </c:pt>
                <c:pt idx="272">
                  <c:v>0.48308000000000001</c:v>
                </c:pt>
                <c:pt idx="273">
                  <c:v>0.48308000000000001</c:v>
                </c:pt>
                <c:pt idx="274">
                  <c:v>0.49220999999999998</c:v>
                </c:pt>
                <c:pt idx="275">
                  <c:v>0.49652000000000002</c:v>
                </c:pt>
                <c:pt idx="276">
                  <c:v>0.49792999999999998</c:v>
                </c:pt>
                <c:pt idx="277">
                  <c:v>0.50912999999999997</c:v>
                </c:pt>
                <c:pt idx="278">
                  <c:v>0.5272</c:v>
                </c:pt>
                <c:pt idx="279">
                  <c:v>0.53905999999999998</c:v>
                </c:pt>
                <c:pt idx="280">
                  <c:v>0.53056999999999999</c:v>
                </c:pt>
                <c:pt idx="281">
                  <c:v>0.54354999999999998</c:v>
                </c:pt>
                <c:pt idx="282">
                  <c:v>0.50946999999999998</c:v>
                </c:pt>
                <c:pt idx="283">
                  <c:v>0.49598999999999999</c:v>
                </c:pt>
                <c:pt idx="284">
                  <c:v>0.48527999999999999</c:v>
                </c:pt>
                <c:pt idx="285">
                  <c:v>0.46578000000000003</c:v>
                </c:pt>
                <c:pt idx="286">
                  <c:v>0.45868999999999999</c:v>
                </c:pt>
                <c:pt idx="287">
                  <c:v>0.45704999999999996</c:v>
                </c:pt>
                <c:pt idx="288">
                  <c:v>0.44284000000000001</c:v>
                </c:pt>
                <c:pt idx="289">
                  <c:v>0.45341999999999999</c:v>
                </c:pt>
                <c:pt idx="290">
                  <c:v>0.44825999999999999</c:v>
                </c:pt>
                <c:pt idx="291">
                  <c:v>0.46517000000000003</c:v>
                </c:pt>
                <c:pt idx="292">
                  <c:v>0.45401000000000002</c:v>
                </c:pt>
                <c:pt idx="293">
                  <c:v>0.45401000000000002</c:v>
                </c:pt>
                <c:pt idx="294">
                  <c:v>0.42857000000000001</c:v>
                </c:pt>
                <c:pt idx="295">
                  <c:v>0.41551000000000005</c:v>
                </c:pt>
                <c:pt idx="296">
                  <c:v>0.42835999999999996</c:v>
                </c:pt>
                <c:pt idx="297">
                  <c:v>0.42902000000000001</c:v>
                </c:pt>
                <c:pt idx="298">
                  <c:v>0.41874</c:v>
                </c:pt>
                <c:pt idx="299">
                  <c:v>0.45043999999999995</c:v>
                </c:pt>
                <c:pt idx="300">
                  <c:v>0.45012000000000002</c:v>
                </c:pt>
                <c:pt idx="301">
                  <c:v>0.39354</c:v>
                </c:pt>
                <c:pt idx="302">
                  <c:v>0.38152999999999998</c:v>
                </c:pt>
                <c:pt idx="303">
                  <c:v>0.41534999999999994</c:v>
                </c:pt>
                <c:pt idx="304">
                  <c:v>0.42015000000000002</c:v>
                </c:pt>
                <c:pt idx="305">
                  <c:v>0.42143999999999998</c:v>
                </c:pt>
                <c:pt idx="306">
                  <c:v>0.40720000000000001</c:v>
                </c:pt>
                <c:pt idx="307">
                  <c:v>0.43825000000000003</c:v>
                </c:pt>
                <c:pt idx="308">
                  <c:v>0.40767000000000003</c:v>
                </c:pt>
                <c:pt idx="309">
                  <c:v>0.46171999999999996</c:v>
                </c:pt>
                <c:pt idx="310">
                  <c:v>0.42210999999999999</c:v>
                </c:pt>
                <c:pt idx="311">
                  <c:v>0.46088999999999997</c:v>
                </c:pt>
                <c:pt idx="312">
                  <c:v>0.40277999999999997</c:v>
                </c:pt>
                <c:pt idx="313">
                  <c:v>0.38377</c:v>
                </c:pt>
                <c:pt idx="314">
                  <c:v>0.38322000000000001</c:v>
                </c:pt>
                <c:pt idx="315">
                  <c:v>0.37270999999999999</c:v>
                </c:pt>
                <c:pt idx="316">
                  <c:v>0.37939000000000001</c:v>
                </c:pt>
                <c:pt idx="317">
                  <c:v>0.36798999999999998</c:v>
                </c:pt>
                <c:pt idx="318">
                  <c:v>0.37378999999999996</c:v>
                </c:pt>
                <c:pt idx="319">
                  <c:v>0.38844000000000001</c:v>
                </c:pt>
                <c:pt idx="320">
                  <c:v>0.38116999999999995</c:v>
                </c:pt>
                <c:pt idx="321">
                  <c:v>0.38022</c:v>
                </c:pt>
                <c:pt idx="322">
                  <c:v>0.35383000000000003</c:v>
                </c:pt>
                <c:pt idx="323">
                  <c:v>0.33498</c:v>
                </c:pt>
                <c:pt idx="324">
                  <c:v>0.26663999999999999</c:v>
                </c:pt>
                <c:pt idx="325">
                  <c:v>0.29194999999999999</c:v>
                </c:pt>
                <c:pt idx="326">
                  <c:v>0.25755</c:v>
                </c:pt>
                <c:pt idx="327">
                  <c:v>0.27534999999999998</c:v>
                </c:pt>
                <c:pt idx="328">
                  <c:v>0.22306000000000001</c:v>
                </c:pt>
                <c:pt idx="329">
                  <c:v>0.24446000000000001</c:v>
                </c:pt>
                <c:pt idx="330">
                  <c:v>0.29472000000000004</c:v>
                </c:pt>
                <c:pt idx="331">
                  <c:v>0.29119</c:v>
                </c:pt>
                <c:pt idx="332">
                  <c:v>0.25513999999999998</c:v>
                </c:pt>
                <c:pt idx="333">
                  <c:v>0.25892999999999999</c:v>
                </c:pt>
                <c:pt idx="334">
                  <c:v>0.22745000000000001</c:v>
                </c:pt>
                <c:pt idx="335">
                  <c:v>0.25203999999999999</c:v>
                </c:pt>
                <c:pt idx="336">
                  <c:v>0.25346000000000002</c:v>
                </c:pt>
                <c:pt idx="337">
                  <c:v>0.25189</c:v>
                </c:pt>
                <c:pt idx="338">
                  <c:v>0.24617999999999998</c:v>
                </c:pt>
                <c:pt idx="339">
                  <c:v>0.24859000000000001</c:v>
                </c:pt>
                <c:pt idx="340">
                  <c:v>0.27433000000000002</c:v>
                </c:pt>
                <c:pt idx="341">
                  <c:v>0.26465</c:v>
                </c:pt>
                <c:pt idx="342">
                  <c:v>0.26130999999999999</c:v>
                </c:pt>
                <c:pt idx="343">
                  <c:v>0.21888000000000002</c:v>
                </c:pt>
                <c:pt idx="344">
                  <c:v>0.22070000000000001</c:v>
                </c:pt>
                <c:pt idx="345">
                  <c:v>0.19009000000000001</c:v>
                </c:pt>
                <c:pt idx="346">
                  <c:v>0.19763999999999998</c:v>
                </c:pt>
                <c:pt idx="347">
                  <c:v>0.22047</c:v>
                </c:pt>
                <c:pt idx="348">
                  <c:v>0.21315000000000001</c:v>
                </c:pt>
                <c:pt idx="349">
                  <c:v>0.21709000000000001</c:v>
                </c:pt>
                <c:pt idx="350">
                  <c:v>0.21614999999999998</c:v>
                </c:pt>
                <c:pt idx="351">
                  <c:v>0.23052</c:v>
                </c:pt>
                <c:pt idx="352">
                  <c:v>0.20105000000000001</c:v>
                </c:pt>
                <c:pt idx="353">
                  <c:v>0.22799</c:v>
                </c:pt>
                <c:pt idx="354">
                  <c:v>0.20609000000000002</c:v>
                </c:pt>
                <c:pt idx="355">
                  <c:v>0.20919000000000001</c:v>
                </c:pt>
                <c:pt idx="356">
                  <c:v>0.19105</c:v>
                </c:pt>
                <c:pt idx="357">
                  <c:v>0.23068999999999998</c:v>
                </c:pt>
                <c:pt idx="358">
                  <c:v>0.21264</c:v>
                </c:pt>
                <c:pt idx="359">
                  <c:v>0.21459</c:v>
                </c:pt>
                <c:pt idx="360">
                  <c:v>0.22561</c:v>
                </c:pt>
                <c:pt idx="361">
                  <c:v>0.21861</c:v>
                </c:pt>
                <c:pt idx="362">
                  <c:v>0.23541000000000001</c:v>
                </c:pt>
                <c:pt idx="363">
                  <c:v>0.2351</c:v>
                </c:pt>
                <c:pt idx="364">
                  <c:v>0.24701000000000001</c:v>
                </c:pt>
                <c:pt idx="365">
                  <c:v>0.25936999999999999</c:v>
                </c:pt>
                <c:pt idx="366">
                  <c:v>0.24667999999999998</c:v>
                </c:pt>
                <c:pt idx="367">
                  <c:v>0.22869</c:v>
                </c:pt>
                <c:pt idx="368">
                  <c:v>0.22869</c:v>
                </c:pt>
                <c:pt idx="369">
                  <c:v>0.20736000000000002</c:v>
                </c:pt>
                <c:pt idx="370">
                  <c:v>0.21836</c:v>
                </c:pt>
                <c:pt idx="371">
                  <c:v>0.20783000000000001</c:v>
                </c:pt>
                <c:pt idx="372">
                  <c:v>0.17638000000000001</c:v>
                </c:pt>
                <c:pt idx="373">
                  <c:v>0.20546</c:v>
                </c:pt>
                <c:pt idx="374">
                  <c:v>0.21579999999999999</c:v>
                </c:pt>
                <c:pt idx="375">
                  <c:v>0.23556999999999997</c:v>
                </c:pt>
                <c:pt idx="376">
                  <c:v>0.21421999999999999</c:v>
                </c:pt>
                <c:pt idx="377">
                  <c:v>0.24257999999999999</c:v>
                </c:pt>
                <c:pt idx="378">
                  <c:v>0.20322999999999999</c:v>
                </c:pt>
                <c:pt idx="379">
                  <c:v>0.18260000000000001</c:v>
                </c:pt>
                <c:pt idx="380">
                  <c:v>0.19908999999999999</c:v>
                </c:pt>
                <c:pt idx="381">
                  <c:v>0.13946999999999998</c:v>
                </c:pt>
                <c:pt idx="382">
                  <c:v>0.13199</c:v>
                </c:pt>
                <c:pt idx="383">
                  <c:v>0.10761</c:v>
                </c:pt>
                <c:pt idx="384">
                  <c:v>0.10549</c:v>
                </c:pt>
                <c:pt idx="385">
                  <c:v>0.13041</c:v>
                </c:pt>
                <c:pt idx="386">
                  <c:v>0.1084</c:v>
                </c:pt>
                <c:pt idx="387">
                  <c:v>9.4600000000000004E-2</c:v>
                </c:pt>
                <c:pt idx="388">
                  <c:v>6.8920000000000009E-2</c:v>
                </c:pt>
                <c:pt idx="389">
                  <c:v>8.8149999999999992E-2</c:v>
                </c:pt>
                <c:pt idx="390">
                  <c:v>0.11015999999999999</c:v>
                </c:pt>
                <c:pt idx="391">
                  <c:v>8.9520000000000002E-2</c:v>
                </c:pt>
                <c:pt idx="392">
                  <c:v>0.1013</c:v>
                </c:pt>
                <c:pt idx="393">
                  <c:v>0.1013</c:v>
                </c:pt>
                <c:pt idx="394">
                  <c:v>0.15348000000000001</c:v>
                </c:pt>
                <c:pt idx="395">
                  <c:v>0.16978000000000001</c:v>
                </c:pt>
                <c:pt idx="396">
                  <c:v>0.22749</c:v>
                </c:pt>
                <c:pt idx="397">
                  <c:v>0.18781999999999999</c:v>
                </c:pt>
                <c:pt idx="398">
                  <c:v>0.19424</c:v>
                </c:pt>
                <c:pt idx="399">
                  <c:v>0.16283999999999998</c:v>
                </c:pt>
                <c:pt idx="400">
                  <c:v>0.14175000000000001</c:v>
                </c:pt>
                <c:pt idx="401">
                  <c:v>0.19027000000000002</c:v>
                </c:pt>
                <c:pt idx="402">
                  <c:v>0.16352</c:v>
                </c:pt>
                <c:pt idx="403">
                  <c:v>0.20857000000000001</c:v>
                </c:pt>
                <c:pt idx="404">
                  <c:v>0.28639999999999999</c:v>
                </c:pt>
                <c:pt idx="405">
                  <c:v>0.25786999999999999</c:v>
                </c:pt>
                <c:pt idx="406">
                  <c:v>0.22161</c:v>
                </c:pt>
                <c:pt idx="407">
                  <c:v>0.22167000000000001</c:v>
                </c:pt>
                <c:pt idx="408">
                  <c:v>0.25175000000000003</c:v>
                </c:pt>
                <c:pt idx="409">
                  <c:v>0.24692</c:v>
                </c:pt>
                <c:pt idx="410">
                  <c:v>0.23974000000000001</c:v>
                </c:pt>
                <c:pt idx="411">
                  <c:v>0.22329000000000002</c:v>
                </c:pt>
                <c:pt idx="412">
                  <c:v>0.2462</c:v>
                </c:pt>
                <c:pt idx="413">
                  <c:v>0.25075999999999998</c:v>
                </c:pt>
                <c:pt idx="414">
                  <c:v>0.26245000000000002</c:v>
                </c:pt>
                <c:pt idx="415">
                  <c:v>0.27452000000000004</c:v>
                </c:pt>
                <c:pt idx="416">
                  <c:v>0.23925999999999997</c:v>
                </c:pt>
                <c:pt idx="417">
                  <c:v>0.19986999999999999</c:v>
                </c:pt>
                <c:pt idx="418">
                  <c:v>0.16812000000000002</c:v>
                </c:pt>
                <c:pt idx="419">
                  <c:v>0.14119000000000001</c:v>
                </c:pt>
                <c:pt idx="420">
                  <c:v>0.11445999999999999</c:v>
                </c:pt>
                <c:pt idx="421">
                  <c:v>0.13955000000000001</c:v>
                </c:pt>
                <c:pt idx="422">
                  <c:v>0.12048</c:v>
                </c:pt>
                <c:pt idx="423">
                  <c:v>0.15387000000000001</c:v>
                </c:pt>
                <c:pt idx="424">
                  <c:v>0.19309000000000001</c:v>
                </c:pt>
                <c:pt idx="425">
                  <c:v>0.16269999999999998</c:v>
                </c:pt>
                <c:pt idx="426">
                  <c:v>0.17245999999999997</c:v>
                </c:pt>
                <c:pt idx="427">
                  <c:v>0.17138999999999999</c:v>
                </c:pt>
                <c:pt idx="428">
                  <c:v>0.12728999999999999</c:v>
                </c:pt>
                <c:pt idx="429">
                  <c:v>0.14896999999999999</c:v>
                </c:pt>
                <c:pt idx="430">
                  <c:v>0.12560000000000002</c:v>
                </c:pt>
                <c:pt idx="431">
                  <c:v>0.11609999999999999</c:v>
                </c:pt>
                <c:pt idx="432">
                  <c:v>0.13558000000000001</c:v>
                </c:pt>
                <c:pt idx="433">
                  <c:v>0.18736999999999998</c:v>
                </c:pt>
                <c:pt idx="434">
                  <c:v>0.17962</c:v>
                </c:pt>
                <c:pt idx="435">
                  <c:v>0.15825</c:v>
                </c:pt>
                <c:pt idx="436">
                  <c:v>0.15423999999999999</c:v>
                </c:pt>
                <c:pt idx="437">
                  <c:v>0.14901999999999999</c:v>
                </c:pt>
                <c:pt idx="438">
                  <c:v>0.14901999999999999</c:v>
                </c:pt>
                <c:pt idx="439">
                  <c:v>0.12025000000000001</c:v>
                </c:pt>
                <c:pt idx="440">
                  <c:v>0.13074</c:v>
                </c:pt>
                <c:pt idx="441">
                  <c:v>0.14132</c:v>
                </c:pt>
                <c:pt idx="442">
                  <c:v>0.14297000000000001</c:v>
                </c:pt>
                <c:pt idx="443">
                  <c:v>0.1338</c:v>
                </c:pt>
                <c:pt idx="444">
                  <c:v>0.13198000000000001</c:v>
                </c:pt>
                <c:pt idx="445">
                  <c:v>0.16216999999999998</c:v>
                </c:pt>
                <c:pt idx="446">
                  <c:v>0.12841</c:v>
                </c:pt>
                <c:pt idx="447">
                  <c:v>9.9680000000000005E-2</c:v>
                </c:pt>
                <c:pt idx="448">
                  <c:v>0.10923999999999999</c:v>
                </c:pt>
                <c:pt idx="449">
                  <c:v>0.10263</c:v>
                </c:pt>
                <c:pt idx="450">
                  <c:v>0.10407999999999999</c:v>
                </c:pt>
                <c:pt idx="451">
                  <c:v>6.1519999999999998E-2</c:v>
                </c:pt>
                <c:pt idx="452">
                  <c:v>4.3579999999999994E-2</c:v>
                </c:pt>
                <c:pt idx="453">
                  <c:v>-5.6299999999999996E-3</c:v>
                </c:pt>
                <c:pt idx="454">
                  <c:v>3.2379999999999999E-2</c:v>
                </c:pt>
                <c:pt idx="455">
                  <c:v>8.5029999999999994E-2</c:v>
                </c:pt>
                <c:pt idx="456">
                  <c:v>5.7689999999999998E-2</c:v>
                </c:pt>
                <c:pt idx="457">
                  <c:v>0.13021000000000002</c:v>
                </c:pt>
                <c:pt idx="458">
                  <c:v>0.17926999999999998</c:v>
                </c:pt>
                <c:pt idx="459">
                  <c:v>0.19888999999999998</c:v>
                </c:pt>
                <c:pt idx="460">
                  <c:v>0.16696999999999998</c:v>
                </c:pt>
                <c:pt idx="461">
                  <c:v>0.13836999999999999</c:v>
                </c:pt>
                <c:pt idx="462">
                  <c:v>8.7249999999999994E-2</c:v>
                </c:pt>
                <c:pt idx="463">
                  <c:v>8.7249999999999994E-2</c:v>
                </c:pt>
                <c:pt idx="464">
                  <c:v>7.2389999999999996E-2</c:v>
                </c:pt>
                <c:pt idx="465">
                  <c:v>0.11349000000000001</c:v>
                </c:pt>
                <c:pt idx="466">
                  <c:v>0.11324999999999999</c:v>
                </c:pt>
                <c:pt idx="467">
                  <c:v>9.8650000000000002E-2</c:v>
                </c:pt>
                <c:pt idx="468">
                  <c:v>6.6420000000000007E-2</c:v>
                </c:pt>
                <c:pt idx="469">
                  <c:v>0.10134</c:v>
                </c:pt>
                <c:pt idx="470">
                  <c:v>0.10916000000000001</c:v>
                </c:pt>
                <c:pt idx="471">
                  <c:v>0.11959</c:v>
                </c:pt>
                <c:pt idx="472">
                  <c:v>9.5440000000000011E-2</c:v>
                </c:pt>
                <c:pt idx="473">
                  <c:v>9.4019999999999992E-2</c:v>
                </c:pt>
                <c:pt idx="474">
                  <c:v>0.12743000000000002</c:v>
                </c:pt>
                <c:pt idx="475">
                  <c:v>0.12597</c:v>
                </c:pt>
                <c:pt idx="476">
                  <c:v>0.13180999999999998</c:v>
                </c:pt>
                <c:pt idx="477">
                  <c:v>0.11503000000000001</c:v>
                </c:pt>
                <c:pt idx="478">
                  <c:v>9.7929999999999989E-2</c:v>
                </c:pt>
                <c:pt idx="479">
                  <c:v>0.15426000000000001</c:v>
                </c:pt>
                <c:pt idx="480">
                  <c:v>0.18306999999999998</c:v>
                </c:pt>
                <c:pt idx="481">
                  <c:v>0.15560000000000002</c:v>
                </c:pt>
                <c:pt idx="482">
                  <c:v>0.19181000000000001</c:v>
                </c:pt>
                <c:pt idx="483">
                  <c:v>0.17463999999999999</c:v>
                </c:pt>
                <c:pt idx="484">
                  <c:v>0.18193999999999999</c:v>
                </c:pt>
                <c:pt idx="485">
                  <c:v>0.16510000000000002</c:v>
                </c:pt>
                <c:pt idx="486">
                  <c:v>0.16510000000000002</c:v>
                </c:pt>
                <c:pt idx="487">
                  <c:v>7.0660000000000001E-2</c:v>
                </c:pt>
                <c:pt idx="488">
                  <c:v>9.9769999999999998E-2</c:v>
                </c:pt>
                <c:pt idx="489">
                  <c:v>7.4099999999999999E-2</c:v>
                </c:pt>
                <c:pt idx="490">
                  <c:v>7.016E-2</c:v>
                </c:pt>
                <c:pt idx="491">
                  <c:v>8.3750000000000005E-2</c:v>
                </c:pt>
                <c:pt idx="492">
                  <c:v>0.14226</c:v>
                </c:pt>
                <c:pt idx="493">
                  <c:v>9.7309999999999994E-2</c:v>
                </c:pt>
                <c:pt idx="494">
                  <c:v>8.448E-2</c:v>
                </c:pt>
                <c:pt idx="495">
                  <c:v>8.233E-2</c:v>
                </c:pt>
                <c:pt idx="496">
                  <c:v>8.233E-2</c:v>
                </c:pt>
                <c:pt idx="497">
                  <c:v>0.20504999999999998</c:v>
                </c:pt>
                <c:pt idx="498">
                  <c:v>0.21292000000000003</c:v>
                </c:pt>
                <c:pt idx="499">
                  <c:v>0.33881</c:v>
                </c:pt>
                <c:pt idx="500">
                  <c:v>0.25757999999999998</c:v>
                </c:pt>
                <c:pt idx="501">
                  <c:v>0.25784000000000001</c:v>
                </c:pt>
                <c:pt idx="502">
                  <c:v>0.23989000000000002</c:v>
                </c:pt>
                <c:pt idx="503">
                  <c:v>0.27093</c:v>
                </c:pt>
                <c:pt idx="504">
                  <c:v>0.25242999999999999</c:v>
                </c:pt>
                <c:pt idx="505">
                  <c:v>0.21376000000000001</c:v>
                </c:pt>
                <c:pt idx="506">
                  <c:v>0.18064</c:v>
                </c:pt>
                <c:pt idx="507">
                  <c:v>0.16175</c:v>
                </c:pt>
                <c:pt idx="508">
                  <c:v>0.18600999999999998</c:v>
                </c:pt>
                <c:pt idx="509">
                  <c:v>0.17831</c:v>
                </c:pt>
                <c:pt idx="510">
                  <c:v>0.17912</c:v>
                </c:pt>
                <c:pt idx="511">
                  <c:v>0.20489999999999997</c:v>
                </c:pt>
                <c:pt idx="512">
                  <c:v>0.25122</c:v>
                </c:pt>
                <c:pt idx="513">
                  <c:v>0.27068999999999999</c:v>
                </c:pt>
                <c:pt idx="514">
                  <c:v>0.25747999999999999</c:v>
                </c:pt>
                <c:pt idx="515">
                  <c:v>0.20984000000000003</c:v>
                </c:pt>
                <c:pt idx="516">
                  <c:v>0.20929999999999999</c:v>
                </c:pt>
                <c:pt idx="517">
                  <c:v>0.20929999999999999</c:v>
                </c:pt>
                <c:pt idx="518">
                  <c:v>0.21178999999999998</c:v>
                </c:pt>
                <c:pt idx="519">
                  <c:v>0.21972000000000003</c:v>
                </c:pt>
                <c:pt idx="520">
                  <c:v>0.21672999999999998</c:v>
                </c:pt>
                <c:pt idx="521">
                  <c:v>0.19884000000000002</c:v>
                </c:pt>
                <c:pt idx="522">
                  <c:v>0.19794</c:v>
                </c:pt>
                <c:pt idx="523">
                  <c:v>0.19794</c:v>
                </c:pt>
                <c:pt idx="524">
                  <c:v>0.46406999999999998</c:v>
                </c:pt>
                <c:pt idx="525">
                  <c:v>0.65996999999999995</c:v>
                </c:pt>
                <c:pt idx="526">
                  <c:v>0.81516000000000011</c:v>
                </c:pt>
                <c:pt idx="527">
                  <c:v>0.78971000000000002</c:v>
                </c:pt>
                <c:pt idx="528">
                  <c:v>0.78457999999999994</c:v>
                </c:pt>
                <c:pt idx="529">
                  <c:v>0.76742999999999995</c:v>
                </c:pt>
                <c:pt idx="530">
                  <c:v>0.78044000000000002</c:v>
                </c:pt>
                <c:pt idx="531">
                  <c:v>0.7714700000000001</c:v>
                </c:pt>
                <c:pt idx="532">
                  <c:v>0.77918000000000009</c:v>
                </c:pt>
                <c:pt idx="533">
                  <c:v>0.77918000000000009</c:v>
                </c:pt>
                <c:pt idx="534">
                  <c:v>0.73382999999999998</c:v>
                </c:pt>
                <c:pt idx="535">
                  <c:v>0.74576999999999993</c:v>
                </c:pt>
                <c:pt idx="536">
                  <c:v>0.74675000000000002</c:v>
                </c:pt>
                <c:pt idx="537">
                  <c:v>0.79296000000000011</c:v>
                </c:pt>
                <c:pt idx="538">
                  <c:v>0.80614000000000008</c:v>
                </c:pt>
                <c:pt idx="539">
                  <c:v>0.83828000000000003</c:v>
                </c:pt>
                <c:pt idx="540">
                  <c:v>0.83038999999999996</c:v>
                </c:pt>
                <c:pt idx="541">
                  <c:v>0.77730999999999995</c:v>
                </c:pt>
                <c:pt idx="542">
                  <c:v>0.71456000000000008</c:v>
                </c:pt>
                <c:pt idx="543">
                  <c:v>0.77995000000000003</c:v>
                </c:pt>
                <c:pt idx="544">
                  <c:v>0.8272799999999999</c:v>
                </c:pt>
                <c:pt idx="545">
                  <c:v>0.78173000000000004</c:v>
                </c:pt>
                <c:pt idx="546">
                  <c:v>0.76918999999999993</c:v>
                </c:pt>
                <c:pt idx="547">
                  <c:v>0.72695999999999994</c:v>
                </c:pt>
                <c:pt idx="548">
                  <c:v>0.70079999999999998</c:v>
                </c:pt>
                <c:pt idx="549">
                  <c:v>0.71662000000000003</c:v>
                </c:pt>
                <c:pt idx="550">
                  <c:v>0.70522000000000007</c:v>
                </c:pt>
                <c:pt idx="551">
                  <c:v>0.67602999999999991</c:v>
                </c:pt>
                <c:pt idx="552">
                  <c:v>0.51381999999999994</c:v>
                </c:pt>
                <c:pt idx="553">
                  <c:v>0.63524000000000003</c:v>
                </c:pt>
                <c:pt idx="554">
                  <c:v>0.59353</c:v>
                </c:pt>
                <c:pt idx="555">
                  <c:v>0.59554000000000007</c:v>
                </c:pt>
                <c:pt idx="556">
                  <c:v>0.67504999999999993</c:v>
                </c:pt>
                <c:pt idx="557">
                  <c:v>0.69004999999999994</c:v>
                </c:pt>
                <c:pt idx="558">
                  <c:v>0.69004999999999994</c:v>
                </c:pt>
                <c:pt idx="559">
                  <c:v>0.73816000000000004</c:v>
                </c:pt>
                <c:pt idx="560">
                  <c:v>0.74582999999999999</c:v>
                </c:pt>
                <c:pt idx="561">
                  <c:v>0.97967000000000004</c:v>
                </c:pt>
                <c:pt idx="562">
                  <c:v>0.94921999999999995</c:v>
                </c:pt>
                <c:pt idx="563">
                  <c:v>1.09819</c:v>
                </c:pt>
                <c:pt idx="564">
                  <c:v>1.44598</c:v>
                </c:pt>
                <c:pt idx="565">
                  <c:v>1.57298</c:v>
                </c:pt>
                <c:pt idx="566">
                  <c:v>1.5763199999999999</c:v>
                </c:pt>
                <c:pt idx="567">
                  <c:v>2.03661</c:v>
                </c:pt>
                <c:pt idx="568">
                  <c:v>2.7418099999999996</c:v>
                </c:pt>
                <c:pt idx="569">
                  <c:v>3.32925</c:v>
                </c:pt>
                <c:pt idx="570">
                  <c:v>3.1305800000000001</c:v>
                </c:pt>
                <c:pt idx="571">
                  <c:v>2.9335700000000005</c:v>
                </c:pt>
                <c:pt idx="572">
                  <c:v>2.9155500000000001</c:v>
                </c:pt>
                <c:pt idx="573">
                  <c:v>2.9012799999999999</c:v>
                </c:pt>
                <c:pt idx="574">
                  <c:v>2.7587099999999998</c:v>
                </c:pt>
                <c:pt idx="575">
                  <c:v>2.6792500000000001</c:v>
                </c:pt>
                <c:pt idx="576">
                  <c:v>2.4816599999999998</c:v>
                </c:pt>
                <c:pt idx="577">
                  <c:v>2.20105</c:v>
                </c:pt>
                <c:pt idx="578">
                  <c:v>2.0365199999999999</c:v>
                </c:pt>
                <c:pt idx="579">
                  <c:v>1.85511</c:v>
                </c:pt>
                <c:pt idx="580">
                  <c:v>1.8266900000000001</c:v>
                </c:pt>
                <c:pt idx="581">
                  <c:v>1.8705600000000002</c:v>
                </c:pt>
                <c:pt idx="582">
                  <c:v>1.8753899999999999</c:v>
                </c:pt>
                <c:pt idx="583">
                  <c:v>1.6986300000000001</c:v>
                </c:pt>
                <c:pt idx="584">
                  <c:v>1.57666</c:v>
                </c:pt>
                <c:pt idx="585">
                  <c:v>1.5232300000000001</c:v>
                </c:pt>
                <c:pt idx="586">
                  <c:v>1.3520300000000001</c:v>
                </c:pt>
                <c:pt idx="587">
                  <c:v>1.1932700000000001</c:v>
                </c:pt>
                <c:pt idx="588">
                  <c:v>1.0759000000000001</c:v>
                </c:pt>
                <c:pt idx="589">
                  <c:v>1.0021899999999999</c:v>
                </c:pt>
                <c:pt idx="590">
                  <c:v>0.92435</c:v>
                </c:pt>
                <c:pt idx="591">
                  <c:v>1.00237</c:v>
                </c:pt>
                <c:pt idx="592">
                  <c:v>0.89456000000000002</c:v>
                </c:pt>
                <c:pt idx="593">
                  <c:v>0.83436999999999995</c:v>
                </c:pt>
                <c:pt idx="594">
                  <c:v>0.85001000000000004</c:v>
                </c:pt>
                <c:pt idx="595">
                  <c:v>0.96016000000000001</c:v>
                </c:pt>
                <c:pt idx="596">
                  <c:v>1.0118099999999999</c:v>
                </c:pt>
                <c:pt idx="597">
                  <c:v>1.0118099999999999</c:v>
                </c:pt>
                <c:pt idx="598">
                  <c:v>0.86563999999999997</c:v>
                </c:pt>
                <c:pt idx="599">
                  <c:v>0.89115</c:v>
                </c:pt>
                <c:pt idx="600">
                  <c:v>0.79760000000000009</c:v>
                </c:pt>
                <c:pt idx="601">
                  <c:v>0.66356999999999999</c:v>
                </c:pt>
                <c:pt idx="602">
                  <c:v>0.56444000000000005</c:v>
                </c:pt>
                <c:pt idx="603">
                  <c:v>0.68870999999999993</c:v>
                </c:pt>
                <c:pt idx="604">
                  <c:v>0.71584999999999999</c:v>
                </c:pt>
                <c:pt idx="605">
                  <c:v>0.74470000000000003</c:v>
                </c:pt>
                <c:pt idx="606">
                  <c:v>0.72507999999999995</c:v>
                </c:pt>
                <c:pt idx="607">
                  <c:v>0.66099999999999992</c:v>
                </c:pt>
                <c:pt idx="608">
                  <c:v>0.69174000000000002</c:v>
                </c:pt>
                <c:pt idx="609">
                  <c:v>0.69885999999999993</c:v>
                </c:pt>
                <c:pt idx="610">
                  <c:v>0.70581999999999989</c:v>
                </c:pt>
                <c:pt idx="611">
                  <c:v>0.78217999999999999</c:v>
                </c:pt>
                <c:pt idx="612">
                  <c:v>0.75611000000000006</c:v>
                </c:pt>
                <c:pt idx="613">
                  <c:v>0.77083000000000002</c:v>
                </c:pt>
                <c:pt idx="614">
                  <c:v>0.88551000000000002</c:v>
                </c:pt>
                <c:pt idx="615">
                  <c:v>0.89605000000000001</c:v>
                </c:pt>
                <c:pt idx="616">
                  <c:v>0.89219999999999999</c:v>
                </c:pt>
                <c:pt idx="617">
                  <c:v>0.86273</c:v>
                </c:pt>
                <c:pt idx="618">
                  <c:v>0.86063999999999996</c:v>
                </c:pt>
                <c:pt idx="619">
                  <c:v>0.83156999999999992</c:v>
                </c:pt>
                <c:pt idx="620">
                  <c:v>0.73199000000000003</c:v>
                </c:pt>
                <c:pt idx="621">
                  <c:v>0.86748000000000003</c:v>
                </c:pt>
                <c:pt idx="622">
                  <c:v>0.86226000000000003</c:v>
                </c:pt>
                <c:pt idx="623">
                  <c:v>0.84892000000000001</c:v>
                </c:pt>
                <c:pt idx="624">
                  <c:v>0.8529000000000001</c:v>
                </c:pt>
                <c:pt idx="625">
                  <c:v>0.89305000000000012</c:v>
                </c:pt>
                <c:pt idx="626">
                  <c:v>0.90588999999999997</c:v>
                </c:pt>
                <c:pt idx="627">
                  <c:v>0.88592000000000004</c:v>
                </c:pt>
                <c:pt idx="628">
                  <c:v>0.88592000000000004</c:v>
                </c:pt>
                <c:pt idx="629">
                  <c:v>0.74575999999999998</c:v>
                </c:pt>
                <c:pt idx="630">
                  <c:v>0.69275000000000009</c:v>
                </c:pt>
                <c:pt idx="631">
                  <c:v>0.62889000000000006</c:v>
                </c:pt>
                <c:pt idx="632">
                  <c:v>0.60033999999999998</c:v>
                </c:pt>
                <c:pt idx="633">
                  <c:v>0.58665</c:v>
                </c:pt>
                <c:pt idx="634">
                  <c:v>0.56540000000000001</c:v>
                </c:pt>
                <c:pt idx="635">
                  <c:v>0.52366999999999997</c:v>
                </c:pt>
                <c:pt idx="636">
                  <c:v>0.49265999999999999</c:v>
                </c:pt>
                <c:pt idx="637">
                  <c:v>0.43185000000000001</c:v>
                </c:pt>
                <c:pt idx="638">
                  <c:v>0.33218000000000003</c:v>
                </c:pt>
                <c:pt idx="639">
                  <c:v>0.34810000000000002</c:v>
                </c:pt>
                <c:pt idx="640">
                  <c:v>0.37067999999999995</c:v>
                </c:pt>
                <c:pt idx="641">
                  <c:v>0.34945999999999999</c:v>
                </c:pt>
                <c:pt idx="642">
                  <c:v>0.51471</c:v>
                </c:pt>
                <c:pt idx="643">
                  <c:v>0.51471</c:v>
                </c:pt>
                <c:pt idx="644">
                  <c:v>0.47067999999999999</c:v>
                </c:pt>
                <c:pt idx="645">
                  <c:v>0.58694000000000002</c:v>
                </c:pt>
                <c:pt idx="646">
                  <c:v>0.66700999999999988</c:v>
                </c:pt>
                <c:pt idx="647">
                  <c:v>0.65337999999999996</c:v>
                </c:pt>
                <c:pt idx="648">
                  <c:v>0.63244</c:v>
                </c:pt>
                <c:pt idx="649">
                  <c:v>0.57647000000000004</c:v>
                </c:pt>
                <c:pt idx="650">
                  <c:v>0.62963999999999998</c:v>
                </c:pt>
                <c:pt idx="651">
                  <c:v>0.76733000000000007</c:v>
                </c:pt>
                <c:pt idx="652">
                  <c:v>0.86219999999999997</c:v>
                </c:pt>
                <c:pt idx="653">
                  <c:v>0.86219999999999997</c:v>
                </c:pt>
                <c:pt idx="654">
                  <c:v>0.91071000000000002</c:v>
                </c:pt>
                <c:pt idx="655">
                  <c:v>0.98438999999999988</c:v>
                </c:pt>
                <c:pt idx="656">
                  <c:v>0.88532</c:v>
                </c:pt>
                <c:pt idx="657">
                  <c:v>0.94147999999999998</c:v>
                </c:pt>
                <c:pt idx="658">
                  <c:v>0.87808999999999993</c:v>
                </c:pt>
                <c:pt idx="659">
                  <c:v>0.98936000000000002</c:v>
                </c:pt>
                <c:pt idx="660">
                  <c:v>0.95447999999999988</c:v>
                </c:pt>
                <c:pt idx="661">
                  <c:v>0.88924000000000003</c:v>
                </c:pt>
                <c:pt idx="662">
                  <c:v>0.92930999999999997</c:v>
                </c:pt>
                <c:pt idx="663">
                  <c:v>0.91249999999999998</c:v>
                </c:pt>
                <c:pt idx="664">
                  <c:v>0.91061000000000003</c:v>
                </c:pt>
                <c:pt idx="665">
                  <c:v>0.86965999999999999</c:v>
                </c:pt>
                <c:pt idx="666">
                  <c:v>0.78424000000000005</c:v>
                </c:pt>
                <c:pt idx="667">
                  <c:v>0.88566999999999996</c:v>
                </c:pt>
                <c:pt idx="668">
                  <c:v>0.79382999999999992</c:v>
                </c:pt>
                <c:pt idx="669">
                  <c:v>0.65119000000000005</c:v>
                </c:pt>
                <c:pt idx="670">
                  <c:v>0.62895000000000001</c:v>
                </c:pt>
                <c:pt idx="671">
                  <c:v>0.64302999999999999</c:v>
                </c:pt>
                <c:pt idx="672">
                  <c:v>0.63107999999999997</c:v>
                </c:pt>
                <c:pt idx="673">
                  <c:v>0.53540999999999994</c:v>
                </c:pt>
                <c:pt idx="674">
                  <c:v>0.54354999999999998</c:v>
                </c:pt>
                <c:pt idx="675">
                  <c:v>0.32816000000000001</c:v>
                </c:pt>
                <c:pt idx="676">
                  <c:v>0.27453</c:v>
                </c:pt>
                <c:pt idx="677">
                  <c:v>0.23552000000000001</c:v>
                </c:pt>
                <c:pt idx="678">
                  <c:v>0.13396</c:v>
                </c:pt>
                <c:pt idx="679">
                  <c:v>7.7259999999999995E-2</c:v>
                </c:pt>
                <c:pt idx="680">
                  <c:v>3.8989999999999997E-2</c:v>
                </c:pt>
                <c:pt idx="681">
                  <c:v>4.82E-2</c:v>
                </c:pt>
                <c:pt idx="682">
                  <c:v>-4.1340000000000002E-2</c:v>
                </c:pt>
                <c:pt idx="683">
                  <c:v>-0.10909000000000001</c:v>
                </c:pt>
                <c:pt idx="684">
                  <c:v>-9.1509999999999994E-2</c:v>
                </c:pt>
                <c:pt idx="685">
                  <c:v>-0.11406000000000001</c:v>
                </c:pt>
                <c:pt idx="686">
                  <c:v>-0.16072</c:v>
                </c:pt>
                <c:pt idx="687">
                  <c:v>-0.13364000000000001</c:v>
                </c:pt>
                <c:pt idx="688">
                  <c:v>-0.11888</c:v>
                </c:pt>
                <c:pt idx="689">
                  <c:v>-0.18895000000000001</c:v>
                </c:pt>
                <c:pt idx="690">
                  <c:v>-0.153</c:v>
                </c:pt>
                <c:pt idx="691">
                  <c:v>-0.16882999999999998</c:v>
                </c:pt>
                <c:pt idx="692">
                  <c:v>-0.17678000000000002</c:v>
                </c:pt>
                <c:pt idx="693">
                  <c:v>-0.25635000000000002</c:v>
                </c:pt>
                <c:pt idx="694">
                  <c:v>-0.19572000000000001</c:v>
                </c:pt>
                <c:pt idx="695">
                  <c:v>-0.24237999999999998</c:v>
                </c:pt>
                <c:pt idx="696">
                  <c:v>-0.19440000000000002</c:v>
                </c:pt>
                <c:pt idx="697">
                  <c:v>-0.16388999999999998</c:v>
                </c:pt>
                <c:pt idx="698">
                  <c:v>-0.16388999999999998</c:v>
                </c:pt>
                <c:pt idx="699">
                  <c:v>-0.13021000000000002</c:v>
                </c:pt>
                <c:pt idx="700">
                  <c:v>-0.16437000000000002</c:v>
                </c:pt>
                <c:pt idx="701">
                  <c:v>-0.15377000000000002</c:v>
                </c:pt>
                <c:pt idx="702">
                  <c:v>-0.15909999999999999</c:v>
                </c:pt>
                <c:pt idx="703">
                  <c:v>-0.21812999999999999</c:v>
                </c:pt>
                <c:pt idx="704">
                  <c:v>-0.21042000000000002</c:v>
                </c:pt>
                <c:pt idx="705">
                  <c:v>-0.37039</c:v>
                </c:pt>
                <c:pt idx="706">
                  <c:v>-0.37752999999999998</c:v>
                </c:pt>
                <c:pt idx="707">
                  <c:v>-0.39396999999999999</c:v>
                </c:pt>
                <c:pt idx="708">
                  <c:v>-0.27360000000000001</c:v>
                </c:pt>
                <c:pt idx="709">
                  <c:v>-0.38892000000000004</c:v>
                </c:pt>
                <c:pt idx="710">
                  <c:v>-0.34499999999999997</c:v>
                </c:pt>
                <c:pt idx="711">
                  <c:v>-0.44742999999999999</c:v>
                </c:pt>
                <c:pt idx="712">
                  <c:v>-0.46218999999999999</c:v>
                </c:pt>
                <c:pt idx="713">
                  <c:v>-0.47981999999999997</c:v>
                </c:pt>
                <c:pt idx="714">
                  <c:v>-0.43662000000000001</c:v>
                </c:pt>
                <c:pt idx="715">
                  <c:v>-0.26228000000000001</c:v>
                </c:pt>
                <c:pt idx="716">
                  <c:v>-0.13352</c:v>
                </c:pt>
                <c:pt idx="717">
                  <c:v>2.342E-2</c:v>
                </c:pt>
                <c:pt idx="718">
                  <c:v>4.0899999999999999E-2</c:v>
                </c:pt>
                <c:pt idx="719">
                  <c:v>0.11806</c:v>
                </c:pt>
                <c:pt idx="720">
                  <c:v>3.0950000000000002E-2</c:v>
                </c:pt>
                <c:pt idx="721">
                  <c:v>3.4409999999999996E-2</c:v>
                </c:pt>
                <c:pt idx="722">
                  <c:v>-4.6740000000000004E-2</c:v>
                </c:pt>
                <c:pt idx="723">
                  <c:v>-4.6740000000000004E-2</c:v>
                </c:pt>
                <c:pt idx="724">
                  <c:v>-0.10519000000000001</c:v>
                </c:pt>
                <c:pt idx="725">
                  <c:v>-6.6040000000000001E-2</c:v>
                </c:pt>
                <c:pt idx="726">
                  <c:v>-8.4689999999999988E-2</c:v>
                </c:pt>
                <c:pt idx="727">
                  <c:v>-0.16741</c:v>
                </c:pt>
                <c:pt idx="728">
                  <c:v>-0.23573</c:v>
                </c:pt>
                <c:pt idx="729">
                  <c:v>-0.23241000000000001</c:v>
                </c:pt>
                <c:pt idx="730">
                  <c:v>-0.25484000000000001</c:v>
                </c:pt>
                <c:pt idx="731">
                  <c:v>-0.32496000000000003</c:v>
                </c:pt>
                <c:pt idx="732">
                  <c:v>-0.26816000000000001</c:v>
                </c:pt>
                <c:pt idx="733">
                  <c:v>-0.24068999999999999</c:v>
                </c:pt>
                <c:pt idx="734">
                  <c:v>-0.22059999999999999</c:v>
                </c:pt>
                <c:pt idx="735">
                  <c:v>-0.27568999999999999</c:v>
                </c:pt>
                <c:pt idx="736">
                  <c:v>-0.25949</c:v>
                </c:pt>
                <c:pt idx="737">
                  <c:v>-0.21335999999999999</c:v>
                </c:pt>
                <c:pt idx="738">
                  <c:v>-0.26518000000000003</c:v>
                </c:pt>
                <c:pt idx="739">
                  <c:v>-0.22595999999999999</c:v>
                </c:pt>
                <c:pt idx="740">
                  <c:v>-0.34775</c:v>
                </c:pt>
                <c:pt idx="741">
                  <c:v>-0.39688000000000001</c:v>
                </c:pt>
                <c:pt idx="742">
                  <c:v>-0.50958999999999999</c:v>
                </c:pt>
                <c:pt idx="743">
                  <c:v>-0.44345999999999997</c:v>
                </c:pt>
                <c:pt idx="744">
                  <c:v>-0.47060000000000002</c:v>
                </c:pt>
                <c:pt idx="745">
                  <c:v>-0.44970999999999994</c:v>
                </c:pt>
                <c:pt idx="746">
                  <c:v>-0.40328000000000003</c:v>
                </c:pt>
                <c:pt idx="747">
                  <c:v>-0.40328000000000003</c:v>
                </c:pt>
                <c:pt idx="748">
                  <c:v>-0.36280999999999997</c:v>
                </c:pt>
                <c:pt idx="749">
                  <c:v>-0.38768999999999998</c:v>
                </c:pt>
                <c:pt idx="750">
                  <c:v>-0.45524999999999999</c:v>
                </c:pt>
                <c:pt idx="751">
                  <c:v>-0.43475999999999998</c:v>
                </c:pt>
                <c:pt idx="752">
                  <c:v>-0.47753999999999996</c:v>
                </c:pt>
                <c:pt idx="753">
                  <c:v>-0.46755000000000002</c:v>
                </c:pt>
                <c:pt idx="754">
                  <c:v>-0.44540000000000002</c:v>
                </c:pt>
                <c:pt idx="755">
                  <c:v>-0.47182000000000002</c:v>
                </c:pt>
                <c:pt idx="756">
                  <c:v>-0.47182000000000002</c:v>
                </c:pt>
                <c:pt idx="757">
                  <c:v>-0.51641000000000004</c:v>
                </c:pt>
                <c:pt idx="758">
                  <c:v>-0.54135</c:v>
                </c:pt>
                <c:pt idx="759">
                  <c:v>-0.51202000000000003</c:v>
                </c:pt>
                <c:pt idx="760">
                  <c:v>-0.56603999999999999</c:v>
                </c:pt>
                <c:pt idx="761">
                  <c:v>-0.48604999999999998</c:v>
                </c:pt>
                <c:pt idx="762">
                  <c:v>-0.39905000000000002</c:v>
                </c:pt>
                <c:pt idx="763">
                  <c:v>-0.56208999999999998</c:v>
                </c:pt>
                <c:pt idx="764">
                  <c:v>-0.56938999999999995</c:v>
                </c:pt>
                <c:pt idx="765">
                  <c:v>-0.57057000000000002</c:v>
                </c:pt>
                <c:pt idx="766">
                  <c:v>-0.52761000000000002</c:v>
                </c:pt>
                <c:pt idx="767">
                  <c:v>-0.55814999999999992</c:v>
                </c:pt>
                <c:pt idx="768">
                  <c:v>-0.57651000000000008</c:v>
                </c:pt>
                <c:pt idx="769">
                  <c:v>-0.63251000000000002</c:v>
                </c:pt>
                <c:pt idx="770">
                  <c:v>-0.53555999999999993</c:v>
                </c:pt>
                <c:pt idx="771">
                  <c:v>-0.57699</c:v>
                </c:pt>
                <c:pt idx="772">
                  <c:v>-0.53909999999999991</c:v>
                </c:pt>
                <c:pt idx="773">
                  <c:v>-0.47487999999999997</c:v>
                </c:pt>
                <c:pt idx="774">
                  <c:v>-0.52834999999999999</c:v>
                </c:pt>
                <c:pt idx="775">
                  <c:v>-0.47991999999999996</c:v>
                </c:pt>
                <c:pt idx="776">
                  <c:v>-0.47560000000000002</c:v>
                </c:pt>
                <c:pt idx="777">
                  <c:v>-0.50573999999999997</c:v>
                </c:pt>
                <c:pt idx="778">
                  <c:v>-0.50573999999999997</c:v>
                </c:pt>
                <c:pt idx="779">
                  <c:v>-0.52377000000000007</c:v>
                </c:pt>
                <c:pt idx="780">
                  <c:v>-0.62178</c:v>
                </c:pt>
                <c:pt idx="781">
                  <c:v>-0.60636000000000001</c:v>
                </c:pt>
                <c:pt idx="782">
                  <c:v>-0.62853999999999999</c:v>
                </c:pt>
                <c:pt idx="783">
                  <c:v>-0.62853999999999999</c:v>
                </c:pt>
                <c:pt idx="784">
                  <c:v>-0.82530000000000003</c:v>
                </c:pt>
                <c:pt idx="785">
                  <c:v>-0.83808000000000005</c:v>
                </c:pt>
                <c:pt idx="786">
                  <c:v>-0.88578999999999997</c:v>
                </c:pt>
                <c:pt idx="787">
                  <c:v>-0.95308000000000004</c:v>
                </c:pt>
                <c:pt idx="788">
                  <c:v>-0.84590999999999994</c:v>
                </c:pt>
                <c:pt idx="789">
                  <c:v>-0.77971999999999997</c:v>
                </c:pt>
                <c:pt idx="790">
                  <c:v>-0.79930999999999996</c:v>
                </c:pt>
                <c:pt idx="791">
                  <c:v>-0.81303999999999998</c:v>
                </c:pt>
                <c:pt idx="792">
                  <c:v>-0.72075</c:v>
                </c:pt>
                <c:pt idx="793">
                  <c:v>-0.72075</c:v>
                </c:pt>
                <c:pt idx="794">
                  <c:v>-0.84231999999999996</c:v>
                </c:pt>
                <c:pt idx="795">
                  <c:v>-0.85010000000000008</c:v>
                </c:pt>
                <c:pt idx="796">
                  <c:v>-0.73214000000000001</c:v>
                </c:pt>
                <c:pt idx="797">
                  <c:v>-0.82696000000000003</c:v>
                </c:pt>
                <c:pt idx="798">
                  <c:v>-0.85998000000000008</c:v>
                </c:pt>
                <c:pt idx="799">
                  <c:v>-0.88564999999999994</c:v>
                </c:pt>
                <c:pt idx="800">
                  <c:v>-0.87135000000000007</c:v>
                </c:pt>
                <c:pt idx="801">
                  <c:v>-0.88421000000000005</c:v>
                </c:pt>
                <c:pt idx="802">
                  <c:v>-0.92876000000000003</c:v>
                </c:pt>
                <c:pt idx="803">
                  <c:v>-0.88900000000000001</c:v>
                </c:pt>
                <c:pt idx="804">
                  <c:v>-0.87482000000000004</c:v>
                </c:pt>
                <c:pt idx="805">
                  <c:v>-0.90081999999999995</c:v>
                </c:pt>
                <c:pt idx="806">
                  <c:v>-0.84656000000000009</c:v>
                </c:pt>
                <c:pt idx="807">
                  <c:v>-0.81472999999999995</c:v>
                </c:pt>
                <c:pt idx="808">
                  <c:v>-1.0234999999999999</c:v>
                </c:pt>
                <c:pt idx="809">
                  <c:v>-1.1009099999999998</c:v>
                </c:pt>
                <c:pt idx="810">
                  <c:v>-1.10656</c:v>
                </c:pt>
                <c:pt idx="811">
                  <c:v>-1.0767599999999999</c:v>
                </c:pt>
                <c:pt idx="812">
                  <c:v>-1.1537500000000001</c:v>
                </c:pt>
                <c:pt idx="813">
                  <c:v>-1.2113800000000001</c:v>
                </c:pt>
                <c:pt idx="814">
                  <c:v>-1.1813400000000001</c:v>
                </c:pt>
                <c:pt idx="815">
                  <c:v>-1.21055</c:v>
                </c:pt>
                <c:pt idx="816">
                  <c:v>-1.1979600000000001</c:v>
                </c:pt>
                <c:pt idx="817">
                  <c:v>-1.27512</c:v>
                </c:pt>
                <c:pt idx="818">
                  <c:v>-1.27512</c:v>
                </c:pt>
                <c:pt idx="819">
                  <c:v>-1.2542199999999999</c:v>
                </c:pt>
                <c:pt idx="820">
                  <c:v>-1.2602899999999999</c:v>
                </c:pt>
                <c:pt idx="821">
                  <c:v>-1.21638</c:v>
                </c:pt>
                <c:pt idx="822">
                  <c:v>-1.2530299999999999</c:v>
                </c:pt>
                <c:pt idx="823">
                  <c:v>-1.31609</c:v>
                </c:pt>
                <c:pt idx="824">
                  <c:v>-1.3038399999999999</c:v>
                </c:pt>
                <c:pt idx="825">
                  <c:v>-1.32053</c:v>
                </c:pt>
                <c:pt idx="826">
                  <c:v>-1.3381800000000001</c:v>
                </c:pt>
                <c:pt idx="827">
                  <c:v>-1.31576</c:v>
                </c:pt>
                <c:pt idx="828">
                  <c:v>-1.3445500000000001</c:v>
                </c:pt>
                <c:pt idx="829">
                  <c:v>-1.35988</c:v>
                </c:pt>
                <c:pt idx="830">
                  <c:v>-1.4928899999999998</c:v>
                </c:pt>
                <c:pt idx="831">
                  <c:v>-1.4115199999999999</c:v>
                </c:pt>
                <c:pt idx="832">
                  <c:v>-1.20797</c:v>
                </c:pt>
                <c:pt idx="833">
                  <c:v>-0.54247999999999996</c:v>
                </c:pt>
                <c:pt idx="834">
                  <c:v>-0.57440999999999998</c:v>
                </c:pt>
                <c:pt idx="835">
                  <c:v>-0.56124000000000007</c:v>
                </c:pt>
                <c:pt idx="836">
                  <c:v>-0.31756000000000001</c:v>
                </c:pt>
                <c:pt idx="837">
                  <c:v>-0.48619999999999997</c:v>
                </c:pt>
                <c:pt idx="838">
                  <c:v>-5.0999999999999997E-2</c:v>
                </c:pt>
                <c:pt idx="839">
                  <c:v>-0.30158999999999997</c:v>
                </c:pt>
                <c:pt idx="840">
                  <c:v>-0.38956000000000002</c:v>
                </c:pt>
                <c:pt idx="841">
                  <c:v>-0.25065999999999999</c:v>
                </c:pt>
                <c:pt idx="842">
                  <c:v>4.9970000000000001E-2</c:v>
                </c:pt>
                <c:pt idx="843">
                  <c:v>-0.20671</c:v>
                </c:pt>
                <c:pt idx="844">
                  <c:v>-0.28404000000000001</c:v>
                </c:pt>
                <c:pt idx="845">
                  <c:v>-0.28870000000000001</c:v>
                </c:pt>
                <c:pt idx="846">
                  <c:v>-0.39945000000000003</c:v>
                </c:pt>
                <c:pt idx="847">
                  <c:v>-0.49627000000000004</c:v>
                </c:pt>
                <c:pt idx="848">
                  <c:v>-0.42906</c:v>
                </c:pt>
                <c:pt idx="849">
                  <c:v>-0.34252000000000005</c:v>
                </c:pt>
                <c:pt idx="850">
                  <c:v>-0.26751000000000003</c:v>
                </c:pt>
                <c:pt idx="851">
                  <c:v>-0.18271000000000001</c:v>
                </c:pt>
                <c:pt idx="852">
                  <c:v>-0.26745999999999998</c:v>
                </c:pt>
                <c:pt idx="853">
                  <c:v>-0.35973999999999995</c:v>
                </c:pt>
                <c:pt idx="854">
                  <c:v>-0.40985999999999995</c:v>
                </c:pt>
                <c:pt idx="855">
                  <c:v>-0.45652999999999999</c:v>
                </c:pt>
                <c:pt idx="856">
                  <c:v>-0.38317000000000001</c:v>
                </c:pt>
                <c:pt idx="857">
                  <c:v>-0.39258000000000004</c:v>
                </c:pt>
                <c:pt idx="858">
                  <c:v>-0.55681999999999998</c:v>
                </c:pt>
                <c:pt idx="859">
                  <c:v>-0.59863999999999995</c:v>
                </c:pt>
                <c:pt idx="860">
                  <c:v>-0.63722999999999996</c:v>
                </c:pt>
                <c:pt idx="861">
                  <c:v>-0.58901000000000003</c:v>
                </c:pt>
                <c:pt idx="862">
                  <c:v>-0.50755000000000006</c:v>
                </c:pt>
                <c:pt idx="863">
                  <c:v>-0.53795999999999999</c:v>
                </c:pt>
                <c:pt idx="864">
                  <c:v>-0.48765999999999998</c:v>
                </c:pt>
                <c:pt idx="865">
                  <c:v>-0.40871000000000002</c:v>
                </c:pt>
                <c:pt idx="866">
                  <c:v>-0.45447000000000004</c:v>
                </c:pt>
                <c:pt idx="867">
                  <c:v>-0.52707000000000004</c:v>
                </c:pt>
                <c:pt idx="868">
                  <c:v>-0.49944000000000005</c:v>
                </c:pt>
                <c:pt idx="869">
                  <c:v>-0.53029999999999999</c:v>
                </c:pt>
                <c:pt idx="870">
                  <c:v>-0.40759000000000001</c:v>
                </c:pt>
                <c:pt idx="871">
                  <c:v>-0.27111999999999997</c:v>
                </c:pt>
                <c:pt idx="872">
                  <c:v>-0.21306</c:v>
                </c:pt>
                <c:pt idx="873">
                  <c:v>-0.40850000000000003</c:v>
                </c:pt>
                <c:pt idx="874">
                  <c:v>-0.35259999999999997</c:v>
                </c:pt>
                <c:pt idx="875">
                  <c:v>-0.4738</c:v>
                </c:pt>
                <c:pt idx="876">
                  <c:v>-0.39430999999999999</c:v>
                </c:pt>
                <c:pt idx="877">
                  <c:v>-0.36826000000000003</c:v>
                </c:pt>
                <c:pt idx="878">
                  <c:v>-0.43239</c:v>
                </c:pt>
                <c:pt idx="879">
                  <c:v>-0.39789000000000002</c:v>
                </c:pt>
                <c:pt idx="880">
                  <c:v>-0.47356000000000004</c:v>
                </c:pt>
                <c:pt idx="881">
                  <c:v>-0.52251999999999998</c:v>
                </c:pt>
                <c:pt idx="882">
                  <c:v>-0.65725999999999996</c:v>
                </c:pt>
                <c:pt idx="883">
                  <c:v>-0.66232000000000002</c:v>
                </c:pt>
                <c:pt idx="884">
                  <c:v>-0.74486999999999992</c:v>
                </c:pt>
                <c:pt idx="885">
                  <c:v>-0.70231999999999994</c:v>
                </c:pt>
                <c:pt idx="886">
                  <c:v>-0.82435000000000003</c:v>
                </c:pt>
                <c:pt idx="887">
                  <c:v>-0.91842000000000001</c:v>
                </c:pt>
                <c:pt idx="888">
                  <c:v>-0.91842000000000001</c:v>
                </c:pt>
                <c:pt idx="889">
                  <c:v>-0.92412000000000005</c:v>
                </c:pt>
                <c:pt idx="890">
                  <c:v>-0.85918000000000005</c:v>
                </c:pt>
                <c:pt idx="891">
                  <c:v>-0.88024000000000002</c:v>
                </c:pt>
                <c:pt idx="892">
                  <c:v>-0.80208000000000002</c:v>
                </c:pt>
                <c:pt idx="893">
                  <c:v>-0.96660999999999997</c:v>
                </c:pt>
                <c:pt idx="894">
                  <c:v>-0.91012000000000004</c:v>
                </c:pt>
                <c:pt idx="895">
                  <c:v>-0.93569999999999998</c:v>
                </c:pt>
                <c:pt idx="896">
                  <c:v>-0.98153999999999997</c:v>
                </c:pt>
                <c:pt idx="897">
                  <c:v>-0.97328000000000003</c:v>
                </c:pt>
                <c:pt idx="898">
                  <c:v>-0.97328000000000003</c:v>
                </c:pt>
                <c:pt idx="899">
                  <c:v>-1.02216</c:v>
                </c:pt>
                <c:pt idx="900">
                  <c:v>-1.07744</c:v>
                </c:pt>
                <c:pt idx="901">
                  <c:v>-1.1513599999999999</c:v>
                </c:pt>
                <c:pt idx="902">
                  <c:v>-1.1081100000000002</c:v>
                </c:pt>
                <c:pt idx="903">
                  <c:v>-1.1081100000000002</c:v>
                </c:pt>
                <c:pt idx="904">
                  <c:v>-1.1268</c:v>
                </c:pt>
                <c:pt idx="905">
                  <c:v>-1.1341299999999999</c:v>
                </c:pt>
                <c:pt idx="906">
                  <c:v>-1.1948300000000001</c:v>
                </c:pt>
                <c:pt idx="907">
                  <c:v>-1.2091800000000001</c:v>
                </c:pt>
                <c:pt idx="908">
                  <c:v>-1.1701300000000001</c:v>
                </c:pt>
                <c:pt idx="909">
                  <c:v>-1.20207</c:v>
                </c:pt>
                <c:pt idx="910">
                  <c:v>-1.2150799999999999</c:v>
                </c:pt>
                <c:pt idx="911">
                  <c:v>-1.2074</c:v>
                </c:pt>
                <c:pt idx="912">
                  <c:v>-1.31036</c:v>
                </c:pt>
                <c:pt idx="913">
                  <c:v>-1.29521</c:v>
                </c:pt>
                <c:pt idx="914">
                  <c:v>-1.29521</c:v>
                </c:pt>
                <c:pt idx="915">
                  <c:v>-1.25126</c:v>
                </c:pt>
                <c:pt idx="916">
                  <c:v>-1.29779</c:v>
                </c:pt>
                <c:pt idx="917">
                  <c:v>-1.2455000000000001</c:v>
                </c:pt>
                <c:pt idx="918">
                  <c:v>-1.13368</c:v>
                </c:pt>
                <c:pt idx="919">
                  <c:v>-1.10789</c:v>
                </c:pt>
                <c:pt idx="920">
                  <c:v>-1.1224800000000001</c:v>
                </c:pt>
                <c:pt idx="921">
                  <c:v>-0.97479000000000005</c:v>
                </c:pt>
                <c:pt idx="922">
                  <c:v>-0.96479999999999999</c:v>
                </c:pt>
                <c:pt idx="923">
                  <c:v>-1.02014</c:v>
                </c:pt>
                <c:pt idx="924">
                  <c:v>-1.0413399999999999</c:v>
                </c:pt>
                <c:pt idx="925">
                  <c:v>-1.0895999999999999</c:v>
                </c:pt>
                <c:pt idx="926">
                  <c:v>-1.1533</c:v>
                </c:pt>
                <c:pt idx="927">
                  <c:v>-1.2066399999999999</c:v>
                </c:pt>
                <c:pt idx="928">
                  <c:v>-1.20777</c:v>
                </c:pt>
                <c:pt idx="929">
                  <c:v>-1.36006</c:v>
                </c:pt>
                <c:pt idx="930">
                  <c:v>-1.3781999999999999</c:v>
                </c:pt>
                <c:pt idx="931">
                  <c:v>-1.37554</c:v>
                </c:pt>
                <c:pt idx="932">
                  <c:v>-1.3505699999999998</c:v>
                </c:pt>
                <c:pt idx="933">
                  <c:v>-1.35822</c:v>
                </c:pt>
                <c:pt idx="934">
                  <c:v>-1.3528200000000001</c:v>
                </c:pt>
                <c:pt idx="935">
                  <c:v>-1.3403800000000001</c:v>
                </c:pt>
                <c:pt idx="936">
                  <c:v>-1.2543899999999999</c:v>
                </c:pt>
                <c:pt idx="937">
                  <c:v>-1.2972900000000001</c:v>
                </c:pt>
                <c:pt idx="938">
                  <c:v>-1.2162200000000001</c:v>
                </c:pt>
                <c:pt idx="939">
                  <c:v>-1.0848800000000001</c:v>
                </c:pt>
                <c:pt idx="940">
                  <c:v>-1.1223399999999999</c:v>
                </c:pt>
                <c:pt idx="941">
                  <c:v>-1.14971</c:v>
                </c:pt>
                <c:pt idx="942">
                  <c:v>-1.1738</c:v>
                </c:pt>
                <c:pt idx="943">
                  <c:v>-1.25163</c:v>
                </c:pt>
                <c:pt idx="944">
                  <c:v>-1.16797</c:v>
                </c:pt>
                <c:pt idx="945">
                  <c:v>-1.06589</c:v>
                </c:pt>
                <c:pt idx="946">
                  <c:v>-1.07786</c:v>
                </c:pt>
                <c:pt idx="947">
                  <c:v>-0.98065000000000002</c:v>
                </c:pt>
                <c:pt idx="948">
                  <c:v>-1.02193</c:v>
                </c:pt>
                <c:pt idx="949">
                  <c:v>-0.98572999999999988</c:v>
                </c:pt>
                <c:pt idx="950">
                  <c:v>-0.99831999999999999</c:v>
                </c:pt>
                <c:pt idx="951">
                  <c:v>-1.0762399999999999</c:v>
                </c:pt>
                <c:pt idx="952">
                  <c:v>-1.1122700000000001</c:v>
                </c:pt>
                <c:pt idx="953">
                  <c:v>-1.1198000000000001</c:v>
                </c:pt>
                <c:pt idx="954">
                  <c:v>-1.1567100000000001</c:v>
                </c:pt>
                <c:pt idx="955">
                  <c:v>-1.07423</c:v>
                </c:pt>
                <c:pt idx="956">
                  <c:v>-1.0593699999999999</c:v>
                </c:pt>
                <c:pt idx="957">
                  <c:v>-1.07806</c:v>
                </c:pt>
                <c:pt idx="958">
                  <c:v>-1.07806</c:v>
                </c:pt>
                <c:pt idx="959">
                  <c:v>-1.02501</c:v>
                </c:pt>
                <c:pt idx="960">
                  <c:v>-1.0598399999999999</c:v>
                </c:pt>
                <c:pt idx="961">
                  <c:v>-1.0766200000000001</c:v>
                </c:pt>
                <c:pt idx="962">
                  <c:v>-1.01993</c:v>
                </c:pt>
                <c:pt idx="963">
                  <c:v>-1.01993</c:v>
                </c:pt>
              </c:numCache>
            </c:numRef>
          </c:val>
          <c:smooth val="0"/>
          <c:extLst>
            <c:ext xmlns:c16="http://schemas.microsoft.com/office/drawing/2014/chart" uri="{C3380CC4-5D6E-409C-BE32-E72D297353CC}">
              <c16:uniqueId val="{00000008-EBC4-4222-8B88-73469225685A}"/>
            </c:ext>
          </c:extLst>
        </c:ser>
        <c:ser>
          <c:idx val="7"/>
          <c:order val="7"/>
          <c:tx>
            <c:strRef>
              <c:f>Sheet1!$I$1</c:f>
              <c:strCache>
                <c:ptCount val="1"/>
                <c:pt idx="0">
                  <c:v>Ուկրաինա ( 2028թ.), աջ առանցք</c:v>
                </c:pt>
              </c:strCache>
            </c:strRef>
          </c:tx>
          <c:spPr>
            <a:ln w="19050" cap="rnd">
              <a:solidFill>
                <a:schemeClr val="tx1"/>
              </a:solidFill>
              <a:round/>
            </a:ln>
            <a:effectLst/>
          </c:spPr>
          <c:marker>
            <c:symbol val="none"/>
          </c:marker>
          <c:cat>
            <c:numRef>
              <c:f>Sheet1!$A$2:$A$1226</c:f>
              <c:numCache>
                <c:formatCode>m\/d\/yyyy</c:formatCode>
                <c:ptCount val="964"/>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pt idx="708">
                  <c:v>44823</c:v>
                </c:pt>
                <c:pt idx="709">
                  <c:v>44824</c:v>
                </c:pt>
                <c:pt idx="710">
                  <c:v>44825</c:v>
                </c:pt>
                <c:pt idx="711">
                  <c:v>44826</c:v>
                </c:pt>
                <c:pt idx="712">
                  <c:v>44827</c:v>
                </c:pt>
                <c:pt idx="713">
                  <c:v>44830</c:v>
                </c:pt>
                <c:pt idx="714">
                  <c:v>44831</c:v>
                </c:pt>
                <c:pt idx="715">
                  <c:v>44832</c:v>
                </c:pt>
                <c:pt idx="716">
                  <c:v>44833</c:v>
                </c:pt>
                <c:pt idx="717">
                  <c:v>44834</c:v>
                </c:pt>
                <c:pt idx="718">
                  <c:v>44837</c:v>
                </c:pt>
                <c:pt idx="719">
                  <c:v>44838</c:v>
                </c:pt>
                <c:pt idx="720">
                  <c:v>44839</c:v>
                </c:pt>
                <c:pt idx="721">
                  <c:v>44840</c:v>
                </c:pt>
                <c:pt idx="722">
                  <c:v>44841</c:v>
                </c:pt>
                <c:pt idx="723">
                  <c:v>44844</c:v>
                </c:pt>
                <c:pt idx="724">
                  <c:v>44845</c:v>
                </c:pt>
                <c:pt idx="725">
                  <c:v>44846</c:v>
                </c:pt>
                <c:pt idx="726">
                  <c:v>44847</c:v>
                </c:pt>
                <c:pt idx="727">
                  <c:v>44848</c:v>
                </c:pt>
                <c:pt idx="728">
                  <c:v>44851</c:v>
                </c:pt>
                <c:pt idx="729">
                  <c:v>44852</c:v>
                </c:pt>
                <c:pt idx="730">
                  <c:v>44853</c:v>
                </c:pt>
                <c:pt idx="731">
                  <c:v>44854</c:v>
                </c:pt>
                <c:pt idx="732">
                  <c:v>44855</c:v>
                </c:pt>
                <c:pt idx="733">
                  <c:v>44858</c:v>
                </c:pt>
                <c:pt idx="734">
                  <c:v>44859</c:v>
                </c:pt>
                <c:pt idx="735">
                  <c:v>44860</c:v>
                </c:pt>
                <c:pt idx="736">
                  <c:v>44861</c:v>
                </c:pt>
                <c:pt idx="737">
                  <c:v>44862</c:v>
                </c:pt>
                <c:pt idx="738">
                  <c:v>44865</c:v>
                </c:pt>
                <c:pt idx="739">
                  <c:v>44866</c:v>
                </c:pt>
                <c:pt idx="740">
                  <c:v>44867</c:v>
                </c:pt>
                <c:pt idx="741">
                  <c:v>44868</c:v>
                </c:pt>
                <c:pt idx="742">
                  <c:v>44869</c:v>
                </c:pt>
                <c:pt idx="743">
                  <c:v>44872</c:v>
                </c:pt>
                <c:pt idx="744">
                  <c:v>44873</c:v>
                </c:pt>
                <c:pt idx="745">
                  <c:v>44874</c:v>
                </c:pt>
                <c:pt idx="746">
                  <c:v>44875</c:v>
                </c:pt>
                <c:pt idx="747">
                  <c:v>44876</c:v>
                </c:pt>
                <c:pt idx="748">
                  <c:v>44879</c:v>
                </c:pt>
                <c:pt idx="749">
                  <c:v>44880</c:v>
                </c:pt>
                <c:pt idx="750">
                  <c:v>44881</c:v>
                </c:pt>
                <c:pt idx="751">
                  <c:v>44882</c:v>
                </c:pt>
                <c:pt idx="752">
                  <c:v>44883</c:v>
                </c:pt>
                <c:pt idx="753">
                  <c:v>44886</c:v>
                </c:pt>
                <c:pt idx="754">
                  <c:v>44887</c:v>
                </c:pt>
                <c:pt idx="755">
                  <c:v>44888</c:v>
                </c:pt>
                <c:pt idx="756">
                  <c:v>44889</c:v>
                </c:pt>
                <c:pt idx="757">
                  <c:v>44890</c:v>
                </c:pt>
                <c:pt idx="758">
                  <c:v>44893</c:v>
                </c:pt>
                <c:pt idx="759">
                  <c:v>44894</c:v>
                </c:pt>
                <c:pt idx="760">
                  <c:v>44895</c:v>
                </c:pt>
                <c:pt idx="761">
                  <c:v>44896</c:v>
                </c:pt>
                <c:pt idx="762">
                  <c:v>44897</c:v>
                </c:pt>
                <c:pt idx="763">
                  <c:v>44900</c:v>
                </c:pt>
                <c:pt idx="764">
                  <c:v>44901</c:v>
                </c:pt>
                <c:pt idx="765">
                  <c:v>44902</c:v>
                </c:pt>
                <c:pt idx="766">
                  <c:v>44903</c:v>
                </c:pt>
                <c:pt idx="767">
                  <c:v>44904</c:v>
                </c:pt>
                <c:pt idx="768">
                  <c:v>44907</c:v>
                </c:pt>
                <c:pt idx="769">
                  <c:v>44908</c:v>
                </c:pt>
                <c:pt idx="770">
                  <c:v>44909</c:v>
                </c:pt>
                <c:pt idx="771">
                  <c:v>44910</c:v>
                </c:pt>
                <c:pt idx="772">
                  <c:v>44911</c:v>
                </c:pt>
                <c:pt idx="773">
                  <c:v>44914</c:v>
                </c:pt>
                <c:pt idx="774">
                  <c:v>44915</c:v>
                </c:pt>
                <c:pt idx="775">
                  <c:v>44916</c:v>
                </c:pt>
                <c:pt idx="776">
                  <c:v>44917</c:v>
                </c:pt>
                <c:pt idx="777">
                  <c:v>44918</c:v>
                </c:pt>
                <c:pt idx="778">
                  <c:v>44921</c:v>
                </c:pt>
                <c:pt idx="779">
                  <c:v>44922</c:v>
                </c:pt>
                <c:pt idx="780">
                  <c:v>44923</c:v>
                </c:pt>
                <c:pt idx="781">
                  <c:v>44924</c:v>
                </c:pt>
                <c:pt idx="782">
                  <c:v>44925</c:v>
                </c:pt>
                <c:pt idx="783">
                  <c:v>44928</c:v>
                </c:pt>
                <c:pt idx="784">
                  <c:v>44929</c:v>
                </c:pt>
                <c:pt idx="785">
                  <c:v>44930</c:v>
                </c:pt>
                <c:pt idx="786">
                  <c:v>44931</c:v>
                </c:pt>
                <c:pt idx="787">
                  <c:v>44932</c:v>
                </c:pt>
                <c:pt idx="788">
                  <c:v>44935</c:v>
                </c:pt>
                <c:pt idx="789">
                  <c:v>44936</c:v>
                </c:pt>
                <c:pt idx="790">
                  <c:v>44937</c:v>
                </c:pt>
                <c:pt idx="791">
                  <c:v>44938</c:v>
                </c:pt>
                <c:pt idx="792">
                  <c:v>44939</c:v>
                </c:pt>
                <c:pt idx="793">
                  <c:v>44942</c:v>
                </c:pt>
                <c:pt idx="794">
                  <c:v>44943</c:v>
                </c:pt>
                <c:pt idx="795">
                  <c:v>44944</c:v>
                </c:pt>
                <c:pt idx="796">
                  <c:v>44945</c:v>
                </c:pt>
                <c:pt idx="797">
                  <c:v>44946</c:v>
                </c:pt>
                <c:pt idx="798">
                  <c:v>44949</c:v>
                </c:pt>
                <c:pt idx="799">
                  <c:v>44950</c:v>
                </c:pt>
                <c:pt idx="800">
                  <c:v>44951</c:v>
                </c:pt>
                <c:pt idx="801">
                  <c:v>44952</c:v>
                </c:pt>
                <c:pt idx="802">
                  <c:v>44953</c:v>
                </c:pt>
                <c:pt idx="803">
                  <c:v>44956</c:v>
                </c:pt>
                <c:pt idx="804">
                  <c:v>44957</c:v>
                </c:pt>
                <c:pt idx="805">
                  <c:v>44958</c:v>
                </c:pt>
                <c:pt idx="806">
                  <c:v>44959</c:v>
                </c:pt>
                <c:pt idx="807">
                  <c:v>44960</c:v>
                </c:pt>
                <c:pt idx="808">
                  <c:v>44963</c:v>
                </c:pt>
                <c:pt idx="809">
                  <c:v>44964</c:v>
                </c:pt>
                <c:pt idx="810">
                  <c:v>44965</c:v>
                </c:pt>
                <c:pt idx="811">
                  <c:v>44966</c:v>
                </c:pt>
                <c:pt idx="812">
                  <c:v>44967</c:v>
                </c:pt>
                <c:pt idx="813">
                  <c:v>44970</c:v>
                </c:pt>
                <c:pt idx="814">
                  <c:v>44971</c:v>
                </c:pt>
                <c:pt idx="815">
                  <c:v>44972</c:v>
                </c:pt>
                <c:pt idx="816">
                  <c:v>44973</c:v>
                </c:pt>
                <c:pt idx="817">
                  <c:v>44974</c:v>
                </c:pt>
                <c:pt idx="818">
                  <c:v>44977</c:v>
                </c:pt>
                <c:pt idx="819">
                  <c:v>44978</c:v>
                </c:pt>
                <c:pt idx="820">
                  <c:v>44979</c:v>
                </c:pt>
                <c:pt idx="821">
                  <c:v>44980</c:v>
                </c:pt>
                <c:pt idx="822">
                  <c:v>44981</c:v>
                </c:pt>
                <c:pt idx="823">
                  <c:v>44984</c:v>
                </c:pt>
                <c:pt idx="824">
                  <c:v>44985</c:v>
                </c:pt>
                <c:pt idx="825">
                  <c:v>44986</c:v>
                </c:pt>
                <c:pt idx="826">
                  <c:v>44987</c:v>
                </c:pt>
                <c:pt idx="827">
                  <c:v>44988</c:v>
                </c:pt>
                <c:pt idx="828">
                  <c:v>44991</c:v>
                </c:pt>
                <c:pt idx="829">
                  <c:v>44992</c:v>
                </c:pt>
                <c:pt idx="830">
                  <c:v>44993</c:v>
                </c:pt>
                <c:pt idx="831">
                  <c:v>44994</c:v>
                </c:pt>
                <c:pt idx="832">
                  <c:v>44995</c:v>
                </c:pt>
                <c:pt idx="833">
                  <c:v>44998</c:v>
                </c:pt>
                <c:pt idx="834">
                  <c:v>44999</c:v>
                </c:pt>
                <c:pt idx="835">
                  <c:v>45000</c:v>
                </c:pt>
                <c:pt idx="836">
                  <c:v>45001</c:v>
                </c:pt>
                <c:pt idx="837">
                  <c:v>45002</c:v>
                </c:pt>
                <c:pt idx="838">
                  <c:v>45005</c:v>
                </c:pt>
                <c:pt idx="839">
                  <c:v>45006</c:v>
                </c:pt>
                <c:pt idx="840">
                  <c:v>45007</c:v>
                </c:pt>
                <c:pt idx="841">
                  <c:v>45008</c:v>
                </c:pt>
                <c:pt idx="842">
                  <c:v>45009</c:v>
                </c:pt>
                <c:pt idx="843">
                  <c:v>45012</c:v>
                </c:pt>
                <c:pt idx="844">
                  <c:v>45013</c:v>
                </c:pt>
                <c:pt idx="845">
                  <c:v>45014</c:v>
                </c:pt>
                <c:pt idx="846">
                  <c:v>45015</c:v>
                </c:pt>
                <c:pt idx="847">
                  <c:v>45016</c:v>
                </c:pt>
                <c:pt idx="848">
                  <c:v>45019</c:v>
                </c:pt>
                <c:pt idx="849">
                  <c:v>45020</c:v>
                </c:pt>
                <c:pt idx="850">
                  <c:v>45021</c:v>
                </c:pt>
                <c:pt idx="851">
                  <c:v>45022</c:v>
                </c:pt>
                <c:pt idx="852">
                  <c:v>45023</c:v>
                </c:pt>
                <c:pt idx="853">
                  <c:v>45026</c:v>
                </c:pt>
                <c:pt idx="854">
                  <c:v>45027</c:v>
                </c:pt>
                <c:pt idx="855">
                  <c:v>45028</c:v>
                </c:pt>
                <c:pt idx="856">
                  <c:v>45029</c:v>
                </c:pt>
                <c:pt idx="857">
                  <c:v>45030</c:v>
                </c:pt>
                <c:pt idx="858">
                  <c:v>45033</c:v>
                </c:pt>
                <c:pt idx="859">
                  <c:v>45034</c:v>
                </c:pt>
                <c:pt idx="860">
                  <c:v>45035</c:v>
                </c:pt>
                <c:pt idx="861">
                  <c:v>45036</c:v>
                </c:pt>
                <c:pt idx="862">
                  <c:v>45037</c:v>
                </c:pt>
                <c:pt idx="863">
                  <c:v>45040</c:v>
                </c:pt>
                <c:pt idx="864">
                  <c:v>45041</c:v>
                </c:pt>
                <c:pt idx="865">
                  <c:v>45042</c:v>
                </c:pt>
                <c:pt idx="866">
                  <c:v>45043</c:v>
                </c:pt>
                <c:pt idx="867">
                  <c:v>45044</c:v>
                </c:pt>
                <c:pt idx="868">
                  <c:v>45047</c:v>
                </c:pt>
                <c:pt idx="869">
                  <c:v>45048</c:v>
                </c:pt>
                <c:pt idx="870">
                  <c:v>45049</c:v>
                </c:pt>
                <c:pt idx="871">
                  <c:v>45050</c:v>
                </c:pt>
                <c:pt idx="872">
                  <c:v>45051</c:v>
                </c:pt>
                <c:pt idx="873">
                  <c:v>45054</c:v>
                </c:pt>
                <c:pt idx="874">
                  <c:v>45055</c:v>
                </c:pt>
                <c:pt idx="875">
                  <c:v>45056</c:v>
                </c:pt>
                <c:pt idx="876">
                  <c:v>45057</c:v>
                </c:pt>
                <c:pt idx="877">
                  <c:v>45058</c:v>
                </c:pt>
                <c:pt idx="878">
                  <c:v>45061</c:v>
                </c:pt>
                <c:pt idx="879">
                  <c:v>45062</c:v>
                </c:pt>
                <c:pt idx="880">
                  <c:v>45063</c:v>
                </c:pt>
                <c:pt idx="881">
                  <c:v>45064</c:v>
                </c:pt>
                <c:pt idx="882">
                  <c:v>45065</c:v>
                </c:pt>
                <c:pt idx="883">
                  <c:v>45068</c:v>
                </c:pt>
                <c:pt idx="884">
                  <c:v>45069</c:v>
                </c:pt>
                <c:pt idx="885">
                  <c:v>45070</c:v>
                </c:pt>
                <c:pt idx="886">
                  <c:v>45071</c:v>
                </c:pt>
                <c:pt idx="887">
                  <c:v>45072</c:v>
                </c:pt>
                <c:pt idx="888">
                  <c:v>45075</c:v>
                </c:pt>
                <c:pt idx="889">
                  <c:v>45076</c:v>
                </c:pt>
                <c:pt idx="890">
                  <c:v>45077</c:v>
                </c:pt>
                <c:pt idx="891">
                  <c:v>45078</c:v>
                </c:pt>
                <c:pt idx="892">
                  <c:v>45079</c:v>
                </c:pt>
                <c:pt idx="893">
                  <c:v>45082</c:v>
                </c:pt>
                <c:pt idx="894">
                  <c:v>45083</c:v>
                </c:pt>
                <c:pt idx="895">
                  <c:v>45084</c:v>
                </c:pt>
                <c:pt idx="896">
                  <c:v>45085</c:v>
                </c:pt>
                <c:pt idx="897">
                  <c:v>45086</c:v>
                </c:pt>
                <c:pt idx="898">
                  <c:v>45089</c:v>
                </c:pt>
                <c:pt idx="899">
                  <c:v>45090</c:v>
                </c:pt>
                <c:pt idx="900">
                  <c:v>45091</c:v>
                </c:pt>
                <c:pt idx="901">
                  <c:v>45092</c:v>
                </c:pt>
                <c:pt idx="902">
                  <c:v>45093</c:v>
                </c:pt>
                <c:pt idx="903">
                  <c:v>45096</c:v>
                </c:pt>
                <c:pt idx="904">
                  <c:v>45097</c:v>
                </c:pt>
                <c:pt idx="905">
                  <c:v>45098</c:v>
                </c:pt>
                <c:pt idx="906">
                  <c:v>45099</c:v>
                </c:pt>
                <c:pt idx="907">
                  <c:v>45100</c:v>
                </c:pt>
                <c:pt idx="908">
                  <c:v>45103</c:v>
                </c:pt>
                <c:pt idx="909">
                  <c:v>45104</c:v>
                </c:pt>
                <c:pt idx="910">
                  <c:v>45105</c:v>
                </c:pt>
                <c:pt idx="911">
                  <c:v>45106</c:v>
                </c:pt>
                <c:pt idx="912">
                  <c:v>45107</c:v>
                </c:pt>
                <c:pt idx="913">
                  <c:v>45110</c:v>
                </c:pt>
                <c:pt idx="914">
                  <c:v>45111</c:v>
                </c:pt>
                <c:pt idx="915">
                  <c:v>45112</c:v>
                </c:pt>
                <c:pt idx="916">
                  <c:v>45113</c:v>
                </c:pt>
                <c:pt idx="917">
                  <c:v>45114</c:v>
                </c:pt>
                <c:pt idx="918">
                  <c:v>45117</c:v>
                </c:pt>
                <c:pt idx="919">
                  <c:v>45118</c:v>
                </c:pt>
                <c:pt idx="920">
                  <c:v>45119</c:v>
                </c:pt>
                <c:pt idx="921">
                  <c:v>45120</c:v>
                </c:pt>
                <c:pt idx="922">
                  <c:v>45121</c:v>
                </c:pt>
                <c:pt idx="923">
                  <c:v>45124</c:v>
                </c:pt>
                <c:pt idx="924">
                  <c:v>45125</c:v>
                </c:pt>
                <c:pt idx="925">
                  <c:v>45126</c:v>
                </c:pt>
                <c:pt idx="926">
                  <c:v>45127</c:v>
                </c:pt>
                <c:pt idx="927">
                  <c:v>45128</c:v>
                </c:pt>
                <c:pt idx="928">
                  <c:v>45131</c:v>
                </c:pt>
                <c:pt idx="929">
                  <c:v>45132</c:v>
                </c:pt>
                <c:pt idx="930">
                  <c:v>45133</c:v>
                </c:pt>
                <c:pt idx="931">
                  <c:v>45134</c:v>
                </c:pt>
                <c:pt idx="932">
                  <c:v>45135</c:v>
                </c:pt>
                <c:pt idx="933">
                  <c:v>45138</c:v>
                </c:pt>
                <c:pt idx="934">
                  <c:v>45139</c:v>
                </c:pt>
                <c:pt idx="935">
                  <c:v>45140</c:v>
                </c:pt>
                <c:pt idx="936">
                  <c:v>45141</c:v>
                </c:pt>
                <c:pt idx="937">
                  <c:v>45142</c:v>
                </c:pt>
                <c:pt idx="938">
                  <c:v>45145</c:v>
                </c:pt>
                <c:pt idx="939">
                  <c:v>45146</c:v>
                </c:pt>
                <c:pt idx="940">
                  <c:v>45147</c:v>
                </c:pt>
                <c:pt idx="941">
                  <c:v>45148</c:v>
                </c:pt>
                <c:pt idx="942">
                  <c:v>45149</c:v>
                </c:pt>
                <c:pt idx="943">
                  <c:v>45152</c:v>
                </c:pt>
                <c:pt idx="944">
                  <c:v>45153</c:v>
                </c:pt>
                <c:pt idx="945">
                  <c:v>45154</c:v>
                </c:pt>
                <c:pt idx="946">
                  <c:v>45155</c:v>
                </c:pt>
                <c:pt idx="947">
                  <c:v>45156</c:v>
                </c:pt>
                <c:pt idx="948">
                  <c:v>45159</c:v>
                </c:pt>
                <c:pt idx="949">
                  <c:v>45160</c:v>
                </c:pt>
                <c:pt idx="950">
                  <c:v>45161</c:v>
                </c:pt>
                <c:pt idx="951">
                  <c:v>45162</c:v>
                </c:pt>
                <c:pt idx="952">
                  <c:v>45163</c:v>
                </c:pt>
                <c:pt idx="953">
                  <c:v>45166</c:v>
                </c:pt>
                <c:pt idx="954">
                  <c:v>45167</c:v>
                </c:pt>
                <c:pt idx="955">
                  <c:v>45168</c:v>
                </c:pt>
                <c:pt idx="956">
                  <c:v>45169</c:v>
                </c:pt>
                <c:pt idx="957">
                  <c:v>45170</c:v>
                </c:pt>
                <c:pt idx="958">
                  <c:v>45173</c:v>
                </c:pt>
                <c:pt idx="959">
                  <c:v>45174</c:v>
                </c:pt>
                <c:pt idx="960">
                  <c:v>45175</c:v>
                </c:pt>
                <c:pt idx="961">
                  <c:v>45176</c:v>
                </c:pt>
                <c:pt idx="962">
                  <c:v>45177</c:v>
                </c:pt>
                <c:pt idx="963">
                  <c:v>45180</c:v>
                </c:pt>
              </c:numCache>
            </c:numRef>
          </c:cat>
          <c:val>
            <c:numRef>
              <c:f>Sheet1!$I$2:$I$1226</c:f>
              <c:numCache>
                <c:formatCode>0</c:formatCode>
                <c:ptCount val="964"/>
                <c:pt idx="0">
                  <c:v>4.5502799999999999</c:v>
                </c:pt>
                <c:pt idx="1">
                  <c:v>4.3298500000000004</c:v>
                </c:pt>
                <c:pt idx="2">
                  <c:v>4.36686</c:v>
                </c:pt>
                <c:pt idx="3">
                  <c:v>4.3965699999999996</c:v>
                </c:pt>
                <c:pt idx="4">
                  <c:v>4.35372</c:v>
                </c:pt>
                <c:pt idx="5">
                  <c:v>4.2633700000000001</c:v>
                </c:pt>
                <c:pt idx="6">
                  <c:v>4.2937400000000006</c:v>
                </c:pt>
                <c:pt idx="7">
                  <c:v>4.3018400000000003</c:v>
                </c:pt>
                <c:pt idx="8">
                  <c:v>4.2093099999999994</c:v>
                </c:pt>
                <c:pt idx="9">
                  <c:v>4.2138600000000004</c:v>
                </c:pt>
                <c:pt idx="10">
                  <c:v>4.1339299999999994</c:v>
                </c:pt>
                <c:pt idx="11">
                  <c:v>4.0329300000000003</c:v>
                </c:pt>
                <c:pt idx="12">
                  <c:v>3.99397</c:v>
                </c:pt>
                <c:pt idx="13">
                  <c:v>4.0063300000000002</c:v>
                </c:pt>
                <c:pt idx="14">
                  <c:v>4.08725</c:v>
                </c:pt>
                <c:pt idx="15">
                  <c:v>4.0400999999999998</c:v>
                </c:pt>
                <c:pt idx="16">
                  <c:v>4.2541799999999999</c:v>
                </c:pt>
                <c:pt idx="17">
                  <c:v>4.3243400000000003</c:v>
                </c:pt>
                <c:pt idx="18">
                  <c:v>4.5457100000000006</c:v>
                </c:pt>
                <c:pt idx="19">
                  <c:v>4.4277800000000003</c:v>
                </c:pt>
                <c:pt idx="20">
                  <c:v>4.4198899999999997</c:v>
                </c:pt>
                <c:pt idx="21">
                  <c:v>4.5621200000000002</c:v>
                </c:pt>
                <c:pt idx="22">
                  <c:v>4.5404099999999996</c:v>
                </c:pt>
                <c:pt idx="23">
                  <c:v>4.5534300000000005</c:v>
                </c:pt>
                <c:pt idx="24">
                  <c:v>4.3948599999999995</c:v>
                </c:pt>
                <c:pt idx="25">
                  <c:v>4.2607699999999999</c:v>
                </c:pt>
                <c:pt idx="26">
                  <c:v>4.2204600000000001</c:v>
                </c:pt>
                <c:pt idx="27">
                  <c:v>4.36585</c:v>
                </c:pt>
                <c:pt idx="28">
                  <c:v>4.4592099999999997</c:v>
                </c:pt>
                <c:pt idx="29">
                  <c:v>4.3131700000000004</c:v>
                </c:pt>
                <c:pt idx="30">
                  <c:v>4.1807999999999996</c:v>
                </c:pt>
                <c:pt idx="31">
                  <c:v>4.1249400000000005</c:v>
                </c:pt>
                <c:pt idx="32">
                  <c:v>4.0774699999999999</c:v>
                </c:pt>
                <c:pt idx="33">
                  <c:v>4.05098</c:v>
                </c:pt>
                <c:pt idx="34">
                  <c:v>4.1557899999999997</c:v>
                </c:pt>
                <c:pt idx="35">
                  <c:v>4.0866500000000006</c:v>
                </c:pt>
                <c:pt idx="36">
                  <c:v>4.1385700000000005</c:v>
                </c:pt>
                <c:pt idx="37">
                  <c:v>4.2618499999999999</c:v>
                </c:pt>
                <c:pt idx="38">
                  <c:v>4.5764899999999997</c:v>
                </c:pt>
                <c:pt idx="39">
                  <c:v>4.7718699999999998</c:v>
                </c:pt>
                <c:pt idx="40">
                  <c:v>4.9335800000000001</c:v>
                </c:pt>
                <c:pt idx="41">
                  <c:v>5.0772699999999995</c:v>
                </c:pt>
                <c:pt idx="42">
                  <c:v>5.4301700000000004</c:v>
                </c:pt>
                <c:pt idx="43">
                  <c:v>5.3598699999999999</c:v>
                </c:pt>
                <c:pt idx="44">
                  <c:v>5.2648599999999997</c:v>
                </c:pt>
                <c:pt idx="45">
                  <c:v>5.4661800000000005</c:v>
                </c:pt>
                <c:pt idx="46">
                  <c:v>6.0684000000000005</c:v>
                </c:pt>
                <c:pt idx="47">
                  <c:v>6.7384299999999993</c:v>
                </c:pt>
                <c:pt idx="48">
                  <c:v>8.0293499999999991</c:v>
                </c:pt>
                <c:pt idx="49">
                  <c:v>7.9493100000000005</c:v>
                </c:pt>
                <c:pt idx="50">
                  <c:v>8.5867199999999997</c:v>
                </c:pt>
                <c:pt idx="51">
                  <c:v>10.404760000000001</c:v>
                </c:pt>
                <c:pt idx="52">
                  <c:v>9.4950700000000001</c:v>
                </c:pt>
                <c:pt idx="53">
                  <c:v>10.7295</c:v>
                </c:pt>
                <c:pt idx="54">
                  <c:v>10.836590000000001</c:v>
                </c:pt>
                <c:pt idx="55">
                  <c:v>12.754539999999999</c:v>
                </c:pt>
                <c:pt idx="56">
                  <c:v>12.706389999999999</c:v>
                </c:pt>
                <c:pt idx="57">
                  <c:v>12.062760000000001</c:v>
                </c:pt>
                <c:pt idx="58">
                  <c:v>12.66938</c:v>
                </c:pt>
                <c:pt idx="59">
                  <c:v>11.744069999999999</c:v>
                </c:pt>
                <c:pt idx="60">
                  <c:v>10.22513</c:v>
                </c:pt>
                <c:pt idx="61">
                  <c:v>9.87561</c:v>
                </c:pt>
                <c:pt idx="62">
                  <c:v>10.20589</c:v>
                </c:pt>
                <c:pt idx="63">
                  <c:v>10.423689999999999</c:v>
                </c:pt>
                <c:pt idx="64">
                  <c:v>9.5166699999999995</c:v>
                </c:pt>
                <c:pt idx="65">
                  <c:v>9.7320100000000007</c:v>
                </c:pt>
                <c:pt idx="66">
                  <c:v>9.7783700000000007</c:v>
                </c:pt>
                <c:pt idx="67">
                  <c:v>9.8055400000000006</c:v>
                </c:pt>
                <c:pt idx="68">
                  <c:v>9.6772799999999997</c:v>
                </c:pt>
                <c:pt idx="69">
                  <c:v>9.2703399999999991</c:v>
                </c:pt>
                <c:pt idx="70">
                  <c:v>9.4197500000000005</c:v>
                </c:pt>
                <c:pt idx="71">
                  <c:v>9.0811500000000009</c:v>
                </c:pt>
                <c:pt idx="72">
                  <c:v>9.0811500000000009</c:v>
                </c:pt>
                <c:pt idx="73">
                  <c:v>9.0811500000000009</c:v>
                </c:pt>
                <c:pt idx="74">
                  <c:v>8.8508800000000001</c:v>
                </c:pt>
                <c:pt idx="75">
                  <c:v>9.0489700000000006</c:v>
                </c:pt>
                <c:pt idx="76">
                  <c:v>9.1691599999999998</c:v>
                </c:pt>
                <c:pt idx="77">
                  <c:v>9.3140900000000002</c:v>
                </c:pt>
                <c:pt idx="78">
                  <c:v>9.4459999999999997</c:v>
                </c:pt>
                <c:pt idx="79">
                  <c:v>9.8507400000000001</c:v>
                </c:pt>
                <c:pt idx="80">
                  <c:v>9.8596400000000006</c:v>
                </c:pt>
                <c:pt idx="81">
                  <c:v>9.62941</c:v>
                </c:pt>
                <c:pt idx="82">
                  <c:v>9.5291800000000002</c:v>
                </c:pt>
                <c:pt idx="83">
                  <c:v>9.5285200000000003</c:v>
                </c:pt>
                <c:pt idx="84">
                  <c:v>9.6461600000000001</c:v>
                </c:pt>
                <c:pt idx="85">
                  <c:v>9.68126</c:v>
                </c:pt>
                <c:pt idx="86">
                  <c:v>9.4503599999999999</c:v>
                </c:pt>
                <c:pt idx="87">
                  <c:v>9.1956199999999999</c:v>
                </c:pt>
                <c:pt idx="88">
                  <c:v>9.1411899999999999</c:v>
                </c:pt>
                <c:pt idx="89">
                  <c:v>8.735199999999999</c:v>
                </c:pt>
                <c:pt idx="90">
                  <c:v>8.5673499999999994</c:v>
                </c:pt>
                <c:pt idx="91">
                  <c:v>8.4169400000000003</c:v>
                </c:pt>
                <c:pt idx="92">
                  <c:v>8.4169400000000003</c:v>
                </c:pt>
                <c:pt idx="93">
                  <c:v>8.17699</c:v>
                </c:pt>
                <c:pt idx="94">
                  <c:v>7.9349300000000005</c:v>
                </c:pt>
                <c:pt idx="95">
                  <c:v>7.9462099999999998</c:v>
                </c:pt>
                <c:pt idx="96">
                  <c:v>8.2037499999999994</c:v>
                </c:pt>
                <c:pt idx="97">
                  <c:v>7.9150099999999997</c:v>
                </c:pt>
                <c:pt idx="98">
                  <c:v>7.7326199999999998</c:v>
                </c:pt>
                <c:pt idx="99">
                  <c:v>7.8914499999999999</c:v>
                </c:pt>
                <c:pt idx="100">
                  <c:v>7.6567699999999999</c:v>
                </c:pt>
                <c:pt idx="101">
                  <c:v>7.57376</c:v>
                </c:pt>
                <c:pt idx="102">
                  <c:v>7.7311100000000001</c:v>
                </c:pt>
                <c:pt idx="103">
                  <c:v>7.7311100000000001</c:v>
                </c:pt>
                <c:pt idx="104">
                  <c:v>7.6417100000000007</c:v>
                </c:pt>
                <c:pt idx="105">
                  <c:v>7.8056299999999998</c:v>
                </c:pt>
                <c:pt idx="106">
                  <c:v>7.7447900000000001</c:v>
                </c:pt>
                <c:pt idx="107">
                  <c:v>7.8428800000000001</c:v>
                </c:pt>
                <c:pt idx="108">
                  <c:v>7.7070500000000006</c:v>
                </c:pt>
                <c:pt idx="109">
                  <c:v>7.4529100000000001</c:v>
                </c:pt>
                <c:pt idx="110">
                  <c:v>6.9126300000000001</c:v>
                </c:pt>
                <c:pt idx="111">
                  <c:v>6.6830100000000003</c:v>
                </c:pt>
                <c:pt idx="112">
                  <c:v>6.0000900000000001</c:v>
                </c:pt>
                <c:pt idx="113">
                  <c:v>5.9651700000000005</c:v>
                </c:pt>
                <c:pt idx="114">
                  <c:v>6.2222200000000001</c:v>
                </c:pt>
                <c:pt idx="115">
                  <c:v>6.2626700000000008</c:v>
                </c:pt>
                <c:pt idx="116">
                  <c:v>6.63903</c:v>
                </c:pt>
                <c:pt idx="117">
                  <c:v>6.5971000000000002</c:v>
                </c:pt>
                <c:pt idx="118">
                  <c:v>6.7383600000000001</c:v>
                </c:pt>
                <c:pt idx="119">
                  <c:v>6.2791999999999994</c:v>
                </c:pt>
                <c:pt idx="120">
                  <c:v>6.3406100000000007</c:v>
                </c:pt>
                <c:pt idx="121">
                  <c:v>6.4646699999999999</c:v>
                </c:pt>
                <c:pt idx="122">
                  <c:v>6.4801800000000007</c:v>
                </c:pt>
                <c:pt idx="123">
                  <c:v>6.56576</c:v>
                </c:pt>
                <c:pt idx="124">
                  <c:v>6.5430399999999995</c:v>
                </c:pt>
                <c:pt idx="125">
                  <c:v>6.6873900000000006</c:v>
                </c:pt>
                <c:pt idx="126">
                  <c:v>6.8213800000000004</c:v>
                </c:pt>
                <c:pt idx="127">
                  <c:v>6.8847400000000007</c:v>
                </c:pt>
                <c:pt idx="128">
                  <c:v>6.9085999999999999</c:v>
                </c:pt>
                <c:pt idx="129">
                  <c:v>6.7363900000000001</c:v>
                </c:pt>
                <c:pt idx="130">
                  <c:v>6.3661800000000008</c:v>
                </c:pt>
                <c:pt idx="131">
                  <c:v>6.5382699999999998</c:v>
                </c:pt>
                <c:pt idx="132">
                  <c:v>6.5328999999999997</c:v>
                </c:pt>
                <c:pt idx="133">
                  <c:v>6.5361500000000001</c:v>
                </c:pt>
                <c:pt idx="134">
                  <c:v>6.7366799999999998</c:v>
                </c:pt>
                <c:pt idx="135">
                  <c:v>6.8638900000000005</c:v>
                </c:pt>
                <c:pt idx="136">
                  <c:v>7.0306100000000002</c:v>
                </c:pt>
                <c:pt idx="137">
                  <c:v>7.32761</c:v>
                </c:pt>
                <c:pt idx="138">
                  <c:v>7.3179699999999999</c:v>
                </c:pt>
                <c:pt idx="139">
                  <c:v>7.5225599999999995</c:v>
                </c:pt>
                <c:pt idx="140">
                  <c:v>7.0674599999999996</c:v>
                </c:pt>
                <c:pt idx="141">
                  <c:v>6.9580399999999996</c:v>
                </c:pt>
                <c:pt idx="142">
                  <c:v>6.9289099999999992</c:v>
                </c:pt>
                <c:pt idx="143">
                  <c:v>6.9025400000000001</c:v>
                </c:pt>
                <c:pt idx="144">
                  <c:v>6.7012599999999996</c:v>
                </c:pt>
                <c:pt idx="145">
                  <c:v>6.7029800000000002</c:v>
                </c:pt>
                <c:pt idx="146">
                  <c:v>6.7028300000000005</c:v>
                </c:pt>
                <c:pt idx="147">
                  <c:v>6.7490499999999995</c:v>
                </c:pt>
                <c:pt idx="148">
                  <c:v>6.6787800000000006</c:v>
                </c:pt>
                <c:pt idx="149">
                  <c:v>6.82165</c:v>
                </c:pt>
                <c:pt idx="150">
                  <c:v>6.8565300000000002</c:v>
                </c:pt>
                <c:pt idx="151">
                  <c:v>7.1220399999999993</c:v>
                </c:pt>
                <c:pt idx="152">
                  <c:v>7.21225</c:v>
                </c:pt>
                <c:pt idx="153">
                  <c:v>7.2427700000000002</c:v>
                </c:pt>
                <c:pt idx="154">
                  <c:v>7.2057899999999995</c:v>
                </c:pt>
                <c:pt idx="155">
                  <c:v>7.0636699999999992</c:v>
                </c:pt>
                <c:pt idx="156">
                  <c:v>7.1443499999999993</c:v>
                </c:pt>
                <c:pt idx="157">
                  <c:v>7.3208000000000002</c:v>
                </c:pt>
                <c:pt idx="158">
                  <c:v>7.3182299999999998</c:v>
                </c:pt>
                <c:pt idx="159">
                  <c:v>7.1021999999999998</c:v>
                </c:pt>
                <c:pt idx="160">
                  <c:v>7.0315499999999993</c:v>
                </c:pt>
                <c:pt idx="161">
                  <c:v>6.98285</c:v>
                </c:pt>
                <c:pt idx="162">
                  <c:v>6.9796799999999992</c:v>
                </c:pt>
                <c:pt idx="163">
                  <c:v>6.89072</c:v>
                </c:pt>
                <c:pt idx="164">
                  <c:v>6.9041700000000006</c:v>
                </c:pt>
                <c:pt idx="165">
                  <c:v>6.7885200000000001</c:v>
                </c:pt>
                <c:pt idx="166">
                  <c:v>6.8382800000000001</c:v>
                </c:pt>
                <c:pt idx="167">
                  <c:v>6.7895199999999996</c:v>
                </c:pt>
                <c:pt idx="168">
                  <c:v>6.7154499999999997</c:v>
                </c:pt>
                <c:pt idx="169">
                  <c:v>6.7060799999999992</c:v>
                </c:pt>
                <c:pt idx="170">
                  <c:v>6.7392999999999992</c:v>
                </c:pt>
                <c:pt idx="171">
                  <c:v>6.6568199999999997</c:v>
                </c:pt>
                <c:pt idx="172">
                  <c:v>6.5918299999999999</c:v>
                </c:pt>
                <c:pt idx="173">
                  <c:v>6.5918299999999999</c:v>
                </c:pt>
                <c:pt idx="174">
                  <c:v>6.4543499999999998</c:v>
                </c:pt>
                <c:pt idx="175">
                  <c:v>6.398579999999999</c:v>
                </c:pt>
                <c:pt idx="176">
                  <c:v>6.5636300000000007</c:v>
                </c:pt>
                <c:pt idx="177">
                  <c:v>6.5087199999999994</c:v>
                </c:pt>
                <c:pt idx="178">
                  <c:v>6.4929999999999994</c:v>
                </c:pt>
                <c:pt idx="179">
                  <c:v>6.6417899999999994</c:v>
                </c:pt>
                <c:pt idx="180">
                  <c:v>6.6450300000000002</c:v>
                </c:pt>
                <c:pt idx="181">
                  <c:v>6.6606199999999998</c:v>
                </c:pt>
                <c:pt idx="182">
                  <c:v>6.6971299999999996</c:v>
                </c:pt>
                <c:pt idx="183">
                  <c:v>6.7458200000000001</c:v>
                </c:pt>
                <c:pt idx="184">
                  <c:v>6.6357200000000001</c:v>
                </c:pt>
                <c:pt idx="185">
                  <c:v>6.6047500000000001</c:v>
                </c:pt>
                <c:pt idx="186">
                  <c:v>6.6885299999999992</c:v>
                </c:pt>
                <c:pt idx="187">
                  <c:v>6.7089999999999996</c:v>
                </c:pt>
                <c:pt idx="188">
                  <c:v>7.0825899999999997</c:v>
                </c:pt>
                <c:pt idx="189">
                  <c:v>7.1244399999999999</c:v>
                </c:pt>
                <c:pt idx="190">
                  <c:v>7.2120199999999999</c:v>
                </c:pt>
                <c:pt idx="191">
                  <c:v>7.4410799999999995</c:v>
                </c:pt>
                <c:pt idx="192">
                  <c:v>7.4260000000000002</c:v>
                </c:pt>
                <c:pt idx="193">
                  <c:v>7.3978299999999999</c:v>
                </c:pt>
                <c:pt idx="194">
                  <c:v>7.5713300000000006</c:v>
                </c:pt>
                <c:pt idx="195">
                  <c:v>7.5646699999999996</c:v>
                </c:pt>
                <c:pt idx="196">
                  <c:v>7.49099</c:v>
                </c:pt>
                <c:pt idx="197">
                  <c:v>7.5048000000000004</c:v>
                </c:pt>
                <c:pt idx="198">
                  <c:v>7.3184400000000007</c:v>
                </c:pt>
                <c:pt idx="199">
                  <c:v>7.3952999999999998</c:v>
                </c:pt>
                <c:pt idx="200">
                  <c:v>7.3015400000000001</c:v>
                </c:pt>
                <c:pt idx="201">
                  <c:v>7.1942600000000008</c:v>
                </c:pt>
                <c:pt idx="202">
                  <c:v>6.9578899999999999</c:v>
                </c:pt>
                <c:pt idx="203">
                  <c:v>6.9222900000000003</c:v>
                </c:pt>
                <c:pt idx="204">
                  <c:v>7.0988499999999997</c:v>
                </c:pt>
                <c:pt idx="205">
                  <c:v>7.3055999999999992</c:v>
                </c:pt>
                <c:pt idx="206">
                  <c:v>7.4901900000000001</c:v>
                </c:pt>
                <c:pt idx="207">
                  <c:v>7.4352900000000002</c:v>
                </c:pt>
                <c:pt idx="208">
                  <c:v>7.4088599999999998</c:v>
                </c:pt>
                <c:pt idx="209">
                  <c:v>7.5172699999999999</c:v>
                </c:pt>
                <c:pt idx="210">
                  <c:v>7.5897100000000002</c:v>
                </c:pt>
                <c:pt idx="211">
                  <c:v>7.6211800000000007</c:v>
                </c:pt>
                <c:pt idx="212">
                  <c:v>7.5794000000000006</c:v>
                </c:pt>
                <c:pt idx="213">
                  <c:v>7.7000400000000004</c:v>
                </c:pt>
                <c:pt idx="214">
                  <c:v>7.4999599999999997</c:v>
                </c:pt>
                <c:pt idx="215">
                  <c:v>7.5320299999999998</c:v>
                </c:pt>
                <c:pt idx="216">
                  <c:v>7.3383799999999999</c:v>
                </c:pt>
                <c:pt idx="217">
                  <c:v>7.2345699999999997</c:v>
                </c:pt>
                <c:pt idx="218">
                  <c:v>7.1828899999999996</c:v>
                </c:pt>
                <c:pt idx="219">
                  <c:v>6.9061699999999995</c:v>
                </c:pt>
                <c:pt idx="220">
                  <c:v>6.8069199999999999</c:v>
                </c:pt>
                <c:pt idx="221">
                  <c:v>6.5543100000000001</c:v>
                </c:pt>
                <c:pt idx="222">
                  <c:v>6.5849900000000003</c:v>
                </c:pt>
                <c:pt idx="223">
                  <c:v>6.1655199999999999</c:v>
                </c:pt>
                <c:pt idx="224">
                  <c:v>6.2217700000000002</c:v>
                </c:pt>
                <c:pt idx="225">
                  <c:v>6.1240399999999999</c:v>
                </c:pt>
                <c:pt idx="226">
                  <c:v>6.2265499999999996</c:v>
                </c:pt>
                <c:pt idx="227">
                  <c:v>6.2046700000000001</c:v>
                </c:pt>
                <c:pt idx="228">
                  <c:v>6.0310299999999994</c:v>
                </c:pt>
                <c:pt idx="229">
                  <c:v>6.0936900000000005</c:v>
                </c:pt>
                <c:pt idx="230">
                  <c:v>6.0820299999999996</c:v>
                </c:pt>
                <c:pt idx="231">
                  <c:v>6.1165899999999995</c:v>
                </c:pt>
                <c:pt idx="232">
                  <c:v>6.0956299999999999</c:v>
                </c:pt>
                <c:pt idx="233">
                  <c:v>5.8959099999999998</c:v>
                </c:pt>
                <c:pt idx="234">
                  <c:v>5.6727300000000005</c:v>
                </c:pt>
                <c:pt idx="235">
                  <c:v>5.7056899999999997</c:v>
                </c:pt>
                <c:pt idx="236">
                  <c:v>5.7309099999999997</c:v>
                </c:pt>
                <c:pt idx="237">
                  <c:v>5.7476700000000003</c:v>
                </c:pt>
                <c:pt idx="238">
                  <c:v>5.7307500000000005</c:v>
                </c:pt>
                <c:pt idx="239">
                  <c:v>5.4735199999999997</c:v>
                </c:pt>
                <c:pt idx="240">
                  <c:v>5.3753200000000003</c:v>
                </c:pt>
                <c:pt idx="241">
                  <c:v>5.3483399999999994</c:v>
                </c:pt>
                <c:pt idx="242">
                  <c:v>5.1366600000000009</c:v>
                </c:pt>
                <c:pt idx="243">
                  <c:v>5.1907899999999998</c:v>
                </c:pt>
                <c:pt idx="244">
                  <c:v>5.2047400000000001</c:v>
                </c:pt>
                <c:pt idx="245">
                  <c:v>5.1450300000000002</c:v>
                </c:pt>
                <c:pt idx="246">
                  <c:v>5.1702700000000004</c:v>
                </c:pt>
                <c:pt idx="247">
                  <c:v>5.1748800000000008</c:v>
                </c:pt>
                <c:pt idx="248">
                  <c:v>5.0122200000000001</c:v>
                </c:pt>
                <c:pt idx="249">
                  <c:v>4.9326100000000004</c:v>
                </c:pt>
                <c:pt idx="250">
                  <c:v>4.9120900000000001</c:v>
                </c:pt>
                <c:pt idx="251">
                  <c:v>4.9401299999999999</c:v>
                </c:pt>
                <c:pt idx="252">
                  <c:v>4.99</c:v>
                </c:pt>
                <c:pt idx="253">
                  <c:v>5.1223800000000006</c:v>
                </c:pt>
                <c:pt idx="254">
                  <c:v>5.1268700000000003</c:v>
                </c:pt>
                <c:pt idx="255">
                  <c:v>5.0925799999999999</c:v>
                </c:pt>
                <c:pt idx="256">
                  <c:v>5.07925</c:v>
                </c:pt>
                <c:pt idx="257">
                  <c:v>5.07925</c:v>
                </c:pt>
                <c:pt idx="258">
                  <c:v>5.07925</c:v>
                </c:pt>
                <c:pt idx="259">
                  <c:v>5.0819799999999997</c:v>
                </c:pt>
                <c:pt idx="260">
                  <c:v>5.0537799999999997</c:v>
                </c:pt>
                <c:pt idx="261">
                  <c:v>5.0590099999999998</c:v>
                </c:pt>
                <c:pt idx="262">
                  <c:v>5.0590099999999998</c:v>
                </c:pt>
                <c:pt idx="263">
                  <c:v>4.9801900000000003</c:v>
                </c:pt>
                <c:pt idx="264">
                  <c:v>4.9738899999999999</c:v>
                </c:pt>
                <c:pt idx="265">
                  <c:v>4.9231199999999999</c:v>
                </c:pt>
                <c:pt idx="266">
                  <c:v>4.8728100000000003</c:v>
                </c:pt>
                <c:pt idx="267">
                  <c:v>4.8415800000000004</c:v>
                </c:pt>
                <c:pt idx="268">
                  <c:v>4.8886200000000004</c:v>
                </c:pt>
                <c:pt idx="269">
                  <c:v>5.0812999999999997</c:v>
                </c:pt>
                <c:pt idx="270">
                  <c:v>5.0308600000000006</c:v>
                </c:pt>
                <c:pt idx="271">
                  <c:v>4.9522500000000003</c:v>
                </c:pt>
                <c:pt idx="272">
                  <c:v>5.0664999999999996</c:v>
                </c:pt>
                <c:pt idx="273">
                  <c:v>5.1124700000000001</c:v>
                </c:pt>
                <c:pt idx="274">
                  <c:v>5.1196200000000003</c:v>
                </c:pt>
                <c:pt idx="275">
                  <c:v>5.0952099999999998</c:v>
                </c:pt>
                <c:pt idx="276">
                  <c:v>4.9213899999999997</c:v>
                </c:pt>
                <c:pt idx="277">
                  <c:v>4.9969600000000005</c:v>
                </c:pt>
                <c:pt idx="278">
                  <c:v>5.0200100000000001</c:v>
                </c:pt>
                <c:pt idx="279">
                  <c:v>5.0190999999999999</c:v>
                </c:pt>
                <c:pt idx="280">
                  <c:v>5.1288</c:v>
                </c:pt>
                <c:pt idx="281">
                  <c:v>5.1455700000000002</c:v>
                </c:pt>
                <c:pt idx="282">
                  <c:v>5.1099100000000002</c:v>
                </c:pt>
                <c:pt idx="283">
                  <c:v>5.1038899999999998</c:v>
                </c:pt>
                <c:pt idx="284">
                  <c:v>4.9963499999999996</c:v>
                </c:pt>
                <c:pt idx="285">
                  <c:v>4.9012799999999999</c:v>
                </c:pt>
                <c:pt idx="286">
                  <c:v>4.7372300000000003</c:v>
                </c:pt>
                <c:pt idx="287">
                  <c:v>4.5703699999999996</c:v>
                </c:pt>
                <c:pt idx="288">
                  <c:v>4.5936200000000005</c:v>
                </c:pt>
                <c:pt idx="289">
                  <c:v>4.6673099999999996</c:v>
                </c:pt>
                <c:pt idx="290">
                  <c:v>4.80708</c:v>
                </c:pt>
                <c:pt idx="291">
                  <c:v>4.7330800000000002</c:v>
                </c:pt>
                <c:pt idx="292">
                  <c:v>4.6970400000000003</c:v>
                </c:pt>
                <c:pt idx="293">
                  <c:v>4.7694799999999997</c:v>
                </c:pt>
                <c:pt idx="294">
                  <c:v>4.8007299999999997</c:v>
                </c:pt>
                <c:pt idx="295">
                  <c:v>4.8910799999999997</c:v>
                </c:pt>
                <c:pt idx="296">
                  <c:v>4.8676500000000003</c:v>
                </c:pt>
                <c:pt idx="297">
                  <c:v>4.8200599999999998</c:v>
                </c:pt>
                <c:pt idx="298">
                  <c:v>5.0470800000000002</c:v>
                </c:pt>
                <c:pt idx="299">
                  <c:v>5.0739800000000006</c:v>
                </c:pt>
                <c:pt idx="300">
                  <c:v>4.9667599999999998</c:v>
                </c:pt>
                <c:pt idx="301">
                  <c:v>4.9741499999999998</c:v>
                </c:pt>
                <c:pt idx="302">
                  <c:v>5.18466</c:v>
                </c:pt>
                <c:pt idx="303">
                  <c:v>5.0719400000000006</c:v>
                </c:pt>
                <c:pt idx="304">
                  <c:v>5.1033200000000001</c:v>
                </c:pt>
                <c:pt idx="305">
                  <c:v>5.1111000000000004</c:v>
                </c:pt>
                <c:pt idx="306">
                  <c:v>5.1988099999999999</c:v>
                </c:pt>
                <c:pt idx="307">
                  <c:v>5.3865400000000001</c:v>
                </c:pt>
                <c:pt idx="308">
                  <c:v>5.5457600000000005</c:v>
                </c:pt>
                <c:pt idx="309">
                  <c:v>5.4950400000000004</c:v>
                </c:pt>
                <c:pt idx="310">
                  <c:v>5.37744</c:v>
                </c:pt>
                <c:pt idx="311">
                  <c:v>5.0605099999999998</c:v>
                </c:pt>
                <c:pt idx="312">
                  <c:v>5.0911599999999995</c:v>
                </c:pt>
                <c:pt idx="313">
                  <c:v>5.0197099999999999</c:v>
                </c:pt>
                <c:pt idx="314">
                  <c:v>4.8956299999999997</c:v>
                </c:pt>
                <c:pt idx="315">
                  <c:v>4.9677999999999995</c:v>
                </c:pt>
                <c:pt idx="316">
                  <c:v>4.9155300000000004</c:v>
                </c:pt>
                <c:pt idx="317">
                  <c:v>4.9598000000000004</c:v>
                </c:pt>
                <c:pt idx="318">
                  <c:v>4.9881900000000003</c:v>
                </c:pt>
                <c:pt idx="319">
                  <c:v>5.02989</c:v>
                </c:pt>
                <c:pt idx="320">
                  <c:v>5.0529599999999997</c:v>
                </c:pt>
                <c:pt idx="321">
                  <c:v>5.0743499999999999</c:v>
                </c:pt>
                <c:pt idx="322">
                  <c:v>5.0417300000000003</c:v>
                </c:pt>
                <c:pt idx="323">
                  <c:v>5.0011399999999995</c:v>
                </c:pt>
                <c:pt idx="324">
                  <c:v>5.15747</c:v>
                </c:pt>
                <c:pt idx="325">
                  <c:v>5.1428899999999995</c:v>
                </c:pt>
                <c:pt idx="326">
                  <c:v>5.3659500000000007</c:v>
                </c:pt>
                <c:pt idx="327">
                  <c:v>5.3659500000000007</c:v>
                </c:pt>
                <c:pt idx="328">
                  <c:v>5.3659500000000007</c:v>
                </c:pt>
                <c:pt idx="329">
                  <c:v>5.67727</c:v>
                </c:pt>
                <c:pt idx="330">
                  <c:v>5.4684799999999996</c:v>
                </c:pt>
                <c:pt idx="331">
                  <c:v>5.4327200000000007</c:v>
                </c:pt>
                <c:pt idx="332">
                  <c:v>5.4865099999999991</c:v>
                </c:pt>
                <c:pt idx="333">
                  <c:v>5.7734400000000008</c:v>
                </c:pt>
                <c:pt idx="334">
                  <c:v>5.7356799999999994</c:v>
                </c:pt>
                <c:pt idx="335">
                  <c:v>5.5313499999999998</c:v>
                </c:pt>
                <c:pt idx="336">
                  <c:v>5.5831799999999996</c:v>
                </c:pt>
                <c:pt idx="337">
                  <c:v>5.4155100000000003</c:v>
                </c:pt>
                <c:pt idx="338">
                  <c:v>5.3755600000000001</c:v>
                </c:pt>
                <c:pt idx="339">
                  <c:v>5.6220399999999993</c:v>
                </c:pt>
                <c:pt idx="340">
                  <c:v>5.6042100000000001</c:v>
                </c:pt>
                <c:pt idx="341">
                  <c:v>5.2774099999999997</c:v>
                </c:pt>
                <c:pt idx="342">
                  <c:v>5.1655699999999998</c:v>
                </c:pt>
                <c:pt idx="343">
                  <c:v>5.2540599999999991</c:v>
                </c:pt>
                <c:pt idx="344">
                  <c:v>5.3006600000000006</c:v>
                </c:pt>
                <c:pt idx="345">
                  <c:v>5.3512699999999995</c:v>
                </c:pt>
                <c:pt idx="346">
                  <c:v>5.3017300000000001</c:v>
                </c:pt>
                <c:pt idx="347">
                  <c:v>5.3374600000000001</c:v>
                </c:pt>
                <c:pt idx="348">
                  <c:v>5.3374600000000001</c:v>
                </c:pt>
                <c:pt idx="349">
                  <c:v>5.4319699999999997</c:v>
                </c:pt>
                <c:pt idx="350">
                  <c:v>5.4020000000000001</c:v>
                </c:pt>
                <c:pt idx="351">
                  <c:v>5.3362099999999995</c:v>
                </c:pt>
                <c:pt idx="352">
                  <c:v>5.1844399999999995</c:v>
                </c:pt>
                <c:pt idx="353">
                  <c:v>5.0683300000000004</c:v>
                </c:pt>
                <c:pt idx="354">
                  <c:v>5.1271199999999997</c:v>
                </c:pt>
                <c:pt idx="355">
                  <c:v>5.1448400000000003</c:v>
                </c:pt>
                <c:pt idx="356">
                  <c:v>5.1679300000000001</c:v>
                </c:pt>
                <c:pt idx="357">
                  <c:v>5.1354300000000004</c:v>
                </c:pt>
                <c:pt idx="358">
                  <c:v>5.11334</c:v>
                </c:pt>
                <c:pt idx="359">
                  <c:v>4.9664200000000003</c:v>
                </c:pt>
                <c:pt idx="360">
                  <c:v>5.0235599999999998</c:v>
                </c:pt>
                <c:pt idx="361">
                  <c:v>4.9110300000000002</c:v>
                </c:pt>
                <c:pt idx="362">
                  <c:v>4.8412899999999999</c:v>
                </c:pt>
                <c:pt idx="363">
                  <c:v>4.7973499999999998</c:v>
                </c:pt>
                <c:pt idx="364">
                  <c:v>4.7838099999999999</c:v>
                </c:pt>
                <c:pt idx="365">
                  <c:v>4.7690700000000001</c:v>
                </c:pt>
                <c:pt idx="366">
                  <c:v>4.7391399999999999</c:v>
                </c:pt>
                <c:pt idx="367">
                  <c:v>4.7424999999999997</c:v>
                </c:pt>
                <c:pt idx="368">
                  <c:v>4.7424999999999997</c:v>
                </c:pt>
                <c:pt idx="369">
                  <c:v>4.6295800000000007</c:v>
                </c:pt>
                <c:pt idx="370">
                  <c:v>4.5903900000000002</c:v>
                </c:pt>
                <c:pt idx="371">
                  <c:v>4.6471100000000005</c:v>
                </c:pt>
                <c:pt idx="372">
                  <c:v>4.7563599999999999</c:v>
                </c:pt>
                <c:pt idx="373">
                  <c:v>4.7199799999999996</c:v>
                </c:pt>
                <c:pt idx="374">
                  <c:v>4.7041000000000004</c:v>
                </c:pt>
                <c:pt idx="375">
                  <c:v>4.6937499999999996</c:v>
                </c:pt>
                <c:pt idx="376">
                  <c:v>4.7207999999999997</c:v>
                </c:pt>
                <c:pt idx="377">
                  <c:v>4.6939200000000003</c:v>
                </c:pt>
                <c:pt idx="378">
                  <c:v>4.7257299999999995</c:v>
                </c:pt>
                <c:pt idx="379">
                  <c:v>4.7840699999999998</c:v>
                </c:pt>
                <c:pt idx="380">
                  <c:v>4.8307799999999999</c:v>
                </c:pt>
                <c:pt idx="381">
                  <c:v>4.88673</c:v>
                </c:pt>
                <c:pt idx="382">
                  <c:v>4.9583599999999999</c:v>
                </c:pt>
                <c:pt idx="383">
                  <c:v>4.9971699999999997</c:v>
                </c:pt>
                <c:pt idx="384">
                  <c:v>5.0846800000000005</c:v>
                </c:pt>
                <c:pt idx="385">
                  <c:v>5.0008800000000004</c:v>
                </c:pt>
                <c:pt idx="386">
                  <c:v>4.9901499999999999</c:v>
                </c:pt>
                <c:pt idx="387">
                  <c:v>4.9323899999999998</c:v>
                </c:pt>
                <c:pt idx="388">
                  <c:v>4.9887600000000001</c:v>
                </c:pt>
                <c:pt idx="389">
                  <c:v>4.9296199999999999</c:v>
                </c:pt>
                <c:pt idx="390">
                  <c:v>4.9396199999999997</c:v>
                </c:pt>
                <c:pt idx="391">
                  <c:v>4.9304800000000002</c:v>
                </c:pt>
                <c:pt idx="392">
                  <c:v>4.9416799999999999</c:v>
                </c:pt>
                <c:pt idx="393">
                  <c:v>4.95627</c:v>
                </c:pt>
                <c:pt idx="394">
                  <c:v>5.0271600000000003</c:v>
                </c:pt>
                <c:pt idx="395">
                  <c:v>5.0520800000000001</c:v>
                </c:pt>
                <c:pt idx="396">
                  <c:v>5.1321099999999999</c:v>
                </c:pt>
                <c:pt idx="397">
                  <c:v>5.02576</c:v>
                </c:pt>
                <c:pt idx="398">
                  <c:v>5.0233100000000004</c:v>
                </c:pt>
                <c:pt idx="399">
                  <c:v>4.9482799999999996</c:v>
                </c:pt>
                <c:pt idx="400">
                  <c:v>4.9971800000000002</c:v>
                </c:pt>
                <c:pt idx="401">
                  <c:v>5.0418099999999999</c:v>
                </c:pt>
                <c:pt idx="402">
                  <c:v>5.0019099999999996</c:v>
                </c:pt>
                <c:pt idx="403">
                  <c:v>5.1928200000000002</c:v>
                </c:pt>
                <c:pt idx="404">
                  <c:v>5.1714000000000002</c:v>
                </c:pt>
                <c:pt idx="405">
                  <c:v>5.0803699999999994</c:v>
                </c:pt>
                <c:pt idx="406">
                  <c:v>5.1314000000000002</c:v>
                </c:pt>
                <c:pt idx="407">
                  <c:v>5.1182400000000001</c:v>
                </c:pt>
                <c:pt idx="408">
                  <c:v>5.1625100000000002</c:v>
                </c:pt>
                <c:pt idx="409">
                  <c:v>5.2919000000000009</c:v>
                </c:pt>
                <c:pt idx="410">
                  <c:v>5.2187800000000006</c:v>
                </c:pt>
                <c:pt idx="411">
                  <c:v>5.12744</c:v>
                </c:pt>
                <c:pt idx="412">
                  <c:v>5.1759500000000003</c:v>
                </c:pt>
                <c:pt idx="413">
                  <c:v>5.1524099999999997</c:v>
                </c:pt>
                <c:pt idx="414">
                  <c:v>5.1097099999999998</c:v>
                </c:pt>
                <c:pt idx="415">
                  <c:v>5.1256500000000003</c:v>
                </c:pt>
                <c:pt idx="416">
                  <c:v>5.0959599999999998</c:v>
                </c:pt>
                <c:pt idx="417">
                  <c:v>5.0424299999999995</c:v>
                </c:pt>
                <c:pt idx="418">
                  <c:v>5.0279300000000005</c:v>
                </c:pt>
                <c:pt idx="419">
                  <c:v>5.0146800000000002</c:v>
                </c:pt>
                <c:pt idx="420">
                  <c:v>5.0407600000000006</c:v>
                </c:pt>
                <c:pt idx="421">
                  <c:v>4.9866799999999998</c:v>
                </c:pt>
                <c:pt idx="422">
                  <c:v>5.0205200000000003</c:v>
                </c:pt>
                <c:pt idx="423">
                  <c:v>5.0651400000000004</c:v>
                </c:pt>
                <c:pt idx="424">
                  <c:v>5.0662400000000005</c:v>
                </c:pt>
                <c:pt idx="425">
                  <c:v>5.0564800000000005</c:v>
                </c:pt>
                <c:pt idx="426">
                  <c:v>5.1216600000000003</c:v>
                </c:pt>
                <c:pt idx="427">
                  <c:v>5.1041100000000004</c:v>
                </c:pt>
                <c:pt idx="428">
                  <c:v>5.07578</c:v>
                </c:pt>
                <c:pt idx="429">
                  <c:v>4.9906299999999995</c:v>
                </c:pt>
                <c:pt idx="430">
                  <c:v>4.8757400000000004</c:v>
                </c:pt>
                <c:pt idx="431">
                  <c:v>4.8764500000000002</c:v>
                </c:pt>
                <c:pt idx="432">
                  <c:v>4.8424300000000002</c:v>
                </c:pt>
                <c:pt idx="433">
                  <c:v>4.8424300000000002</c:v>
                </c:pt>
                <c:pt idx="434">
                  <c:v>4.7328000000000001</c:v>
                </c:pt>
                <c:pt idx="435">
                  <c:v>4.6876100000000003</c:v>
                </c:pt>
                <c:pt idx="436">
                  <c:v>4.6913499999999999</c:v>
                </c:pt>
                <c:pt idx="437">
                  <c:v>4.6532</c:v>
                </c:pt>
                <c:pt idx="438">
                  <c:v>4.6536499999999998</c:v>
                </c:pt>
                <c:pt idx="439">
                  <c:v>4.6818799999999996</c:v>
                </c:pt>
                <c:pt idx="440">
                  <c:v>4.7190799999999999</c:v>
                </c:pt>
                <c:pt idx="441">
                  <c:v>4.8121600000000004</c:v>
                </c:pt>
                <c:pt idx="442">
                  <c:v>4.7393999999999998</c:v>
                </c:pt>
                <c:pt idx="443">
                  <c:v>4.7291100000000004</c:v>
                </c:pt>
                <c:pt idx="444">
                  <c:v>4.7124500000000005</c:v>
                </c:pt>
                <c:pt idx="445">
                  <c:v>4.6179700000000006</c:v>
                </c:pt>
                <c:pt idx="446">
                  <c:v>4.6072300000000004</c:v>
                </c:pt>
                <c:pt idx="447">
                  <c:v>4.6084199999999997</c:v>
                </c:pt>
                <c:pt idx="448">
                  <c:v>4.8056000000000001</c:v>
                </c:pt>
                <c:pt idx="449">
                  <c:v>4.79122</c:v>
                </c:pt>
                <c:pt idx="450">
                  <c:v>4.88103</c:v>
                </c:pt>
                <c:pt idx="451">
                  <c:v>4.8105000000000002</c:v>
                </c:pt>
                <c:pt idx="452">
                  <c:v>4.9838500000000003</c:v>
                </c:pt>
                <c:pt idx="453">
                  <c:v>5.0235099999999999</c:v>
                </c:pt>
                <c:pt idx="454">
                  <c:v>5.10839</c:v>
                </c:pt>
                <c:pt idx="455">
                  <c:v>5.0463699999999996</c:v>
                </c:pt>
                <c:pt idx="456">
                  <c:v>5.1071</c:v>
                </c:pt>
                <c:pt idx="457">
                  <c:v>5.2496499999999999</c:v>
                </c:pt>
                <c:pt idx="458">
                  <c:v>5.3031199999999998</c:v>
                </c:pt>
                <c:pt idx="459">
                  <c:v>5.2992699999999999</c:v>
                </c:pt>
                <c:pt idx="460">
                  <c:v>5.3199199999999998</c:v>
                </c:pt>
                <c:pt idx="461">
                  <c:v>5.1072699999999998</c:v>
                </c:pt>
                <c:pt idx="462">
                  <c:v>5.1035300000000001</c:v>
                </c:pt>
                <c:pt idx="463">
                  <c:v>5.1290999999999993</c:v>
                </c:pt>
                <c:pt idx="464">
                  <c:v>5.1680899999999994</c:v>
                </c:pt>
                <c:pt idx="465">
                  <c:v>5.1129199999999999</c:v>
                </c:pt>
                <c:pt idx="466">
                  <c:v>4.9192399999999994</c:v>
                </c:pt>
                <c:pt idx="467">
                  <c:v>4.8239600000000005</c:v>
                </c:pt>
                <c:pt idx="468">
                  <c:v>4.92136</c:v>
                </c:pt>
                <c:pt idx="469">
                  <c:v>4.8258299999999998</c:v>
                </c:pt>
                <c:pt idx="470">
                  <c:v>4.8652999999999995</c:v>
                </c:pt>
                <c:pt idx="471">
                  <c:v>5.00617</c:v>
                </c:pt>
                <c:pt idx="472">
                  <c:v>5.0859500000000004</c:v>
                </c:pt>
                <c:pt idx="473">
                  <c:v>5.1162700000000001</c:v>
                </c:pt>
                <c:pt idx="474">
                  <c:v>5.0844399999999998</c:v>
                </c:pt>
                <c:pt idx="475">
                  <c:v>5.2014499999999995</c:v>
                </c:pt>
                <c:pt idx="476">
                  <c:v>5.1646600000000005</c:v>
                </c:pt>
                <c:pt idx="477">
                  <c:v>5.2404200000000003</c:v>
                </c:pt>
                <c:pt idx="478">
                  <c:v>5.3001800000000001</c:v>
                </c:pt>
                <c:pt idx="479">
                  <c:v>5.4556899999999997</c:v>
                </c:pt>
                <c:pt idx="480">
                  <c:v>5.48285</c:v>
                </c:pt>
                <c:pt idx="481">
                  <c:v>5.5955600000000008</c:v>
                </c:pt>
                <c:pt idx="482">
                  <c:v>5.29237</c:v>
                </c:pt>
                <c:pt idx="483">
                  <c:v>5.1375300000000008</c:v>
                </c:pt>
                <c:pt idx="484">
                  <c:v>5.2878499999999997</c:v>
                </c:pt>
                <c:pt idx="485">
                  <c:v>5.2263800000000007</c:v>
                </c:pt>
                <c:pt idx="486">
                  <c:v>5.3382100000000001</c:v>
                </c:pt>
                <c:pt idx="487">
                  <c:v>5.5477099999999995</c:v>
                </c:pt>
                <c:pt idx="488">
                  <c:v>5.7400500000000001</c:v>
                </c:pt>
                <c:pt idx="489">
                  <c:v>5.9005799999999997</c:v>
                </c:pt>
                <c:pt idx="490">
                  <c:v>5.8021799999999999</c:v>
                </c:pt>
                <c:pt idx="491">
                  <c:v>5.6826999999999996</c:v>
                </c:pt>
                <c:pt idx="492">
                  <c:v>5.7746400000000007</c:v>
                </c:pt>
                <c:pt idx="493">
                  <c:v>6.2071000000000005</c:v>
                </c:pt>
                <c:pt idx="494">
                  <c:v>6.3858199999999998</c:v>
                </c:pt>
                <c:pt idx="495">
                  <c:v>6.3604999999999992</c:v>
                </c:pt>
                <c:pt idx="496">
                  <c:v>6.5120000000000005</c:v>
                </c:pt>
                <c:pt idx="497">
                  <c:v>6.8724999999999996</c:v>
                </c:pt>
                <c:pt idx="498">
                  <c:v>6.82775</c:v>
                </c:pt>
                <c:pt idx="499">
                  <c:v>6.7225699999999993</c:v>
                </c:pt>
                <c:pt idx="500">
                  <c:v>6.5128899999999996</c:v>
                </c:pt>
                <c:pt idx="501">
                  <c:v>6.3607800000000001</c:v>
                </c:pt>
                <c:pt idx="502">
                  <c:v>6.4611300000000007</c:v>
                </c:pt>
                <c:pt idx="503">
                  <c:v>6.4959400000000009</c:v>
                </c:pt>
                <c:pt idx="504">
                  <c:v>6.4279600000000006</c:v>
                </c:pt>
                <c:pt idx="505">
                  <c:v>6.4569100000000006</c:v>
                </c:pt>
                <c:pt idx="506">
                  <c:v>6.5068100000000006</c:v>
                </c:pt>
                <c:pt idx="507">
                  <c:v>6.5423400000000003</c:v>
                </c:pt>
                <c:pt idx="508">
                  <c:v>6.6322200000000002</c:v>
                </c:pt>
                <c:pt idx="509">
                  <c:v>7.01715</c:v>
                </c:pt>
                <c:pt idx="510">
                  <c:v>7.1738</c:v>
                </c:pt>
                <c:pt idx="511">
                  <c:v>7.2924800000000003</c:v>
                </c:pt>
                <c:pt idx="512">
                  <c:v>7.6903599999999992</c:v>
                </c:pt>
                <c:pt idx="513">
                  <c:v>7.88246</c:v>
                </c:pt>
                <c:pt idx="514">
                  <c:v>7.93058</c:v>
                </c:pt>
                <c:pt idx="515">
                  <c:v>8.0064700000000002</c:v>
                </c:pt>
                <c:pt idx="516">
                  <c:v>7.91106</c:v>
                </c:pt>
                <c:pt idx="517">
                  <c:v>7.8783900000000004</c:v>
                </c:pt>
                <c:pt idx="518">
                  <c:v>7.8783900000000004</c:v>
                </c:pt>
                <c:pt idx="519">
                  <c:v>7.8783900000000004</c:v>
                </c:pt>
                <c:pt idx="520">
                  <c:v>7.8815499999999998</c:v>
                </c:pt>
                <c:pt idx="521">
                  <c:v>7.9780999999999995</c:v>
                </c:pt>
                <c:pt idx="522">
                  <c:v>7.9651999999999994</c:v>
                </c:pt>
                <c:pt idx="523">
                  <c:v>7.9651999999999994</c:v>
                </c:pt>
                <c:pt idx="524">
                  <c:v>8.1129800000000003</c:v>
                </c:pt>
                <c:pt idx="525">
                  <c:v>8.1650500000000008</c:v>
                </c:pt>
                <c:pt idx="526">
                  <c:v>8.2874400000000001</c:v>
                </c:pt>
                <c:pt idx="527">
                  <c:v>8.3091299999999997</c:v>
                </c:pt>
                <c:pt idx="528">
                  <c:v>8.7215100000000003</c:v>
                </c:pt>
                <c:pt idx="529">
                  <c:v>8.2923600000000004</c:v>
                </c:pt>
                <c:pt idx="530">
                  <c:v>8.4102599999999992</c:v>
                </c:pt>
                <c:pt idx="531">
                  <c:v>9.5308100000000007</c:v>
                </c:pt>
                <c:pt idx="532">
                  <c:v>10.56912</c:v>
                </c:pt>
                <c:pt idx="533">
                  <c:v>11.50675</c:v>
                </c:pt>
                <c:pt idx="534">
                  <c:v>11.25099</c:v>
                </c:pt>
                <c:pt idx="535">
                  <c:v>10.34459</c:v>
                </c:pt>
                <c:pt idx="536">
                  <c:v>10.241790000000002</c:v>
                </c:pt>
                <c:pt idx="537">
                  <c:v>9.9356399999999994</c:v>
                </c:pt>
                <c:pt idx="538">
                  <c:v>10.824010000000001</c:v>
                </c:pt>
                <c:pt idx="539">
                  <c:v>11.1844</c:v>
                </c:pt>
                <c:pt idx="540">
                  <c:v>10.65682</c:v>
                </c:pt>
                <c:pt idx="541">
                  <c:v>9.6880799999999994</c:v>
                </c:pt>
                <c:pt idx="542">
                  <c:v>9.5426900000000003</c:v>
                </c:pt>
                <c:pt idx="543">
                  <c:v>9.2182300000000001</c:v>
                </c:pt>
                <c:pt idx="544">
                  <c:v>9.1287300000000009</c:v>
                </c:pt>
                <c:pt idx="545">
                  <c:v>8.9342399999999991</c:v>
                </c:pt>
                <c:pt idx="546">
                  <c:v>8.9900500000000001</c:v>
                </c:pt>
                <c:pt idx="547">
                  <c:v>8.881079999999999</c:v>
                </c:pt>
                <c:pt idx="548">
                  <c:v>8.9018700000000006</c:v>
                </c:pt>
                <c:pt idx="549">
                  <c:v>8.8059200000000004</c:v>
                </c:pt>
                <c:pt idx="550">
                  <c:v>8.6479600000000012</c:v>
                </c:pt>
                <c:pt idx="551">
                  <c:v>8.6408299999999993</c:v>
                </c:pt>
                <c:pt idx="552">
                  <c:v>9.3833000000000002</c:v>
                </c:pt>
                <c:pt idx="553">
                  <c:v>10.10825</c:v>
                </c:pt>
                <c:pt idx="554">
                  <c:v>9.3788099999999996</c:v>
                </c:pt>
                <c:pt idx="555">
                  <c:v>9.0054300000000005</c:v>
                </c:pt>
                <c:pt idx="556">
                  <c:v>9.9151100000000003</c:v>
                </c:pt>
                <c:pt idx="557">
                  <c:v>10.27829</c:v>
                </c:pt>
                <c:pt idx="558">
                  <c:v>10.878160000000001</c:v>
                </c:pt>
                <c:pt idx="559">
                  <c:v>11.616810000000001</c:v>
                </c:pt>
                <c:pt idx="560">
                  <c:v>14.51301</c:v>
                </c:pt>
                <c:pt idx="561">
                  <c:v>30.255279999999999</c:v>
                </c:pt>
                <c:pt idx="562">
                  <c:v>24.267710000000001</c:v>
                </c:pt>
                <c:pt idx="563">
                  <c:v>33.253799999999998</c:v>
                </c:pt>
                <c:pt idx="564">
                  <c:v>36.120359999999998</c:v>
                </c:pt>
                <c:pt idx="565">
                  <c:v>42.483710000000002</c:v>
                </c:pt>
                <c:pt idx="566">
                  <c:v>43.386949999999999</c:v>
                </c:pt>
                <c:pt idx="567">
                  <c:v>51.81888</c:v>
                </c:pt>
                <c:pt idx="568">
                  <c:v>51.672420000000002</c:v>
                </c:pt>
                <c:pt idx="569">
                  <c:v>46.179589999999997</c:v>
                </c:pt>
                <c:pt idx="570">
                  <c:v>38.139920000000004</c:v>
                </c:pt>
                <c:pt idx="571">
                  <c:v>40.59131</c:v>
                </c:pt>
                <c:pt idx="572">
                  <c:v>38.918039999999998</c:v>
                </c:pt>
                <c:pt idx="573">
                  <c:v>37.852959999999996</c:v>
                </c:pt>
                <c:pt idx="574">
                  <c:v>37.31662</c:v>
                </c:pt>
                <c:pt idx="575">
                  <c:v>29.481719999999999</c:v>
                </c:pt>
                <c:pt idx="576">
                  <c:v>30.956</c:v>
                </c:pt>
                <c:pt idx="577">
                  <c:v>31.671849999999999</c:v>
                </c:pt>
                <c:pt idx="578">
                  <c:v>32.176140000000004</c:v>
                </c:pt>
                <c:pt idx="579">
                  <c:v>32.472189999999998</c:v>
                </c:pt>
                <c:pt idx="580">
                  <c:v>32.718989999999998</c:v>
                </c:pt>
                <c:pt idx="581">
                  <c:v>33.0212</c:v>
                </c:pt>
                <c:pt idx="582">
                  <c:v>31.170859999999998</c:v>
                </c:pt>
                <c:pt idx="583">
                  <c:v>29.674850000000003</c:v>
                </c:pt>
                <c:pt idx="584">
                  <c:v>25.553699999999999</c:v>
                </c:pt>
                <c:pt idx="585">
                  <c:v>27.36965</c:v>
                </c:pt>
                <c:pt idx="586">
                  <c:v>27.616190000000003</c:v>
                </c:pt>
                <c:pt idx="587">
                  <c:v>27.585050000000003</c:v>
                </c:pt>
                <c:pt idx="588">
                  <c:v>27.528400000000001</c:v>
                </c:pt>
                <c:pt idx="589">
                  <c:v>27.894200000000001</c:v>
                </c:pt>
                <c:pt idx="590">
                  <c:v>28.899090000000001</c:v>
                </c:pt>
                <c:pt idx="591">
                  <c:v>29.217600000000001</c:v>
                </c:pt>
                <c:pt idx="592">
                  <c:v>28.799870000000002</c:v>
                </c:pt>
                <c:pt idx="593">
                  <c:v>29.476979999999998</c:v>
                </c:pt>
                <c:pt idx="594">
                  <c:v>30.249479999999998</c:v>
                </c:pt>
                <c:pt idx="595">
                  <c:v>31.454930000000001</c:v>
                </c:pt>
                <c:pt idx="596">
                  <c:v>31.58315</c:v>
                </c:pt>
                <c:pt idx="597">
                  <c:v>31.58315</c:v>
                </c:pt>
                <c:pt idx="598">
                  <c:v>31.58315</c:v>
                </c:pt>
                <c:pt idx="599">
                  <c:v>32.612589999999997</c:v>
                </c:pt>
                <c:pt idx="600">
                  <c:v>33.384499999999996</c:v>
                </c:pt>
                <c:pt idx="601">
                  <c:v>33.214709999999997</c:v>
                </c:pt>
                <c:pt idx="602">
                  <c:v>33.587939999999996</c:v>
                </c:pt>
                <c:pt idx="603">
                  <c:v>33.849209999999999</c:v>
                </c:pt>
                <c:pt idx="604">
                  <c:v>34.756030000000003</c:v>
                </c:pt>
                <c:pt idx="605">
                  <c:v>35.002690000000001</c:v>
                </c:pt>
                <c:pt idx="606">
                  <c:v>34.577919999999999</c:v>
                </c:pt>
                <c:pt idx="607">
                  <c:v>34.880040000000001</c:v>
                </c:pt>
                <c:pt idx="608">
                  <c:v>34.880040000000001</c:v>
                </c:pt>
                <c:pt idx="609">
                  <c:v>34.13597</c:v>
                </c:pt>
                <c:pt idx="610">
                  <c:v>33.584710000000001</c:v>
                </c:pt>
                <c:pt idx="611">
                  <c:v>32.824550000000002</c:v>
                </c:pt>
                <c:pt idx="612">
                  <c:v>32.887700000000002</c:v>
                </c:pt>
                <c:pt idx="613">
                  <c:v>32.975659999999998</c:v>
                </c:pt>
                <c:pt idx="614">
                  <c:v>32.614519999999999</c:v>
                </c:pt>
                <c:pt idx="615">
                  <c:v>31.435569999999998</c:v>
                </c:pt>
                <c:pt idx="616">
                  <c:v>31.566170000000003</c:v>
                </c:pt>
                <c:pt idx="617">
                  <c:v>31.636869999999998</c:v>
                </c:pt>
                <c:pt idx="618">
                  <c:v>31.572649999999999</c:v>
                </c:pt>
                <c:pt idx="619">
                  <c:v>30.710030000000003</c:v>
                </c:pt>
                <c:pt idx="620">
                  <c:v>28.180320000000002</c:v>
                </c:pt>
                <c:pt idx="621">
                  <c:v>28.874969999999998</c:v>
                </c:pt>
                <c:pt idx="622">
                  <c:v>28.777699999999999</c:v>
                </c:pt>
                <c:pt idx="623">
                  <c:v>29.202579999999998</c:v>
                </c:pt>
                <c:pt idx="624">
                  <c:v>29.886239999999997</c:v>
                </c:pt>
                <c:pt idx="625">
                  <c:v>29.93563</c:v>
                </c:pt>
                <c:pt idx="626">
                  <c:v>30.01906</c:v>
                </c:pt>
                <c:pt idx="627">
                  <c:v>29.987359999999999</c:v>
                </c:pt>
                <c:pt idx="628">
                  <c:v>30.003209999999999</c:v>
                </c:pt>
                <c:pt idx="629">
                  <c:v>30.339029999999998</c:v>
                </c:pt>
                <c:pt idx="630">
                  <c:v>30.354150000000001</c:v>
                </c:pt>
                <c:pt idx="631">
                  <c:v>30.354150000000001</c:v>
                </c:pt>
                <c:pt idx="632">
                  <c:v>30.354150000000001</c:v>
                </c:pt>
                <c:pt idx="633">
                  <c:v>30.190380000000001</c:v>
                </c:pt>
                <c:pt idx="634">
                  <c:v>30.530540000000002</c:v>
                </c:pt>
                <c:pt idx="635">
                  <c:v>31.180019999999999</c:v>
                </c:pt>
                <c:pt idx="636">
                  <c:v>31.498350000000002</c:v>
                </c:pt>
                <c:pt idx="637">
                  <c:v>31.639150000000001</c:v>
                </c:pt>
                <c:pt idx="638">
                  <c:v>32.707630000000002</c:v>
                </c:pt>
                <c:pt idx="639">
                  <c:v>33.208040000000004</c:v>
                </c:pt>
                <c:pt idx="640">
                  <c:v>33.796010000000003</c:v>
                </c:pt>
                <c:pt idx="641">
                  <c:v>34.635559999999998</c:v>
                </c:pt>
                <c:pt idx="642">
                  <c:v>35.219569999999997</c:v>
                </c:pt>
                <c:pt idx="643">
                  <c:v>35.194899999999997</c:v>
                </c:pt>
                <c:pt idx="644">
                  <c:v>35.712649999999996</c:v>
                </c:pt>
                <c:pt idx="645">
                  <c:v>36.395890000000001</c:v>
                </c:pt>
                <c:pt idx="646">
                  <c:v>38.865830000000003</c:v>
                </c:pt>
                <c:pt idx="647">
                  <c:v>39.8202</c:v>
                </c:pt>
                <c:pt idx="648">
                  <c:v>40.89667</c:v>
                </c:pt>
                <c:pt idx="649">
                  <c:v>42.408860000000004</c:v>
                </c:pt>
                <c:pt idx="650">
                  <c:v>43.369499999999995</c:v>
                </c:pt>
                <c:pt idx="651">
                  <c:v>44.851869999999998</c:v>
                </c:pt>
                <c:pt idx="652">
                  <c:v>43.812889999999996</c:v>
                </c:pt>
                <c:pt idx="653">
                  <c:v>44.365810000000003</c:v>
                </c:pt>
                <c:pt idx="654">
                  <c:v>45.299769999999995</c:v>
                </c:pt>
                <c:pt idx="655">
                  <c:v>46.26446</c:v>
                </c:pt>
                <c:pt idx="656">
                  <c:v>48.476189999999995</c:v>
                </c:pt>
                <c:pt idx="657">
                  <c:v>51.01867</c:v>
                </c:pt>
                <c:pt idx="658">
                  <c:v>53.511470000000003</c:v>
                </c:pt>
                <c:pt idx="659">
                  <c:v>53.724700000000006</c:v>
                </c:pt>
                <c:pt idx="660">
                  <c:v>62.862760000000002</c:v>
                </c:pt>
                <c:pt idx="661">
                  <c:v>58.318810000000006</c:v>
                </c:pt>
                <c:pt idx="662">
                  <c:v>55.999129999999994</c:v>
                </c:pt>
                <c:pt idx="663">
                  <c:v>53.598030000000001</c:v>
                </c:pt>
                <c:pt idx="664">
                  <c:v>59.0792</c:v>
                </c:pt>
                <c:pt idx="665">
                  <c:v>58.320039999999999</c:v>
                </c:pt>
                <c:pt idx="666">
                  <c:v>57.22204</c:v>
                </c:pt>
                <c:pt idx="667">
                  <c:v>54.063389999999998</c:v>
                </c:pt>
                <c:pt idx="668">
                  <c:v>53.067309999999999</c:v>
                </c:pt>
                <c:pt idx="669">
                  <c:v>54.4253</c:v>
                </c:pt>
                <c:pt idx="670">
                  <c:v>54.589320000000001</c:v>
                </c:pt>
                <c:pt idx="671">
                  <c:v>54.355269999999997</c:v>
                </c:pt>
                <c:pt idx="672">
                  <c:v>54.411700000000003</c:v>
                </c:pt>
                <c:pt idx="673">
                  <c:v>54.655630000000002</c:v>
                </c:pt>
                <c:pt idx="674">
                  <c:v>55.607500000000002</c:v>
                </c:pt>
                <c:pt idx="675">
                  <c:v>57.159440000000004</c:v>
                </c:pt>
                <c:pt idx="676">
                  <c:v>57.898220000000002</c:v>
                </c:pt>
                <c:pt idx="677">
                  <c:v>58.410130000000002</c:v>
                </c:pt>
                <c:pt idx="678">
                  <c:v>58.316279999999999</c:v>
                </c:pt>
                <c:pt idx="679">
                  <c:v>56.810540000000003</c:v>
                </c:pt>
                <c:pt idx="680">
                  <c:v>54.156639999999996</c:v>
                </c:pt>
                <c:pt idx="681">
                  <c:v>51.794830000000005</c:v>
                </c:pt>
                <c:pt idx="682">
                  <c:v>39.142249999999997</c:v>
                </c:pt>
                <c:pt idx="683">
                  <c:v>40.957700000000003</c:v>
                </c:pt>
                <c:pt idx="684">
                  <c:v>29.335799999999999</c:v>
                </c:pt>
                <c:pt idx="685">
                  <c:v>29.536069999999999</c:v>
                </c:pt>
                <c:pt idx="686">
                  <c:v>28.707220000000003</c:v>
                </c:pt>
                <c:pt idx="687">
                  <c:v>29.507190000000001</c:v>
                </c:pt>
                <c:pt idx="688">
                  <c:v>30.627489999999998</c:v>
                </c:pt>
                <c:pt idx="689">
                  <c:v>30.410520000000002</c:v>
                </c:pt>
                <c:pt idx="690">
                  <c:v>30.952030000000001</c:v>
                </c:pt>
                <c:pt idx="691">
                  <c:v>29.343789999999998</c:v>
                </c:pt>
                <c:pt idx="692">
                  <c:v>31.73978</c:v>
                </c:pt>
                <c:pt idx="693">
                  <c:v>31.73978</c:v>
                </c:pt>
                <c:pt idx="694">
                  <c:v>31.99634</c:v>
                </c:pt>
                <c:pt idx="695">
                  <c:v>32.839599999999997</c:v>
                </c:pt>
                <c:pt idx="696">
                  <c:v>34.427080000000004</c:v>
                </c:pt>
                <c:pt idx="697">
                  <c:v>32.904130000000002</c:v>
                </c:pt>
                <c:pt idx="698">
                  <c:v>32.699190000000002</c:v>
                </c:pt>
                <c:pt idx="699">
                  <c:v>32.451810000000002</c:v>
                </c:pt>
                <c:pt idx="700">
                  <c:v>34.293750000000003</c:v>
                </c:pt>
                <c:pt idx="701">
                  <c:v>32.019460000000002</c:v>
                </c:pt>
                <c:pt idx="702">
                  <c:v>32.211599999999997</c:v>
                </c:pt>
                <c:pt idx="703">
                  <c:v>32.239220000000003</c:v>
                </c:pt>
                <c:pt idx="704">
                  <c:v>31.91086</c:v>
                </c:pt>
                <c:pt idx="705">
                  <c:v>32.337689999999995</c:v>
                </c:pt>
                <c:pt idx="706">
                  <c:v>30.682570000000002</c:v>
                </c:pt>
                <c:pt idx="707">
                  <c:v>31.26632</c:v>
                </c:pt>
                <c:pt idx="708">
                  <c:v>31.26632</c:v>
                </c:pt>
                <c:pt idx="709">
                  <c:v>31.03303</c:v>
                </c:pt>
                <c:pt idx="710">
                  <c:v>33.098570000000002</c:v>
                </c:pt>
                <c:pt idx="711">
                  <c:v>33.528620000000004</c:v>
                </c:pt>
                <c:pt idx="712">
                  <c:v>32.385979999999996</c:v>
                </c:pt>
                <c:pt idx="713">
                  <c:v>33.258240000000001</c:v>
                </c:pt>
                <c:pt idx="714">
                  <c:v>34.101300000000002</c:v>
                </c:pt>
                <c:pt idx="715">
                  <c:v>33.275729999999996</c:v>
                </c:pt>
                <c:pt idx="716">
                  <c:v>32.684089999999998</c:v>
                </c:pt>
                <c:pt idx="717">
                  <c:v>32.624279999999999</c:v>
                </c:pt>
                <c:pt idx="718">
                  <c:v>32.881219999999999</c:v>
                </c:pt>
                <c:pt idx="719">
                  <c:v>35.628219999999999</c:v>
                </c:pt>
                <c:pt idx="720">
                  <c:v>35.306519999999999</c:v>
                </c:pt>
                <c:pt idx="721">
                  <c:v>34.09937</c:v>
                </c:pt>
                <c:pt idx="722">
                  <c:v>35.365400000000001</c:v>
                </c:pt>
                <c:pt idx="723">
                  <c:v>33.586770000000001</c:v>
                </c:pt>
                <c:pt idx="724">
                  <c:v>36.779820000000001</c:v>
                </c:pt>
                <c:pt idx="725">
                  <c:v>36.726869999999998</c:v>
                </c:pt>
                <c:pt idx="726">
                  <c:v>36.814689999999999</c:v>
                </c:pt>
                <c:pt idx="727">
                  <c:v>37.70617</c:v>
                </c:pt>
                <c:pt idx="728">
                  <c:v>37.243519999999997</c:v>
                </c:pt>
                <c:pt idx="729">
                  <c:v>35.727420000000002</c:v>
                </c:pt>
                <c:pt idx="730">
                  <c:v>35.800719999999998</c:v>
                </c:pt>
                <c:pt idx="731">
                  <c:v>35.594070000000002</c:v>
                </c:pt>
                <c:pt idx="732">
                  <c:v>35.418500000000002</c:v>
                </c:pt>
                <c:pt idx="733">
                  <c:v>37.243789999999997</c:v>
                </c:pt>
                <c:pt idx="734">
                  <c:v>36.728380000000001</c:v>
                </c:pt>
                <c:pt idx="735">
                  <c:v>38.35615</c:v>
                </c:pt>
                <c:pt idx="736">
                  <c:v>36.540520000000001</c:v>
                </c:pt>
                <c:pt idx="737">
                  <c:v>35.720939999999999</c:v>
                </c:pt>
                <c:pt idx="738">
                  <c:v>36.988239999999998</c:v>
                </c:pt>
                <c:pt idx="739">
                  <c:v>38.72936</c:v>
                </c:pt>
                <c:pt idx="740">
                  <c:v>39.388570000000001</c:v>
                </c:pt>
                <c:pt idx="741">
                  <c:v>39.146190000000004</c:v>
                </c:pt>
                <c:pt idx="742">
                  <c:v>40.028449999999999</c:v>
                </c:pt>
                <c:pt idx="743">
                  <c:v>39.052300000000002</c:v>
                </c:pt>
                <c:pt idx="744">
                  <c:v>38.094369999999998</c:v>
                </c:pt>
                <c:pt idx="745">
                  <c:v>37.094999999999999</c:v>
                </c:pt>
                <c:pt idx="746">
                  <c:v>35.651229999999998</c:v>
                </c:pt>
                <c:pt idx="747">
                  <c:v>34.20478</c:v>
                </c:pt>
                <c:pt idx="748">
                  <c:v>33.281869999999998</c:v>
                </c:pt>
                <c:pt idx="749">
                  <c:v>32.010189999999994</c:v>
                </c:pt>
                <c:pt idx="750">
                  <c:v>32.405940000000001</c:v>
                </c:pt>
                <c:pt idx="751">
                  <c:v>32.140709999999999</c:v>
                </c:pt>
                <c:pt idx="752">
                  <c:v>33.837710000000001</c:v>
                </c:pt>
                <c:pt idx="753">
                  <c:v>32.810459999999999</c:v>
                </c:pt>
                <c:pt idx="754">
                  <c:v>32.206310000000002</c:v>
                </c:pt>
                <c:pt idx="755">
                  <c:v>33.921680000000002</c:v>
                </c:pt>
                <c:pt idx="756">
                  <c:v>32.255830000000003</c:v>
                </c:pt>
                <c:pt idx="757">
                  <c:v>32.255830000000003</c:v>
                </c:pt>
                <c:pt idx="758">
                  <c:v>33.298400000000001</c:v>
                </c:pt>
                <c:pt idx="759">
                  <c:v>33.63711</c:v>
                </c:pt>
                <c:pt idx="760">
                  <c:v>32.547379999999997</c:v>
                </c:pt>
                <c:pt idx="761">
                  <c:v>34.94567</c:v>
                </c:pt>
                <c:pt idx="762">
                  <c:v>32.939810000000001</c:v>
                </c:pt>
                <c:pt idx="763">
                  <c:v>34.420400000000001</c:v>
                </c:pt>
                <c:pt idx="764">
                  <c:v>34.023260000000001</c:v>
                </c:pt>
                <c:pt idx="765">
                  <c:v>35.034689999999998</c:v>
                </c:pt>
                <c:pt idx="766">
                  <c:v>33.770420000000001</c:v>
                </c:pt>
                <c:pt idx="767">
                  <c:v>35.556039999999996</c:v>
                </c:pt>
                <c:pt idx="768">
                  <c:v>33.181129999999996</c:v>
                </c:pt>
                <c:pt idx="769">
                  <c:v>35.220019999999998</c:v>
                </c:pt>
                <c:pt idx="770">
                  <c:v>32.54318</c:v>
                </c:pt>
                <c:pt idx="771">
                  <c:v>34.905479999999997</c:v>
                </c:pt>
                <c:pt idx="772">
                  <c:v>36.534689999999998</c:v>
                </c:pt>
                <c:pt idx="773">
                  <c:v>35.204000000000001</c:v>
                </c:pt>
                <c:pt idx="774">
                  <c:v>35.545970000000004</c:v>
                </c:pt>
                <c:pt idx="775">
                  <c:v>35.707810000000002</c:v>
                </c:pt>
                <c:pt idx="776">
                  <c:v>35.486809999999998</c:v>
                </c:pt>
                <c:pt idx="777">
                  <c:v>34.897890000000004</c:v>
                </c:pt>
                <c:pt idx="778">
                  <c:v>34.897890000000004</c:v>
                </c:pt>
                <c:pt idx="779">
                  <c:v>34.897890000000004</c:v>
                </c:pt>
                <c:pt idx="780">
                  <c:v>36.160629999999998</c:v>
                </c:pt>
                <c:pt idx="781">
                  <c:v>34.928539999999998</c:v>
                </c:pt>
                <c:pt idx="782">
                  <c:v>37.003320000000002</c:v>
                </c:pt>
                <c:pt idx="783">
                  <c:v>37.003320000000002</c:v>
                </c:pt>
                <c:pt idx="784">
                  <c:v>34.679299999999998</c:v>
                </c:pt>
                <c:pt idx="785">
                  <c:v>37.16883</c:v>
                </c:pt>
                <c:pt idx="786">
                  <c:v>37.790909999999997</c:v>
                </c:pt>
                <c:pt idx="787">
                  <c:v>37.930979999999998</c:v>
                </c:pt>
                <c:pt idx="788">
                  <c:v>36.373290000000004</c:v>
                </c:pt>
                <c:pt idx="789">
                  <c:v>37.265990000000002</c:v>
                </c:pt>
                <c:pt idx="790">
                  <c:v>37.249839999999999</c:v>
                </c:pt>
                <c:pt idx="791">
                  <c:v>38.38841</c:v>
                </c:pt>
                <c:pt idx="792">
                  <c:v>35.809600000000003</c:v>
                </c:pt>
                <c:pt idx="793">
                  <c:v>36.437049999999999</c:v>
                </c:pt>
                <c:pt idx="794">
                  <c:v>37.713650000000001</c:v>
                </c:pt>
                <c:pt idx="795">
                  <c:v>37.84346</c:v>
                </c:pt>
                <c:pt idx="796">
                  <c:v>37.51435</c:v>
                </c:pt>
                <c:pt idx="797">
                  <c:v>37.740290000000002</c:v>
                </c:pt>
                <c:pt idx="798">
                  <c:v>37.233989999999999</c:v>
                </c:pt>
                <c:pt idx="799">
                  <c:v>35.07779</c:v>
                </c:pt>
                <c:pt idx="800">
                  <c:v>35.387840000000004</c:v>
                </c:pt>
                <c:pt idx="801">
                  <c:v>37.156950000000002</c:v>
                </c:pt>
                <c:pt idx="802">
                  <c:v>35.159680000000002</c:v>
                </c:pt>
                <c:pt idx="803">
                  <c:v>36.719740000000002</c:v>
                </c:pt>
                <c:pt idx="804">
                  <c:v>37.491819999999997</c:v>
                </c:pt>
                <c:pt idx="805">
                  <c:v>36.85989</c:v>
                </c:pt>
                <c:pt idx="806">
                  <c:v>37.591950000000004</c:v>
                </c:pt>
                <c:pt idx="807">
                  <c:v>38.160359999999997</c:v>
                </c:pt>
                <c:pt idx="808">
                  <c:v>35.058430000000001</c:v>
                </c:pt>
                <c:pt idx="809">
                  <c:v>37.640900000000002</c:v>
                </c:pt>
                <c:pt idx="810">
                  <c:v>38.38908</c:v>
                </c:pt>
                <c:pt idx="811">
                  <c:v>38.890160000000002</c:v>
                </c:pt>
                <c:pt idx="812">
                  <c:v>39.504550000000002</c:v>
                </c:pt>
                <c:pt idx="813">
                  <c:v>38.610399999999998</c:v>
                </c:pt>
                <c:pt idx="814">
                  <c:v>40.553280000000001</c:v>
                </c:pt>
                <c:pt idx="815">
                  <c:v>40.842950000000002</c:v>
                </c:pt>
                <c:pt idx="816">
                  <c:v>40.525959999999998</c:v>
                </c:pt>
                <c:pt idx="817">
                  <c:v>40.292249999999996</c:v>
                </c:pt>
                <c:pt idx="818">
                  <c:v>40.383240000000001</c:v>
                </c:pt>
                <c:pt idx="819">
                  <c:v>41.555110000000006</c:v>
                </c:pt>
                <c:pt idx="820">
                  <c:v>39.023319999999998</c:v>
                </c:pt>
                <c:pt idx="821">
                  <c:v>41.377120000000005</c:v>
                </c:pt>
                <c:pt idx="822">
                  <c:v>41.040110000000006</c:v>
                </c:pt>
                <c:pt idx="823">
                  <c:v>39.593850000000003</c:v>
                </c:pt>
                <c:pt idx="824">
                  <c:v>40.752829999999996</c:v>
                </c:pt>
                <c:pt idx="825">
                  <c:v>42.465299999999999</c:v>
                </c:pt>
                <c:pt idx="826">
                  <c:v>42.14884</c:v>
                </c:pt>
                <c:pt idx="827">
                  <c:v>41.408230000000003</c:v>
                </c:pt>
                <c:pt idx="828">
                  <c:v>41.728580000000001</c:v>
                </c:pt>
                <c:pt idx="829">
                  <c:v>41.681999999999995</c:v>
                </c:pt>
                <c:pt idx="830">
                  <c:v>41.331049999999998</c:v>
                </c:pt>
                <c:pt idx="831">
                  <c:v>42.641589999999994</c:v>
                </c:pt>
                <c:pt idx="832">
                  <c:v>41.89452</c:v>
                </c:pt>
                <c:pt idx="833">
                  <c:v>43.499970000000005</c:v>
                </c:pt>
                <c:pt idx="834">
                  <c:v>43.040150000000004</c:v>
                </c:pt>
                <c:pt idx="835">
                  <c:v>43.718909999999994</c:v>
                </c:pt>
                <c:pt idx="836">
                  <c:v>41.825020000000002</c:v>
                </c:pt>
                <c:pt idx="837">
                  <c:v>44.2089</c:v>
                </c:pt>
                <c:pt idx="838">
                  <c:v>44.050429999999999</c:v>
                </c:pt>
                <c:pt idx="839">
                  <c:v>40.228609999999996</c:v>
                </c:pt>
                <c:pt idx="840">
                  <c:v>43.921049999999994</c:v>
                </c:pt>
                <c:pt idx="841">
                  <c:v>42.746180000000003</c:v>
                </c:pt>
                <c:pt idx="842">
                  <c:v>42.307319999999997</c:v>
                </c:pt>
                <c:pt idx="843">
                  <c:v>42.948819999999998</c:v>
                </c:pt>
                <c:pt idx="844">
                  <c:v>43.802399999999999</c:v>
                </c:pt>
                <c:pt idx="845">
                  <c:v>40.967340000000007</c:v>
                </c:pt>
                <c:pt idx="846">
                  <c:v>43.477820000000001</c:v>
                </c:pt>
                <c:pt idx="847">
                  <c:v>42.850069999999995</c:v>
                </c:pt>
                <c:pt idx="848">
                  <c:v>42.038280000000007</c:v>
                </c:pt>
                <c:pt idx="849">
                  <c:v>44.073129999999999</c:v>
                </c:pt>
                <c:pt idx="850">
                  <c:v>40.392289999999996</c:v>
                </c:pt>
                <c:pt idx="851">
                  <c:v>43.383329999999994</c:v>
                </c:pt>
                <c:pt idx="852">
                  <c:v>43.383329999999994</c:v>
                </c:pt>
                <c:pt idx="853">
                  <c:v>40.820630000000001</c:v>
                </c:pt>
                <c:pt idx="854">
                  <c:v>42.3626</c:v>
                </c:pt>
                <c:pt idx="855">
                  <c:v>40.077600000000004</c:v>
                </c:pt>
                <c:pt idx="856">
                  <c:v>44.648130000000002</c:v>
                </c:pt>
                <c:pt idx="857">
                  <c:v>43.786120000000004</c:v>
                </c:pt>
                <c:pt idx="858">
                  <c:v>43.245339999999999</c:v>
                </c:pt>
                <c:pt idx="859">
                  <c:v>44.072809999999997</c:v>
                </c:pt>
                <c:pt idx="860">
                  <c:v>43.602679999999999</c:v>
                </c:pt>
                <c:pt idx="861">
                  <c:v>44.290060000000004</c:v>
                </c:pt>
                <c:pt idx="862">
                  <c:v>44.475090000000002</c:v>
                </c:pt>
                <c:pt idx="863">
                  <c:v>44.088380000000001</c:v>
                </c:pt>
                <c:pt idx="864">
                  <c:v>44.782269999999997</c:v>
                </c:pt>
                <c:pt idx="865">
                  <c:v>45.104170000000003</c:v>
                </c:pt>
                <c:pt idx="866">
                  <c:v>46.003770000000003</c:v>
                </c:pt>
                <c:pt idx="867">
                  <c:v>45.510950000000001</c:v>
                </c:pt>
                <c:pt idx="868">
                  <c:v>44.218490000000003</c:v>
                </c:pt>
                <c:pt idx="869">
                  <c:v>43.675829999999998</c:v>
                </c:pt>
                <c:pt idx="870">
                  <c:v>46.13841</c:v>
                </c:pt>
                <c:pt idx="871">
                  <c:v>45.573839999999997</c:v>
                </c:pt>
                <c:pt idx="872">
                  <c:v>44.68683</c:v>
                </c:pt>
                <c:pt idx="873">
                  <c:v>44.998410000000007</c:v>
                </c:pt>
                <c:pt idx="874">
                  <c:v>45.491629999999994</c:v>
                </c:pt>
                <c:pt idx="875">
                  <c:v>46.754510000000003</c:v>
                </c:pt>
                <c:pt idx="876">
                  <c:v>46.730359999999997</c:v>
                </c:pt>
                <c:pt idx="877">
                  <c:v>46.413199999999996</c:v>
                </c:pt>
                <c:pt idx="878">
                  <c:v>45.222120000000004</c:v>
                </c:pt>
                <c:pt idx="879">
                  <c:v>44.693100000000001</c:v>
                </c:pt>
                <c:pt idx="880">
                  <c:v>42.396999999999998</c:v>
                </c:pt>
                <c:pt idx="881">
                  <c:v>42.357700000000001</c:v>
                </c:pt>
                <c:pt idx="882">
                  <c:v>43.322449999999996</c:v>
                </c:pt>
                <c:pt idx="883">
                  <c:v>41.245550000000001</c:v>
                </c:pt>
                <c:pt idx="884">
                  <c:v>42.11927</c:v>
                </c:pt>
                <c:pt idx="885">
                  <c:v>42.437439999999995</c:v>
                </c:pt>
                <c:pt idx="886">
                  <c:v>42.827520000000007</c:v>
                </c:pt>
                <c:pt idx="887">
                  <c:v>42.241890000000005</c:v>
                </c:pt>
                <c:pt idx="888">
                  <c:v>42.127079999999999</c:v>
                </c:pt>
                <c:pt idx="889">
                  <c:v>43.572129999999994</c:v>
                </c:pt>
                <c:pt idx="890">
                  <c:v>43.472630000000002</c:v>
                </c:pt>
                <c:pt idx="891">
                  <c:v>44.790579999999999</c:v>
                </c:pt>
                <c:pt idx="892">
                  <c:v>42.759589999999996</c:v>
                </c:pt>
                <c:pt idx="893">
                  <c:v>44.737439999999999</c:v>
                </c:pt>
                <c:pt idx="894">
                  <c:v>44.142920000000004</c:v>
                </c:pt>
                <c:pt idx="895">
                  <c:v>44.239899999999999</c:v>
                </c:pt>
                <c:pt idx="896">
                  <c:v>43.0259</c:v>
                </c:pt>
                <c:pt idx="897">
                  <c:v>43.927600000000005</c:v>
                </c:pt>
                <c:pt idx="898">
                  <c:v>43.134430000000002</c:v>
                </c:pt>
                <c:pt idx="899">
                  <c:v>42.875829999999993</c:v>
                </c:pt>
                <c:pt idx="900">
                  <c:v>44.812209999999993</c:v>
                </c:pt>
                <c:pt idx="901">
                  <c:v>42.675510000000003</c:v>
                </c:pt>
                <c:pt idx="902">
                  <c:v>40.345300000000002</c:v>
                </c:pt>
                <c:pt idx="903">
                  <c:v>38.272469999999998</c:v>
                </c:pt>
                <c:pt idx="904">
                  <c:v>42.540290000000006</c:v>
                </c:pt>
                <c:pt idx="905">
                  <c:v>41.054539999999996</c:v>
                </c:pt>
                <c:pt idx="906">
                  <c:v>37.729340000000001</c:v>
                </c:pt>
                <c:pt idx="907">
                  <c:v>38.448079999999997</c:v>
                </c:pt>
                <c:pt idx="908">
                  <c:v>38.615729999999999</c:v>
                </c:pt>
                <c:pt idx="909">
                  <c:v>38.665869999999998</c:v>
                </c:pt>
                <c:pt idx="910">
                  <c:v>38.70241</c:v>
                </c:pt>
                <c:pt idx="911">
                  <c:v>37.550539999999998</c:v>
                </c:pt>
                <c:pt idx="912">
                  <c:v>39.002139999999997</c:v>
                </c:pt>
                <c:pt idx="913">
                  <c:v>39.01596</c:v>
                </c:pt>
                <c:pt idx="914">
                  <c:v>39.063420000000001</c:v>
                </c:pt>
                <c:pt idx="915">
                  <c:v>38.07826</c:v>
                </c:pt>
                <c:pt idx="916">
                  <c:v>39.859270000000002</c:v>
                </c:pt>
                <c:pt idx="917">
                  <c:v>35.475909999999999</c:v>
                </c:pt>
                <c:pt idx="918">
                  <c:v>38.26914</c:v>
                </c:pt>
                <c:pt idx="919">
                  <c:v>39.225410000000004</c:v>
                </c:pt>
                <c:pt idx="920">
                  <c:v>37.092600000000004</c:v>
                </c:pt>
                <c:pt idx="921">
                  <c:v>33.70402</c:v>
                </c:pt>
                <c:pt idx="922">
                  <c:v>33.924369999999996</c:v>
                </c:pt>
                <c:pt idx="923">
                  <c:v>33.853169999999999</c:v>
                </c:pt>
                <c:pt idx="924">
                  <c:v>33.573349999999998</c:v>
                </c:pt>
                <c:pt idx="925">
                  <c:v>33.747330000000005</c:v>
                </c:pt>
                <c:pt idx="926">
                  <c:v>33.683419999999998</c:v>
                </c:pt>
                <c:pt idx="927">
                  <c:v>35.392949999999999</c:v>
                </c:pt>
                <c:pt idx="928">
                  <c:v>33.952220000000004</c:v>
                </c:pt>
                <c:pt idx="929">
                  <c:v>33.951140000000002</c:v>
                </c:pt>
                <c:pt idx="930">
                  <c:v>34.91554</c:v>
                </c:pt>
                <c:pt idx="931">
                  <c:v>33.662120000000002</c:v>
                </c:pt>
                <c:pt idx="932">
                  <c:v>30.689699999999998</c:v>
                </c:pt>
                <c:pt idx="933">
                  <c:v>31.36861</c:v>
                </c:pt>
                <c:pt idx="934">
                  <c:v>32.295529999999999</c:v>
                </c:pt>
                <c:pt idx="935">
                  <c:v>34.887590000000003</c:v>
                </c:pt>
                <c:pt idx="936">
                  <c:v>35.095189999999995</c:v>
                </c:pt>
                <c:pt idx="937">
                  <c:v>33.867959999999997</c:v>
                </c:pt>
                <c:pt idx="938">
                  <c:v>34.337949999999999</c:v>
                </c:pt>
                <c:pt idx="939">
                  <c:v>35.006010000000003</c:v>
                </c:pt>
                <c:pt idx="940">
                  <c:v>32.394710000000003</c:v>
                </c:pt>
                <c:pt idx="941">
                  <c:v>33.09516</c:v>
                </c:pt>
                <c:pt idx="942">
                  <c:v>30.354110000000002</c:v>
                </c:pt>
                <c:pt idx="943">
                  <c:v>31.932600000000001</c:v>
                </c:pt>
                <c:pt idx="944">
                  <c:v>34.032080000000001</c:v>
                </c:pt>
                <c:pt idx="945">
                  <c:v>32.381450000000001</c:v>
                </c:pt>
                <c:pt idx="946">
                  <c:v>32.450430000000004</c:v>
                </c:pt>
                <c:pt idx="947">
                  <c:v>34.122900000000001</c:v>
                </c:pt>
                <c:pt idx="948">
                  <c:v>33.442140000000002</c:v>
                </c:pt>
                <c:pt idx="949">
                  <c:v>33.264609999999998</c:v>
                </c:pt>
                <c:pt idx="950">
                  <c:v>33.850100000000005</c:v>
                </c:pt>
                <c:pt idx="951">
                  <c:v>34.542189999999998</c:v>
                </c:pt>
                <c:pt idx="952">
                  <c:v>33.707529999999998</c:v>
                </c:pt>
                <c:pt idx="953">
                  <c:v>33.707529999999998</c:v>
                </c:pt>
                <c:pt idx="954">
                  <c:v>34.330239999999996</c:v>
                </c:pt>
                <c:pt idx="955">
                  <c:v>33.173859999999998</c:v>
                </c:pt>
                <c:pt idx="956">
                  <c:v>35.15587</c:v>
                </c:pt>
                <c:pt idx="957">
                  <c:v>34.149160000000002</c:v>
                </c:pt>
                <c:pt idx="958">
                  <c:v>35.589649999999999</c:v>
                </c:pt>
                <c:pt idx="959">
                  <c:v>35.714880000000001</c:v>
                </c:pt>
                <c:pt idx="960">
                  <c:v>35.442590000000003</c:v>
                </c:pt>
                <c:pt idx="961">
                  <c:v>35.635899999999999</c:v>
                </c:pt>
                <c:pt idx="962">
                  <c:v>34.70205</c:v>
                </c:pt>
                <c:pt idx="963">
                  <c:v>35.287220000000005</c:v>
                </c:pt>
              </c:numCache>
            </c:numRef>
          </c:val>
          <c:smooth val="0"/>
          <c:extLst>
            <c:ext xmlns:c16="http://schemas.microsoft.com/office/drawing/2014/chart" uri="{C3380CC4-5D6E-409C-BE32-E72D297353CC}">
              <c16:uniqueId val="{00000009-EBC4-4222-8B88-73469225685A}"/>
            </c:ext>
          </c:extLst>
        </c:ser>
        <c:dLbls>
          <c:showLegendKey val="0"/>
          <c:showVal val="0"/>
          <c:showCatName val="0"/>
          <c:showSerName val="0"/>
          <c:showPercent val="0"/>
          <c:showBubbleSize val="0"/>
        </c:dLbls>
        <c:marker val="1"/>
        <c:smooth val="0"/>
        <c:axId val="1701951008"/>
        <c:axId val="1701959168"/>
      </c:lineChart>
      <c:dateAx>
        <c:axId val="1701942304"/>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01948288"/>
        <c:crosses val="autoZero"/>
        <c:auto val="1"/>
        <c:lblOffset val="100"/>
        <c:baseTimeUnit val="days"/>
      </c:dateAx>
      <c:valAx>
        <c:axId val="1701948288"/>
        <c:scaling>
          <c:orientation val="minMax"/>
          <c:max val="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sz="900"/>
                  <a:t>տոկոսային կետ</a:t>
                </a:r>
                <a:endParaRPr lang="en-US" sz="900"/>
              </a:p>
            </c:rich>
          </c:tx>
          <c:layout>
            <c:manualLayout>
              <c:xMode val="edge"/>
              <c:yMode val="edge"/>
              <c:x val="0"/>
              <c:y val="0.229790165118249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1942304"/>
        <c:crosses val="autoZero"/>
        <c:crossBetween val="between"/>
        <c:majorUnit val="5"/>
      </c:valAx>
      <c:valAx>
        <c:axId val="1701959168"/>
        <c:scaling>
          <c:orientation val="minMax"/>
          <c:max val="1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1951008"/>
        <c:crosses val="max"/>
        <c:crossBetween val="between"/>
        <c:majorUnit val="20"/>
        <c:minorUnit val="5"/>
      </c:valAx>
      <c:dateAx>
        <c:axId val="1701951008"/>
        <c:scaling>
          <c:orientation val="minMax"/>
        </c:scaling>
        <c:delete val="1"/>
        <c:axPos val="b"/>
        <c:numFmt formatCode="m\/d\/yyyy" sourceLinked="1"/>
        <c:majorTickMark val="out"/>
        <c:minorTickMark val="none"/>
        <c:tickLblPos val="nextTo"/>
        <c:crossAx val="1701959168"/>
        <c:crosses val="autoZero"/>
        <c:auto val="1"/>
        <c:lblOffset val="100"/>
        <c:baseTimeUnit val="days"/>
      </c:dateAx>
      <c:spPr>
        <a:noFill/>
        <a:ln>
          <a:noFill/>
        </a:ln>
        <a:effectLst/>
      </c:spPr>
    </c:plotArea>
    <c:legend>
      <c:legendPos val="b"/>
      <c:layout>
        <c:manualLayout>
          <c:xMode val="edge"/>
          <c:yMode val="edge"/>
          <c:x val="0"/>
          <c:y val="0.77018098247630007"/>
          <c:w val="0.96221261097200095"/>
          <c:h val="0.22407354208560756"/>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90033979737642"/>
          <c:y val="6.6493995043935883E-2"/>
          <c:w val="0.86270095598017105"/>
          <c:h val="0.5922537355309736"/>
        </c:manualLayout>
      </c:layout>
      <c:barChart>
        <c:barDir val="col"/>
        <c:grouping val="stacked"/>
        <c:varyColors val="0"/>
        <c:ser>
          <c:idx val="1"/>
          <c:order val="1"/>
          <c:tx>
            <c:strRef>
              <c:f>Sheet1!$D$1</c:f>
              <c:strCache>
                <c:ptCount val="1"/>
                <c:pt idx="0">
                  <c:v>Զուտ հարկեր</c:v>
                </c:pt>
              </c:strCache>
            </c:strRef>
          </c:tx>
          <c:spPr>
            <a:solidFill>
              <a:srgbClr val="4472C4">
                <a:lumMod val="50000"/>
              </a:srgbClr>
            </a:solidFill>
            <a:ln>
              <a:noFill/>
            </a:ln>
            <a:effectLst/>
          </c:spPr>
          <c:invertIfNegative val="0"/>
          <c:cat>
            <c:strRef>
              <c:f>Sheet1!$B$2:$B$7</c:f>
              <c:strCache>
                <c:ptCount val="6"/>
                <c:pt idx="0">
                  <c:v>I եռ.</c:v>
                </c:pt>
                <c:pt idx="1">
                  <c:v>I-II եռ.</c:v>
                </c:pt>
                <c:pt idx="2">
                  <c:v>I-III եռ.</c:v>
                </c:pt>
                <c:pt idx="3">
                  <c:v>I-IV եռ.</c:v>
                </c:pt>
                <c:pt idx="4">
                  <c:v>I եռ.</c:v>
                </c:pt>
                <c:pt idx="5">
                  <c:v>I-II եռ.</c:v>
                </c:pt>
              </c:strCache>
            </c:strRef>
          </c:cat>
          <c:val>
            <c:numRef>
              <c:f>Sheet1!$D$2:$D$7</c:f>
              <c:numCache>
                <c:formatCode>0.0</c:formatCode>
                <c:ptCount val="6"/>
                <c:pt idx="0">
                  <c:v>0.27702488876370829</c:v>
                </c:pt>
                <c:pt idx="1">
                  <c:v>0.8855508278744606</c:v>
                </c:pt>
                <c:pt idx="2">
                  <c:v>1.0057196232384971</c:v>
                </c:pt>
                <c:pt idx="3">
                  <c:v>1.2055953115529729</c:v>
                </c:pt>
                <c:pt idx="4">
                  <c:v>1.5440788583636966</c:v>
                </c:pt>
                <c:pt idx="5">
                  <c:v>1.8821620637792893</c:v>
                </c:pt>
              </c:numCache>
            </c:numRef>
          </c:val>
          <c:extLst>
            <c:ext xmlns:c16="http://schemas.microsoft.com/office/drawing/2014/chart" uri="{C3380CC4-5D6E-409C-BE32-E72D297353CC}">
              <c16:uniqueId val="{00000000-447D-484A-B0EA-82C80DD84858}"/>
            </c:ext>
          </c:extLst>
        </c:ser>
        <c:ser>
          <c:idx val="2"/>
          <c:order val="2"/>
          <c:tx>
            <c:strRef>
              <c:f>Sheet1!$E$1</c:f>
              <c:strCache>
                <c:ptCount val="1"/>
                <c:pt idx="0">
                  <c:v>Արդյունաբերություն</c:v>
                </c:pt>
              </c:strCache>
            </c:strRef>
          </c:tx>
          <c:spPr>
            <a:solidFill>
              <a:srgbClr val="4472C4">
                <a:lumMod val="40000"/>
                <a:lumOff val="60000"/>
              </a:srgbClr>
            </a:solidFill>
            <a:ln>
              <a:noFill/>
            </a:ln>
            <a:effectLst/>
          </c:spPr>
          <c:invertIfNegative val="0"/>
          <c:cat>
            <c:strRef>
              <c:f>Sheet1!$B$2:$B$7</c:f>
              <c:strCache>
                <c:ptCount val="6"/>
                <c:pt idx="0">
                  <c:v>I եռ.</c:v>
                </c:pt>
                <c:pt idx="1">
                  <c:v>I-II եռ.</c:v>
                </c:pt>
                <c:pt idx="2">
                  <c:v>I-III եռ.</c:v>
                </c:pt>
                <c:pt idx="3">
                  <c:v>I-IV եռ.</c:v>
                </c:pt>
                <c:pt idx="4">
                  <c:v>I եռ.</c:v>
                </c:pt>
                <c:pt idx="5">
                  <c:v>I-II եռ.</c:v>
                </c:pt>
              </c:strCache>
            </c:strRef>
          </c:cat>
          <c:val>
            <c:numRef>
              <c:f>Sheet1!$E$2:$E$7</c:f>
              <c:numCache>
                <c:formatCode>0.0</c:formatCode>
                <c:ptCount val="6"/>
                <c:pt idx="0">
                  <c:v>0.886909981601117</c:v>
                </c:pt>
                <c:pt idx="1">
                  <c:v>0.9993129052457852</c:v>
                </c:pt>
                <c:pt idx="2">
                  <c:v>1.1994340894202902</c:v>
                </c:pt>
                <c:pt idx="3">
                  <c:v>1.373445596986792</c:v>
                </c:pt>
                <c:pt idx="4">
                  <c:v>0.83057930440231997</c:v>
                </c:pt>
                <c:pt idx="5">
                  <c:v>5.5422969917884132E-2</c:v>
                </c:pt>
              </c:numCache>
            </c:numRef>
          </c:val>
          <c:extLst>
            <c:ext xmlns:c16="http://schemas.microsoft.com/office/drawing/2014/chart" uri="{C3380CC4-5D6E-409C-BE32-E72D297353CC}">
              <c16:uniqueId val="{00000001-447D-484A-B0EA-82C80DD84858}"/>
            </c:ext>
          </c:extLst>
        </c:ser>
        <c:ser>
          <c:idx val="3"/>
          <c:order val="3"/>
          <c:tx>
            <c:strRef>
              <c:f>Sheet1!$F$1</c:f>
              <c:strCache>
                <c:ptCount val="1"/>
                <c:pt idx="0">
                  <c:v>Գյուղատնտեսություն</c:v>
                </c:pt>
              </c:strCache>
            </c:strRef>
          </c:tx>
          <c:spPr>
            <a:solidFill>
              <a:schemeClr val="accent4"/>
            </a:solidFill>
            <a:ln>
              <a:noFill/>
            </a:ln>
            <a:effectLst/>
          </c:spPr>
          <c:invertIfNegative val="0"/>
          <c:cat>
            <c:strRef>
              <c:f>Sheet1!$B$2:$B$7</c:f>
              <c:strCache>
                <c:ptCount val="6"/>
                <c:pt idx="0">
                  <c:v>I եռ.</c:v>
                </c:pt>
                <c:pt idx="1">
                  <c:v>I-II եռ.</c:v>
                </c:pt>
                <c:pt idx="2">
                  <c:v>I-III եռ.</c:v>
                </c:pt>
                <c:pt idx="3">
                  <c:v>I-IV եռ.</c:v>
                </c:pt>
                <c:pt idx="4">
                  <c:v>I եռ.</c:v>
                </c:pt>
                <c:pt idx="5">
                  <c:v>I-II եռ.</c:v>
                </c:pt>
              </c:strCache>
            </c:strRef>
          </c:cat>
          <c:val>
            <c:numRef>
              <c:f>Sheet1!$F$2:$F$7</c:f>
              <c:numCache>
                <c:formatCode>0.0</c:formatCode>
                <c:ptCount val="6"/>
                <c:pt idx="0">
                  <c:v>-0.14509680920538381</c:v>
                </c:pt>
                <c:pt idx="1">
                  <c:v>-0.10956902859137937</c:v>
                </c:pt>
                <c:pt idx="2">
                  <c:v>-8.2533576778274415E-2</c:v>
                </c:pt>
                <c:pt idx="3">
                  <c:v>-7.2739775827337413E-2</c:v>
                </c:pt>
                <c:pt idx="4">
                  <c:v>2.8603472838389123E-2</c:v>
                </c:pt>
                <c:pt idx="5">
                  <c:v>-1.6421765977561825E-2</c:v>
                </c:pt>
              </c:numCache>
            </c:numRef>
          </c:val>
          <c:extLst>
            <c:ext xmlns:c16="http://schemas.microsoft.com/office/drawing/2014/chart" uri="{C3380CC4-5D6E-409C-BE32-E72D297353CC}">
              <c16:uniqueId val="{00000002-447D-484A-B0EA-82C80DD84858}"/>
            </c:ext>
          </c:extLst>
        </c:ser>
        <c:ser>
          <c:idx val="4"/>
          <c:order val="4"/>
          <c:tx>
            <c:strRef>
              <c:f>Sheet1!$G$1</c:f>
              <c:strCache>
                <c:ptCount val="1"/>
                <c:pt idx="0">
                  <c:v>Շինարարություն</c:v>
                </c:pt>
              </c:strCache>
            </c:strRef>
          </c:tx>
          <c:spPr>
            <a:solidFill>
              <a:sysClr val="window" lastClr="FFFFFF">
                <a:lumMod val="65000"/>
              </a:sysClr>
            </a:solidFill>
            <a:ln>
              <a:noFill/>
            </a:ln>
            <a:effectLst/>
          </c:spPr>
          <c:invertIfNegative val="0"/>
          <c:cat>
            <c:strRef>
              <c:f>Sheet1!$B$2:$B$7</c:f>
              <c:strCache>
                <c:ptCount val="6"/>
                <c:pt idx="0">
                  <c:v>I եռ.</c:v>
                </c:pt>
                <c:pt idx="1">
                  <c:v>I-II եռ.</c:v>
                </c:pt>
                <c:pt idx="2">
                  <c:v>I-III եռ.</c:v>
                </c:pt>
                <c:pt idx="3">
                  <c:v>I-IV եռ.</c:v>
                </c:pt>
                <c:pt idx="4">
                  <c:v>I եռ.</c:v>
                </c:pt>
                <c:pt idx="5">
                  <c:v>I-II եռ.</c:v>
                </c:pt>
              </c:strCache>
            </c:strRef>
          </c:cat>
          <c:val>
            <c:numRef>
              <c:f>Sheet1!$G$2:$G$7</c:f>
              <c:numCache>
                <c:formatCode>0.0</c:formatCode>
                <c:ptCount val="6"/>
                <c:pt idx="0">
                  <c:v>0.33069168592729387</c:v>
                </c:pt>
                <c:pt idx="1">
                  <c:v>0.92410690554274733</c:v>
                </c:pt>
                <c:pt idx="2">
                  <c:v>1.0779779083607202</c:v>
                </c:pt>
                <c:pt idx="3">
                  <c:v>1.2199322968333937</c:v>
                </c:pt>
                <c:pt idx="4">
                  <c:v>0.55606786713120426</c:v>
                </c:pt>
                <c:pt idx="5">
                  <c:v>0.84113397886912711</c:v>
                </c:pt>
              </c:numCache>
            </c:numRef>
          </c:val>
          <c:extLst>
            <c:ext xmlns:c16="http://schemas.microsoft.com/office/drawing/2014/chart" uri="{C3380CC4-5D6E-409C-BE32-E72D297353CC}">
              <c16:uniqueId val="{00000003-447D-484A-B0EA-82C80DD84858}"/>
            </c:ext>
          </c:extLst>
        </c:ser>
        <c:ser>
          <c:idx val="5"/>
          <c:order val="5"/>
          <c:tx>
            <c:strRef>
              <c:f>Sheet1!$H$1</c:f>
              <c:strCache>
                <c:ptCount val="1"/>
                <c:pt idx="0">
                  <c:v>Ծառայություններ</c:v>
                </c:pt>
              </c:strCache>
            </c:strRef>
          </c:tx>
          <c:spPr>
            <a:solidFill>
              <a:srgbClr val="ED7D31">
                <a:lumMod val="60000"/>
                <a:lumOff val="40000"/>
              </a:srgbClr>
            </a:solidFill>
            <a:ln>
              <a:noFill/>
            </a:ln>
            <a:effectLst/>
          </c:spPr>
          <c:invertIfNegative val="0"/>
          <c:cat>
            <c:strRef>
              <c:f>Sheet1!$B$2:$B$7</c:f>
              <c:strCache>
                <c:ptCount val="6"/>
                <c:pt idx="0">
                  <c:v>I եռ.</c:v>
                </c:pt>
                <c:pt idx="1">
                  <c:v>I-II եռ.</c:v>
                </c:pt>
                <c:pt idx="2">
                  <c:v>I-III եռ.</c:v>
                </c:pt>
                <c:pt idx="3">
                  <c:v>I-IV եռ.</c:v>
                </c:pt>
                <c:pt idx="4">
                  <c:v>I եռ.</c:v>
                </c:pt>
                <c:pt idx="5">
                  <c:v>I-II եռ.</c:v>
                </c:pt>
              </c:strCache>
            </c:strRef>
          </c:cat>
          <c:val>
            <c:numRef>
              <c:f>Sheet1!$H$2:$H$7</c:f>
              <c:numCache>
                <c:formatCode>0.0</c:formatCode>
                <c:ptCount val="6"/>
                <c:pt idx="0">
                  <c:v>6.4539158544666124</c:v>
                </c:pt>
                <c:pt idx="1">
                  <c:v>9.0416089430342819</c:v>
                </c:pt>
                <c:pt idx="2">
                  <c:v>9.2243849077892168</c:v>
                </c:pt>
                <c:pt idx="3">
                  <c:v>9.3966252638237346</c:v>
                </c:pt>
                <c:pt idx="4">
                  <c:v>9.1030307639070482</c:v>
                </c:pt>
                <c:pt idx="5">
                  <c:v>7.669150075739136</c:v>
                </c:pt>
              </c:numCache>
            </c:numRef>
          </c:val>
          <c:extLst>
            <c:ext xmlns:c16="http://schemas.microsoft.com/office/drawing/2014/chart" uri="{C3380CC4-5D6E-409C-BE32-E72D297353CC}">
              <c16:uniqueId val="{00000004-447D-484A-B0EA-82C80DD84858}"/>
            </c:ext>
          </c:extLst>
        </c:ser>
        <c:dLbls>
          <c:showLegendKey val="0"/>
          <c:showVal val="0"/>
          <c:showCatName val="0"/>
          <c:showSerName val="0"/>
          <c:showPercent val="0"/>
          <c:showBubbleSize val="0"/>
        </c:dLbls>
        <c:gapWidth val="219"/>
        <c:overlap val="100"/>
        <c:axId val="219419392"/>
        <c:axId val="219420928"/>
      </c:barChart>
      <c:lineChart>
        <c:grouping val="standard"/>
        <c:varyColors val="0"/>
        <c:ser>
          <c:idx val="0"/>
          <c:order val="0"/>
          <c:tx>
            <c:strRef>
              <c:f>Sheet1!$C$1</c:f>
              <c:strCache>
                <c:ptCount val="1"/>
                <c:pt idx="0">
                  <c:v>ՀՆԱ</c:v>
                </c:pt>
              </c:strCache>
            </c:strRef>
          </c:tx>
          <c:spPr>
            <a:ln w="28575" cap="rnd">
              <a:solidFill>
                <a:srgbClr val="4472C4">
                  <a:lumMod val="50000"/>
                </a:srgbClr>
              </a:solidFill>
              <a:round/>
            </a:ln>
            <a:effectLst/>
          </c:spPr>
          <c:marker>
            <c:symbol val="circle"/>
            <c:size val="5"/>
            <c:spPr>
              <a:solidFill>
                <a:srgbClr val="4472C4">
                  <a:lumMod val="50000"/>
                </a:srgbClr>
              </a:solidFill>
              <a:ln w="9525">
                <a:solidFill>
                  <a:srgbClr val="4472C4">
                    <a:lumMod val="50000"/>
                  </a:srgbClr>
                </a:solidFill>
              </a:ln>
              <a:effectLst/>
            </c:spPr>
          </c:marker>
          <c:dLbls>
            <c:spPr>
              <a:noFill/>
              <a:ln>
                <a:noFill/>
              </a:ln>
              <a:effectLst/>
            </c:spPr>
            <c:txPr>
              <a:bodyPr rot="0" vert="horz"/>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Sheet1!$A$2:$B$7</c:f>
              <c:multiLvlStrCache>
                <c:ptCount val="6"/>
                <c:lvl>
                  <c:pt idx="0">
                    <c:v>I եռ.</c:v>
                  </c:pt>
                  <c:pt idx="1">
                    <c:v>I-II եռ.</c:v>
                  </c:pt>
                  <c:pt idx="2">
                    <c:v>I-III եռ.</c:v>
                  </c:pt>
                  <c:pt idx="3">
                    <c:v>I-IV եռ.</c:v>
                  </c:pt>
                  <c:pt idx="4">
                    <c:v>I եռ.</c:v>
                  </c:pt>
                  <c:pt idx="5">
                    <c:v>I-II եռ.</c:v>
                  </c:pt>
                </c:lvl>
                <c:lvl>
                  <c:pt idx="0">
                    <c:v>2022</c:v>
                  </c:pt>
                  <c:pt idx="4">
                    <c:v>2023</c:v>
                  </c:pt>
                </c:lvl>
              </c:multiLvlStrCache>
            </c:multiLvlStrRef>
          </c:cat>
          <c:val>
            <c:numRef>
              <c:f>Sheet1!$C$2:$C$7</c:f>
              <c:numCache>
                <c:formatCode>0.0</c:formatCode>
                <c:ptCount val="6"/>
                <c:pt idx="0">
                  <c:v>8.7675438049566168</c:v>
                </c:pt>
                <c:pt idx="1">
                  <c:v>11.096956833381142</c:v>
                </c:pt>
                <c:pt idx="2">
                  <c:v>12.598994459596952</c:v>
                </c:pt>
                <c:pt idx="3">
                  <c:v>12.628802702124545</c:v>
                </c:pt>
                <c:pt idx="4">
                  <c:v>12.099999999999994</c:v>
                </c:pt>
                <c:pt idx="5">
                  <c:v>10.498915401301517</c:v>
                </c:pt>
              </c:numCache>
            </c:numRef>
          </c:val>
          <c:smooth val="0"/>
          <c:extLst>
            <c:ext xmlns:c16="http://schemas.microsoft.com/office/drawing/2014/chart" uri="{C3380CC4-5D6E-409C-BE32-E72D297353CC}">
              <c16:uniqueId val="{00000005-447D-484A-B0EA-82C80DD84858}"/>
            </c:ext>
          </c:extLst>
        </c:ser>
        <c:dLbls>
          <c:showLegendKey val="0"/>
          <c:showVal val="0"/>
          <c:showCatName val="0"/>
          <c:showSerName val="0"/>
          <c:showPercent val="0"/>
          <c:showBubbleSize val="0"/>
        </c:dLbls>
        <c:marker val="1"/>
        <c:smooth val="0"/>
        <c:axId val="219419392"/>
        <c:axId val="219420928"/>
      </c:lineChart>
      <c:catAx>
        <c:axId val="21941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n-US"/>
          </a:p>
        </c:txPr>
        <c:crossAx val="219420928"/>
        <c:crosses val="autoZero"/>
        <c:auto val="1"/>
        <c:lblAlgn val="ctr"/>
        <c:lblOffset val="0"/>
        <c:noMultiLvlLbl val="0"/>
      </c:catAx>
      <c:valAx>
        <c:axId val="219420928"/>
        <c:scaling>
          <c:orientation val="minMax"/>
          <c:max val="14"/>
          <c:min val="-1.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219419392"/>
        <c:crosses val="autoZero"/>
        <c:crossBetween val="between"/>
        <c:majorUnit val="1.5"/>
        <c:minorUnit val="1"/>
      </c:valAx>
      <c:spPr>
        <a:noFill/>
        <a:ln>
          <a:noFill/>
        </a:ln>
        <a:effectLst/>
      </c:spPr>
    </c:plotArea>
    <c:legend>
      <c:legendPos val="b"/>
      <c:layout>
        <c:manualLayout>
          <c:xMode val="edge"/>
          <c:yMode val="edge"/>
          <c:x val="4.8648018769902046E-2"/>
          <c:y val="0.76343985242936374"/>
          <c:w val="0.95135189902732742"/>
          <c:h val="0.23208228615092558"/>
        </c:manualLayout>
      </c:layout>
      <c:overlay val="0"/>
      <c:spPr>
        <a:noFill/>
        <a:ln>
          <a:noFill/>
        </a:ln>
        <a:effectLst/>
      </c:spPr>
      <c:txPr>
        <a:bodyPr rot="0" vert="horz"/>
        <a:lstStyle/>
        <a:p>
          <a:pPr>
            <a:defRPr sz="6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solidFill>
        <a:srgbClr val="E7E6E6"/>
      </a:solidFill>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7611554748301"/>
          <c:y val="7.0365212113800715E-2"/>
          <c:w val="0.87260540551091115"/>
          <c:h val="0.65950464129861253"/>
        </c:manualLayout>
      </c:layout>
      <c:barChart>
        <c:barDir val="col"/>
        <c:grouping val="stacked"/>
        <c:varyColors val="0"/>
        <c:ser>
          <c:idx val="1"/>
          <c:order val="1"/>
          <c:tx>
            <c:strRef>
              <c:f>Sheet1!$D$1</c:f>
              <c:strCache>
                <c:ptCount val="1"/>
                <c:pt idx="0">
                  <c:v>Պետական սպառում</c:v>
                </c:pt>
              </c:strCache>
            </c:strRef>
          </c:tx>
          <c:spPr>
            <a:solidFill>
              <a:srgbClr val="ED7D31"/>
            </a:solidFill>
            <a:ln>
              <a:noFill/>
            </a:ln>
            <a:effectLst/>
          </c:spPr>
          <c:invertIfNegative val="0"/>
          <c:cat>
            <c:strRef>
              <c:f>Sheet1!$B$2:$B$7</c:f>
              <c:strCache>
                <c:ptCount val="6"/>
                <c:pt idx="0">
                  <c:v>I եռ.</c:v>
                </c:pt>
                <c:pt idx="1">
                  <c:v>I-II եռ.</c:v>
                </c:pt>
                <c:pt idx="2">
                  <c:v>I-III եռ.</c:v>
                </c:pt>
                <c:pt idx="3">
                  <c:v>I-IV եռ.</c:v>
                </c:pt>
                <c:pt idx="4">
                  <c:v>I եռ.</c:v>
                </c:pt>
                <c:pt idx="5">
                  <c:v>I-II եռ.</c:v>
                </c:pt>
              </c:strCache>
            </c:strRef>
          </c:cat>
          <c:val>
            <c:numRef>
              <c:f>Sheet1!$D$2:$D$7</c:f>
              <c:numCache>
                <c:formatCode>0.0</c:formatCode>
                <c:ptCount val="6"/>
                <c:pt idx="0">
                  <c:v>-1.3683216301833729</c:v>
                </c:pt>
                <c:pt idx="1">
                  <c:v>-0.23487549917818409</c:v>
                </c:pt>
                <c:pt idx="2">
                  <c:v>9.5736719106428947E-2</c:v>
                </c:pt>
                <c:pt idx="3">
                  <c:v>0.86602120618836875</c:v>
                </c:pt>
                <c:pt idx="4">
                  <c:v>1.3371304506202253</c:v>
                </c:pt>
                <c:pt idx="5">
                  <c:v>1.6957593401719688</c:v>
                </c:pt>
              </c:numCache>
            </c:numRef>
          </c:val>
          <c:extLst>
            <c:ext xmlns:c16="http://schemas.microsoft.com/office/drawing/2014/chart" uri="{C3380CC4-5D6E-409C-BE32-E72D297353CC}">
              <c16:uniqueId val="{00000000-AE48-4D29-AC81-BE62EC3925C4}"/>
            </c:ext>
          </c:extLst>
        </c:ser>
        <c:ser>
          <c:idx val="2"/>
          <c:order val="2"/>
          <c:tx>
            <c:strRef>
              <c:f>Sheet1!$E$1</c:f>
              <c:strCache>
                <c:ptCount val="1"/>
                <c:pt idx="0">
                  <c:v>Մասնավոր սպառում</c:v>
                </c:pt>
              </c:strCache>
            </c:strRef>
          </c:tx>
          <c:spPr>
            <a:solidFill>
              <a:srgbClr val="4472C4">
                <a:lumMod val="50000"/>
              </a:srgbClr>
            </a:solidFill>
            <a:ln>
              <a:noFill/>
            </a:ln>
            <a:effectLst/>
          </c:spPr>
          <c:invertIfNegative val="0"/>
          <c:cat>
            <c:strRef>
              <c:f>Sheet1!$B$2:$B$7</c:f>
              <c:strCache>
                <c:ptCount val="6"/>
                <c:pt idx="0">
                  <c:v>I եռ.</c:v>
                </c:pt>
                <c:pt idx="1">
                  <c:v>I-II եռ.</c:v>
                </c:pt>
                <c:pt idx="2">
                  <c:v>I-III եռ.</c:v>
                </c:pt>
                <c:pt idx="3">
                  <c:v>I-IV եռ.</c:v>
                </c:pt>
                <c:pt idx="4">
                  <c:v>I եռ.</c:v>
                </c:pt>
                <c:pt idx="5">
                  <c:v>I-II եռ.</c:v>
                </c:pt>
              </c:strCache>
            </c:strRef>
          </c:cat>
          <c:val>
            <c:numRef>
              <c:f>Sheet1!$E$2:$E$7</c:f>
              <c:numCache>
                <c:formatCode>0.0</c:formatCode>
                <c:ptCount val="6"/>
                <c:pt idx="0">
                  <c:v>5.3939058174121417</c:v>
                </c:pt>
                <c:pt idx="1">
                  <c:v>6.0699062587321189</c:v>
                </c:pt>
                <c:pt idx="2">
                  <c:v>6.6664777257257013</c:v>
                </c:pt>
                <c:pt idx="3">
                  <c:v>3.8798846297522096</c:v>
                </c:pt>
                <c:pt idx="4">
                  <c:v>5.1991686823345482</c:v>
                </c:pt>
                <c:pt idx="5">
                  <c:v>7.0767435962703233</c:v>
                </c:pt>
              </c:numCache>
            </c:numRef>
          </c:val>
          <c:extLst>
            <c:ext xmlns:c16="http://schemas.microsoft.com/office/drawing/2014/chart" uri="{C3380CC4-5D6E-409C-BE32-E72D297353CC}">
              <c16:uniqueId val="{00000001-AE48-4D29-AC81-BE62EC3925C4}"/>
            </c:ext>
          </c:extLst>
        </c:ser>
        <c:ser>
          <c:idx val="3"/>
          <c:order val="3"/>
          <c:tx>
            <c:strRef>
              <c:f>Sheet1!$F$1</c:f>
              <c:strCache>
                <c:ptCount val="1"/>
                <c:pt idx="0">
                  <c:v>Պետական ներդրումներ</c:v>
                </c:pt>
              </c:strCache>
            </c:strRef>
          </c:tx>
          <c:spPr>
            <a:solidFill>
              <a:sysClr val="window" lastClr="FFFFFF">
                <a:lumMod val="65000"/>
              </a:sysClr>
            </a:solidFill>
            <a:ln>
              <a:noFill/>
            </a:ln>
            <a:effectLst/>
          </c:spPr>
          <c:invertIfNegative val="0"/>
          <c:cat>
            <c:strRef>
              <c:f>Sheet1!$B$2:$B$7</c:f>
              <c:strCache>
                <c:ptCount val="6"/>
                <c:pt idx="0">
                  <c:v>I եռ.</c:v>
                </c:pt>
                <c:pt idx="1">
                  <c:v>I-II եռ.</c:v>
                </c:pt>
                <c:pt idx="2">
                  <c:v>I-III եռ.</c:v>
                </c:pt>
                <c:pt idx="3">
                  <c:v>I-IV եռ.</c:v>
                </c:pt>
                <c:pt idx="4">
                  <c:v>I եռ.</c:v>
                </c:pt>
                <c:pt idx="5">
                  <c:v>I-II եռ.</c:v>
                </c:pt>
              </c:strCache>
            </c:strRef>
          </c:cat>
          <c:val>
            <c:numRef>
              <c:f>Sheet1!$F$2:$F$7</c:f>
              <c:numCache>
                <c:formatCode>0.0</c:formatCode>
                <c:ptCount val="6"/>
                <c:pt idx="0">
                  <c:v>-0.69450062821197733</c:v>
                </c:pt>
                <c:pt idx="1">
                  <c:v>0.27787531148906169</c:v>
                </c:pt>
                <c:pt idx="2">
                  <c:v>0.13436470905152528</c:v>
                </c:pt>
                <c:pt idx="3">
                  <c:v>0.50360126845976882</c:v>
                </c:pt>
                <c:pt idx="4">
                  <c:v>-0.59823538006203381</c:v>
                </c:pt>
                <c:pt idx="5">
                  <c:v>0.53605865329754399</c:v>
                </c:pt>
              </c:numCache>
            </c:numRef>
          </c:val>
          <c:extLst>
            <c:ext xmlns:c16="http://schemas.microsoft.com/office/drawing/2014/chart" uri="{C3380CC4-5D6E-409C-BE32-E72D297353CC}">
              <c16:uniqueId val="{00000002-AE48-4D29-AC81-BE62EC3925C4}"/>
            </c:ext>
          </c:extLst>
        </c:ser>
        <c:ser>
          <c:idx val="4"/>
          <c:order val="4"/>
          <c:tx>
            <c:strRef>
              <c:f>Sheet1!$G$1</c:f>
              <c:strCache>
                <c:ptCount val="1"/>
                <c:pt idx="0">
                  <c:v>Մասնավոր ներդրումներ</c:v>
                </c:pt>
              </c:strCache>
            </c:strRef>
          </c:tx>
          <c:invertIfNegative val="0"/>
          <c:cat>
            <c:strRef>
              <c:f>Sheet1!$B$2:$B$7</c:f>
              <c:strCache>
                <c:ptCount val="6"/>
                <c:pt idx="0">
                  <c:v>I եռ.</c:v>
                </c:pt>
                <c:pt idx="1">
                  <c:v>I-II եռ.</c:v>
                </c:pt>
                <c:pt idx="2">
                  <c:v>I-III եռ.</c:v>
                </c:pt>
                <c:pt idx="3">
                  <c:v>I-IV եռ.</c:v>
                </c:pt>
                <c:pt idx="4">
                  <c:v>I եռ.</c:v>
                </c:pt>
                <c:pt idx="5">
                  <c:v>I-II եռ.</c:v>
                </c:pt>
              </c:strCache>
            </c:strRef>
          </c:cat>
          <c:val>
            <c:numRef>
              <c:f>Sheet1!$G$2:$G$7</c:f>
              <c:numCache>
                <c:formatCode>0.0</c:formatCode>
                <c:ptCount val="6"/>
                <c:pt idx="0">
                  <c:v>2.8731605981595369</c:v>
                </c:pt>
                <c:pt idx="1">
                  <c:v>2.375899612228527</c:v>
                </c:pt>
                <c:pt idx="2">
                  <c:v>1.5957987874222874</c:v>
                </c:pt>
                <c:pt idx="3">
                  <c:v>1.414182357928784</c:v>
                </c:pt>
                <c:pt idx="4">
                  <c:v>2.6180935048221858</c:v>
                </c:pt>
                <c:pt idx="5">
                  <c:v>2.494360377916407</c:v>
                </c:pt>
              </c:numCache>
            </c:numRef>
          </c:val>
          <c:extLst>
            <c:ext xmlns:c16="http://schemas.microsoft.com/office/drawing/2014/chart" uri="{C3380CC4-5D6E-409C-BE32-E72D297353CC}">
              <c16:uniqueId val="{00000003-AE48-4D29-AC81-BE62EC3925C4}"/>
            </c:ext>
          </c:extLst>
        </c:ser>
        <c:ser>
          <c:idx val="5"/>
          <c:order val="5"/>
          <c:tx>
            <c:strRef>
              <c:f>Sheet1!$H$1</c:f>
              <c:strCache>
                <c:ptCount val="1"/>
                <c:pt idx="0">
                  <c:v>Արտահանում</c:v>
                </c:pt>
              </c:strCache>
            </c:strRef>
          </c:tx>
          <c:spPr>
            <a:solidFill>
              <a:srgbClr val="ED7D31">
                <a:lumMod val="60000"/>
                <a:lumOff val="40000"/>
              </a:srgbClr>
            </a:solidFill>
          </c:spPr>
          <c:invertIfNegative val="0"/>
          <c:cat>
            <c:strRef>
              <c:f>Sheet1!$B$2:$B$7</c:f>
              <c:strCache>
                <c:ptCount val="6"/>
                <c:pt idx="0">
                  <c:v>I եռ.</c:v>
                </c:pt>
                <c:pt idx="1">
                  <c:v>I-II եռ.</c:v>
                </c:pt>
                <c:pt idx="2">
                  <c:v>I-III եռ.</c:v>
                </c:pt>
                <c:pt idx="3">
                  <c:v>I-IV եռ.</c:v>
                </c:pt>
                <c:pt idx="4">
                  <c:v>I եռ.</c:v>
                </c:pt>
                <c:pt idx="5">
                  <c:v>I-II եռ.</c:v>
                </c:pt>
              </c:strCache>
            </c:strRef>
          </c:cat>
          <c:val>
            <c:numRef>
              <c:f>Sheet1!$H$2:$H$7</c:f>
              <c:numCache>
                <c:formatCode>0.0</c:formatCode>
                <c:ptCount val="6"/>
                <c:pt idx="0">
                  <c:v>12.604996466868142</c:v>
                </c:pt>
                <c:pt idx="1">
                  <c:v>13.718741134387454</c:v>
                </c:pt>
                <c:pt idx="2">
                  <c:v>18.929529479736818</c:v>
                </c:pt>
                <c:pt idx="3">
                  <c:v>21.274464524821482</c:v>
                </c:pt>
                <c:pt idx="4">
                  <c:v>29.077360703851742</c:v>
                </c:pt>
                <c:pt idx="5">
                  <c:v>19.74970826978474</c:v>
                </c:pt>
              </c:numCache>
            </c:numRef>
          </c:val>
          <c:extLst>
            <c:ext xmlns:c16="http://schemas.microsoft.com/office/drawing/2014/chart" uri="{C3380CC4-5D6E-409C-BE32-E72D297353CC}">
              <c16:uniqueId val="{00000004-AE48-4D29-AC81-BE62EC3925C4}"/>
            </c:ext>
          </c:extLst>
        </c:ser>
        <c:ser>
          <c:idx val="6"/>
          <c:order val="6"/>
          <c:tx>
            <c:strRef>
              <c:f>Sheet1!$I$1</c:f>
              <c:strCache>
                <c:ptCount val="1"/>
                <c:pt idx="0">
                  <c:v>Ներմուծում ("-" նշանով)</c:v>
                </c:pt>
              </c:strCache>
            </c:strRef>
          </c:tx>
          <c:spPr>
            <a:solidFill>
              <a:srgbClr val="4472C4">
                <a:lumMod val="40000"/>
                <a:lumOff val="60000"/>
              </a:srgbClr>
            </a:solidFill>
          </c:spPr>
          <c:invertIfNegative val="0"/>
          <c:cat>
            <c:strRef>
              <c:f>Sheet1!$B$2:$B$7</c:f>
              <c:strCache>
                <c:ptCount val="6"/>
                <c:pt idx="0">
                  <c:v>I եռ.</c:v>
                </c:pt>
                <c:pt idx="1">
                  <c:v>I-II եռ.</c:v>
                </c:pt>
                <c:pt idx="2">
                  <c:v>I-III եռ.</c:v>
                </c:pt>
                <c:pt idx="3">
                  <c:v>I-IV եռ.</c:v>
                </c:pt>
                <c:pt idx="4">
                  <c:v>I եռ.</c:v>
                </c:pt>
                <c:pt idx="5">
                  <c:v>I-II եռ.</c:v>
                </c:pt>
              </c:strCache>
            </c:strRef>
          </c:cat>
          <c:val>
            <c:numRef>
              <c:f>Sheet1!$I$2:$I$7</c:f>
              <c:numCache>
                <c:formatCode>0.0</c:formatCode>
                <c:ptCount val="6"/>
                <c:pt idx="0">
                  <c:v>-11.398522689990401</c:v>
                </c:pt>
                <c:pt idx="1">
                  <c:v>-11.769230702733299</c:v>
                </c:pt>
                <c:pt idx="2">
                  <c:v>-14.905654154933501</c:v>
                </c:pt>
                <c:pt idx="3">
                  <c:v>-15.1244346364227</c:v>
                </c:pt>
                <c:pt idx="4">
                  <c:v>-29.335151986623</c:v>
                </c:pt>
                <c:pt idx="5">
                  <c:v>-22.928700299034201</c:v>
                </c:pt>
              </c:numCache>
            </c:numRef>
          </c:val>
          <c:extLst>
            <c:ext xmlns:c16="http://schemas.microsoft.com/office/drawing/2014/chart" uri="{C3380CC4-5D6E-409C-BE32-E72D297353CC}">
              <c16:uniqueId val="{00000005-AE48-4D29-AC81-BE62EC3925C4}"/>
            </c:ext>
          </c:extLst>
        </c:ser>
        <c:ser>
          <c:idx val="7"/>
          <c:order val="7"/>
          <c:tx>
            <c:strRef>
              <c:f>Sheet1!$J$1</c:f>
              <c:strCache>
                <c:ptCount val="1"/>
                <c:pt idx="0">
                  <c:v>Վիճակագրական շեղում</c:v>
                </c:pt>
              </c:strCache>
            </c:strRef>
          </c:tx>
          <c:spPr>
            <a:solidFill>
              <a:srgbClr val="44546A">
                <a:lumMod val="40000"/>
                <a:lumOff val="60000"/>
              </a:srgbClr>
            </a:solidFill>
          </c:spPr>
          <c:invertIfNegative val="0"/>
          <c:cat>
            <c:strRef>
              <c:f>Sheet1!$B$2:$B$7</c:f>
              <c:strCache>
                <c:ptCount val="6"/>
                <c:pt idx="0">
                  <c:v>I եռ.</c:v>
                </c:pt>
                <c:pt idx="1">
                  <c:v>I-II եռ.</c:v>
                </c:pt>
                <c:pt idx="2">
                  <c:v>I-III եռ.</c:v>
                </c:pt>
                <c:pt idx="3">
                  <c:v>I-IV եռ.</c:v>
                </c:pt>
                <c:pt idx="4">
                  <c:v>I եռ.</c:v>
                </c:pt>
                <c:pt idx="5">
                  <c:v>I-II եռ.</c:v>
                </c:pt>
              </c:strCache>
            </c:strRef>
          </c:cat>
          <c:val>
            <c:numRef>
              <c:f>Sheet1!$J$2:$J$7</c:f>
              <c:numCache>
                <c:formatCode>0.0</c:formatCode>
                <c:ptCount val="6"/>
                <c:pt idx="0">
                  <c:v>2.721282617716541</c:v>
                </c:pt>
                <c:pt idx="1">
                  <c:v>0.88484536790331214</c:v>
                </c:pt>
                <c:pt idx="2">
                  <c:v>0.15970105295647707</c:v>
                </c:pt>
                <c:pt idx="3">
                  <c:v>-0.21131960457897714</c:v>
                </c:pt>
                <c:pt idx="4">
                  <c:v>3.8016340250563379</c:v>
                </c:pt>
                <c:pt idx="5">
                  <c:v>1.8749854628947058</c:v>
                </c:pt>
              </c:numCache>
            </c:numRef>
          </c:val>
          <c:extLst>
            <c:ext xmlns:c16="http://schemas.microsoft.com/office/drawing/2014/chart" uri="{C3380CC4-5D6E-409C-BE32-E72D297353CC}">
              <c16:uniqueId val="{00000006-AE48-4D29-AC81-BE62EC3925C4}"/>
            </c:ext>
          </c:extLst>
        </c:ser>
        <c:dLbls>
          <c:showLegendKey val="0"/>
          <c:showVal val="0"/>
          <c:showCatName val="0"/>
          <c:showSerName val="0"/>
          <c:showPercent val="0"/>
          <c:showBubbleSize val="0"/>
        </c:dLbls>
        <c:gapWidth val="150"/>
        <c:overlap val="100"/>
        <c:axId val="220547328"/>
        <c:axId val="220553216"/>
      </c:barChart>
      <c:lineChart>
        <c:grouping val="standard"/>
        <c:varyColors val="0"/>
        <c:ser>
          <c:idx val="0"/>
          <c:order val="0"/>
          <c:tx>
            <c:strRef>
              <c:f>Sheet1!$C$1</c:f>
              <c:strCache>
                <c:ptCount val="1"/>
                <c:pt idx="0">
                  <c:v>ՀՆԱ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8160451004717681E-2"/>
                  <c:y val="-6.3564353521230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E48-4D29-AC81-BE62EC3925C4}"/>
                </c:ext>
              </c:extLst>
            </c:dLbl>
            <c:dLbl>
              <c:idx val="1"/>
              <c:layout>
                <c:manualLayout>
                  <c:x val="-6.2899967086107844E-2"/>
                  <c:y val="-5.3678710721907427E-2"/>
                </c:manualLayout>
              </c:layout>
              <c:spPr>
                <a:noFill/>
                <a:ln>
                  <a:noFill/>
                </a:ln>
                <a:effectLst/>
              </c:spPr>
              <c:txPr>
                <a:bodyPr rot="0" vert="horz"/>
                <a:lstStyle/>
                <a:p>
                  <a:pPr>
                    <a:defRPr sz="800" b="1">
                      <a:latin typeface="GHEA Grapalat" panose="02000506050000020003" pitchFamily="50" charset="0"/>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E48-4D29-AC81-BE62EC3925C4}"/>
                </c:ext>
              </c:extLst>
            </c:dLbl>
            <c:dLbl>
              <c:idx val="2"/>
              <c:layout>
                <c:manualLayout>
                  <c:x val="-5.8141124642377903E-2"/>
                  <c:y val="-4.93222459342114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E48-4D29-AC81-BE62EC3925C4}"/>
                </c:ext>
              </c:extLst>
            </c:dLbl>
            <c:dLbl>
              <c:idx val="3"/>
              <c:layout>
                <c:manualLayout>
                  <c:x val="-6.0503835734359572E-2"/>
                  <c:y val="-4.64405033482964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E48-4D29-AC81-BE62EC3925C4}"/>
                </c:ext>
              </c:extLst>
            </c:dLbl>
            <c:dLbl>
              <c:idx val="4"/>
              <c:layout>
                <c:manualLayout>
                  <c:x val="-6.8545627937986853E-2"/>
                  <c:y val="-5.19738023401280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E48-4D29-AC81-BE62EC3925C4}"/>
                </c:ext>
              </c:extLst>
            </c:dLbl>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Sheet1!$A$2:$B$7</c:f>
              <c:multiLvlStrCache>
                <c:ptCount val="6"/>
                <c:lvl>
                  <c:pt idx="0">
                    <c:v>I եռ.</c:v>
                  </c:pt>
                  <c:pt idx="1">
                    <c:v>I-II եռ.</c:v>
                  </c:pt>
                  <c:pt idx="2">
                    <c:v>I-III եռ.</c:v>
                  </c:pt>
                  <c:pt idx="3">
                    <c:v>I-IV եռ.</c:v>
                  </c:pt>
                  <c:pt idx="4">
                    <c:v>I եռ.</c:v>
                  </c:pt>
                  <c:pt idx="5">
                    <c:v>I-II եռ.</c:v>
                  </c:pt>
                </c:lvl>
                <c:lvl>
                  <c:pt idx="0">
                    <c:v>2022</c:v>
                  </c:pt>
                  <c:pt idx="4">
                    <c:v>2023</c:v>
                  </c:pt>
                </c:lvl>
              </c:multiLvlStrCache>
            </c:multiLvlStrRef>
          </c:cat>
          <c:val>
            <c:numRef>
              <c:f>Sheet1!$C$2:$C$7</c:f>
              <c:numCache>
                <c:formatCode>0.0</c:formatCode>
                <c:ptCount val="6"/>
                <c:pt idx="0">
                  <c:v>8.7675438049566168</c:v>
                </c:pt>
                <c:pt idx="1">
                  <c:v>11.096956833381142</c:v>
                </c:pt>
                <c:pt idx="2">
                  <c:v>12.598994459596952</c:v>
                </c:pt>
                <c:pt idx="3">
                  <c:v>12.628802702124545</c:v>
                </c:pt>
                <c:pt idx="4">
                  <c:v>12.099999999999994</c:v>
                </c:pt>
                <c:pt idx="5">
                  <c:v>10.498915401301517</c:v>
                </c:pt>
              </c:numCache>
            </c:numRef>
          </c:val>
          <c:smooth val="0"/>
          <c:extLst>
            <c:ext xmlns:c16="http://schemas.microsoft.com/office/drawing/2014/chart" uri="{C3380CC4-5D6E-409C-BE32-E72D297353CC}">
              <c16:uniqueId val="{0000000C-AE48-4D29-AC81-BE62EC3925C4}"/>
            </c:ext>
          </c:extLst>
        </c:ser>
        <c:dLbls>
          <c:showLegendKey val="0"/>
          <c:showVal val="0"/>
          <c:showCatName val="0"/>
          <c:showSerName val="0"/>
          <c:showPercent val="0"/>
          <c:showBubbleSize val="0"/>
        </c:dLbls>
        <c:marker val="1"/>
        <c:smooth val="0"/>
        <c:axId val="220547328"/>
        <c:axId val="220553216"/>
      </c:lineChart>
      <c:catAx>
        <c:axId val="22054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n-US"/>
          </a:p>
        </c:txPr>
        <c:crossAx val="220553216"/>
        <c:crosses val="autoZero"/>
        <c:auto val="1"/>
        <c:lblAlgn val="ctr"/>
        <c:lblOffset val="100"/>
        <c:noMultiLvlLbl val="0"/>
      </c:catAx>
      <c:valAx>
        <c:axId val="220553216"/>
        <c:scaling>
          <c:orientation val="minMax"/>
          <c:max val="40"/>
          <c:min val="-2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sz="700"/>
            </a:pPr>
            <a:endParaRPr lang="en-US"/>
          </a:p>
        </c:txPr>
        <c:crossAx val="220547328"/>
        <c:crosses val="autoZero"/>
        <c:crossBetween val="between"/>
        <c:majorUnit val="7"/>
        <c:minorUnit val="1"/>
      </c:valAx>
      <c:spPr>
        <a:noFill/>
        <a:ln w="25400">
          <a:noFill/>
        </a:ln>
        <a:effectLst/>
      </c:spPr>
    </c:plotArea>
    <c:legend>
      <c:legendPos val="b"/>
      <c:layout>
        <c:manualLayout>
          <c:xMode val="edge"/>
          <c:yMode val="edge"/>
          <c:x val="0"/>
          <c:y val="0.76134644084071024"/>
          <c:w val="0.97800643086816719"/>
          <c:h val="0.23865361689601883"/>
        </c:manualLayout>
      </c:layout>
      <c:overlay val="0"/>
      <c:spPr>
        <a:noFill/>
        <a:ln>
          <a:noFill/>
        </a:ln>
        <a:effectLst/>
      </c:spPr>
      <c:txPr>
        <a:bodyPr rot="0" vert="horz"/>
        <a:lstStyle/>
        <a:p>
          <a:pPr>
            <a:defRPr sz="6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solidFill>
        <a:srgbClr val="E7E6E6"/>
      </a:solidFill>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0.13604805675441231"/>
          <c:w val="0.87658476118247253"/>
          <c:h val="0.59151481174278364"/>
        </c:manualLayout>
      </c:layout>
      <c:barChart>
        <c:barDir val="col"/>
        <c:grouping val="clustered"/>
        <c:varyColors val="0"/>
        <c:ser>
          <c:idx val="1"/>
          <c:order val="1"/>
          <c:tx>
            <c:strRef>
              <c:f>Sheet1!$A$3</c:f>
              <c:strCache>
                <c:ptCount val="1"/>
                <c:pt idx="0">
                  <c:v>արդյունաբերություն</c:v>
                </c:pt>
              </c:strCache>
            </c:strRef>
          </c:tx>
          <c:spPr>
            <a:solidFill>
              <a:srgbClr val="B4C7E7"/>
            </a:solidFill>
            <a:ln>
              <a:noFill/>
            </a:ln>
            <a:effectLst/>
          </c:spPr>
          <c:invertIfNegative val="0"/>
          <c:cat>
            <c:strRef>
              <c:f>Sheet1!$B$1:$H$1</c:f>
              <c:strCache>
                <c:ptCount val="7"/>
                <c:pt idx="0">
                  <c:v>1</c:v>
                </c:pt>
                <c:pt idx="1">
                  <c:v>2</c:v>
                </c:pt>
                <c:pt idx="2">
                  <c:v>3</c:v>
                </c:pt>
                <c:pt idx="3">
                  <c:v>4</c:v>
                </c:pt>
                <c:pt idx="4">
                  <c:v>5</c:v>
                </c:pt>
                <c:pt idx="5">
                  <c:v>6</c:v>
                </c:pt>
                <c:pt idx="6">
                  <c:v>7</c:v>
                </c:pt>
              </c:strCache>
            </c:strRef>
          </c:cat>
          <c:val>
            <c:numRef>
              <c:f>Sheet1!$B$3:$H$3</c:f>
              <c:numCache>
                <c:formatCode>0.0</c:formatCode>
                <c:ptCount val="7"/>
                <c:pt idx="0">
                  <c:v>1.4000000000000057</c:v>
                </c:pt>
                <c:pt idx="1">
                  <c:v>1</c:v>
                </c:pt>
                <c:pt idx="2">
                  <c:v>3.5999999999999943</c:v>
                </c:pt>
                <c:pt idx="3">
                  <c:v>2.4000000000000057</c:v>
                </c:pt>
                <c:pt idx="4">
                  <c:v>3</c:v>
                </c:pt>
                <c:pt idx="5">
                  <c:v>1</c:v>
                </c:pt>
                <c:pt idx="6">
                  <c:v>0.5</c:v>
                </c:pt>
              </c:numCache>
            </c:numRef>
          </c:val>
          <c:extLst>
            <c:ext xmlns:c16="http://schemas.microsoft.com/office/drawing/2014/chart" uri="{C3380CC4-5D6E-409C-BE32-E72D297353CC}">
              <c16:uniqueId val="{00000000-5A3D-4309-B13C-37C8ACAA4F77}"/>
            </c:ext>
          </c:extLst>
        </c:ser>
        <c:ser>
          <c:idx val="2"/>
          <c:order val="2"/>
          <c:tx>
            <c:strRef>
              <c:f>Sheet1!$A$4</c:f>
              <c:strCache>
                <c:ptCount val="1"/>
                <c:pt idx="0">
                  <c:v>գյուղատնտեսություն*</c:v>
                </c:pt>
              </c:strCache>
            </c:strRef>
          </c:tx>
          <c:spPr>
            <a:solidFill>
              <a:srgbClr val="8064A2"/>
            </a:solidFill>
            <a:ln>
              <a:noFill/>
            </a:ln>
            <a:effectLst/>
          </c:spPr>
          <c:invertIfNegative val="0"/>
          <c:cat>
            <c:strRef>
              <c:f>Sheet1!$B$1:$H$1</c:f>
              <c:strCache>
                <c:ptCount val="7"/>
                <c:pt idx="0">
                  <c:v>1</c:v>
                </c:pt>
                <c:pt idx="1">
                  <c:v>2</c:v>
                </c:pt>
                <c:pt idx="2">
                  <c:v>3</c:v>
                </c:pt>
                <c:pt idx="3">
                  <c:v>4</c:v>
                </c:pt>
                <c:pt idx="4">
                  <c:v>5</c:v>
                </c:pt>
                <c:pt idx="5">
                  <c:v>6</c:v>
                </c:pt>
                <c:pt idx="6">
                  <c:v>7</c:v>
                </c:pt>
              </c:strCache>
            </c:strRef>
          </c:cat>
          <c:val>
            <c:numRef>
              <c:f>Sheet1!$B$4:$H$4</c:f>
              <c:numCache>
                <c:formatCode>0.0</c:formatCode>
                <c:ptCount val="7"/>
                <c:pt idx="0">
                  <c:v>0</c:v>
                </c:pt>
                <c:pt idx="1">
                  <c:v>0</c:v>
                </c:pt>
                <c:pt idx="2">
                  <c:v>1.4000000000000057</c:v>
                </c:pt>
                <c:pt idx="3">
                  <c:v>0</c:v>
                </c:pt>
                <c:pt idx="4">
                  <c:v>0</c:v>
                </c:pt>
                <c:pt idx="5">
                  <c:v>2</c:v>
                </c:pt>
                <c:pt idx="6">
                  <c:v>0</c:v>
                </c:pt>
              </c:numCache>
            </c:numRef>
          </c:val>
          <c:extLst>
            <c:ext xmlns:c16="http://schemas.microsoft.com/office/drawing/2014/chart" uri="{C3380CC4-5D6E-409C-BE32-E72D297353CC}">
              <c16:uniqueId val="{00000001-5A3D-4309-B13C-37C8ACAA4F77}"/>
            </c:ext>
          </c:extLst>
        </c:ser>
        <c:ser>
          <c:idx val="3"/>
          <c:order val="3"/>
          <c:tx>
            <c:strRef>
              <c:f>Sheet1!$A$5</c:f>
              <c:strCache>
                <c:ptCount val="1"/>
                <c:pt idx="0">
                  <c:v>շինարարություն</c:v>
                </c:pt>
              </c:strCache>
            </c:strRef>
          </c:tx>
          <c:spPr>
            <a:solidFill>
              <a:sysClr val="window" lastClr="FFFFFF">
                <a:lumMod val="65000"/>
              </a:sysClr>
            </a:solidFill>
            <a:ln>
              <a:noFill/>
            </a:ln>
            <a:effectLst/>
          </c:spPr>
          <c:invertIfNegative val="0"/>
          <c:cat>
            <c:strRef>
              <c:f>Sheet1!$B$1:$H$1</c:f>
              <c:strCache>
                <c:ptCount val="7"/>
                <c:pt idx="0">
                  <c:v>1</c:v>
                </c:pt>
                <c:pt idx="1">
                  <c:v>2</c:v>
                </c:pt>
                <c:pt idx="2">
                  <c:v>3</c:v>
                </c:pt>
                <c:pt idx="3">
                  <c:v>4</c:v>
                </c:pt>
                <c:pt idx="4">
                  <c:v>5</c:v>
                </c:pt>
                <c:pt idx="5">
                  <c:v>6</c:v>
                </c:pt>
                <c:pt idx="6">
                  <c:v>7</c:v>
                </c:pt>
              </c:strCache>
            </c:strRef>
          </c:cat>
          <c:val>
            <c:numRef>
              <c:f>Sheet1!$B$5:$H$5</c:f>
              <c:numCache>
                <c:formatCode>0.0</c:formatCode>
                <c:ptCount val="7"/>
                <c:pt idx="0">
                  <c:v>12.200000000000003</c:v>
                </c:pt>
                <c:pt idx="1">
                  <c:v>13.900000000000006</c:v>
                </c:pt>
                <c:pt idx="2">
                  <c:v>16.599999999999994</c:v>
                </c:pt>
                <c:pt idx="3">
                  <c:v>19.299999999999997</c:v>
                </c:pt>
                <c:pt idx="4">
                  <c:v>16.700000000000003</c:v>
                </c:pt>
                <c:pt idx="5">
                  <c:v>17</c:v>
                </c:pt>
                <c:pt idx="6">
                  <c:v>17.200000000000003</c:v>
                </c:pt>
              </c:numCache>
            </c:numRef>
          </c:val>
          <c:extLst>
            <c:ext xmlns:c16="http://schemas.microsoft.com/office/drawing/2014/chart" uri="{C3380CC4-5D6E-409C-BE32-E72D297353CC}">
              <c16:uniqueId val="{00000002-5A3D-4309-B13C-37C8ACAA4F77}"/>
            </c:ext>
          </c:extLst>
        </c:ser>
        <c:ser>
          <c:idx val="4"/>
          <c:order val="4"/>
          <c:tx>
            <c:strRef>
              <c:f>Sheet1!$A$6</c:f>
              <c:strCache>
                <c:ptCount val="1"/>
                <c:pt idx="0">
                  <c:v>ծառայություններ</c:v>
                </c:pt>
              </c:strCache>
            </c:strRef>
          </c:tx>
          <c:spPr>
            <a:solidFill>
              <a:srgbClr val="ED7D31">
                <a:lumMod val="60000"/>
                <a:lumOff val="40000"/>
              </a:srgbClr>
            </a:solidFill>
            <a:ln>
              <a:noFill/>
            </a:ln>
          </c:spPr>
          <c:invertIfNegative val="0"/>
          <c:cat>
            <c:strRef>
              <c:f>Sheet1!$B$1:$H$1</c:f>
              <c:strCache>
                <c:ptCount val="7"/>
                <c:pt idx="0">
                  <c:v>1</c:v>
                </c:pt>
                <c:pt idx="1">
                  <c:v>2</c:v>
                </c:pt>
                <c:pt idx="2">
                  <c:v>3</c:v>
                </c:pt>
                <c:pt idx="3">
                  <c:v>4</c:v>
                </c:pt>
                <c:pt idx="4">
                  <c:v>5</c:v>
                </c:pt>
                <c:pt idx="5">
                  <c:v>6</c:v>
                </c:pt>
                <c:pt idx="6">
                  <c:v>7</c:v>
                </c:pt>
              </c:strCache>
            </c:strRef>
          </c:cat>
          <c:val>
            <c:numRef>
              <c:f>Sheet1!$B$6:$H$6</c:f>
              <c:numCache>
                <c:formatCode>0.0</c:formatCode>
                <c:ptCount val="7"/>
                <c:pt idx="0">
                  <c:v>25.900000000000006</c:v>
                </c:pt>
                <c:pt idx="1">
                  <c:v>23.5</c:v>
                </c:pt>
                <c:pt idx="2">
                  <c:v>22.900000000000006</c:v>
                </c:pt>
                <c:pt idx="3">
                  <c:v>22.200000000000003</c:v>
                </c:pt>
                <c:pt idx="4">
                  <c:v>19.900000000000006</c:v>
                </c:pt>
                <c:pt idx="5">
                  <c:v>16.799999999999997</c:v>
                </c:pt>
                <c:pt idx="6">
                  <c:v>14.900000000000006</c:v>
                </c:pt>
              </c:numCache>
            </c:numRef>
          </c:val>
          <c:extLst>
            <c:ext xmlns:c16="http://schemas.microsoft.com/office/drawing/2014/chart" uri="{C3380CC4-5D6E-409C-BE32-E72D297353CC}">
              <c16:uniqueId val="{00000003-5A3D-4309-B13C-37C8ACAA4F77}"/>
            </c:ext>
          </c:extLst>
        </c:ser>
        <c:ser>
          <c:idx val="5"/>
          <c:order val="5"/>
          <c:tx>
            <c:strRef>
              <c:f>Sheet1!$A$7</c:f>
              <c:strCache>
                <c:ptCount val="1"/>
                <c:pt idx="0">
                  <c:v>առևտուր</c:v>
                </c:pt>
              </c:strCache>
            </c:strRef>
          </c:tx>
          <c:spPr>
            <a:solidFill>
              <a:srgbClr val="4472C4">
                <a:lumMod val="50000"/>
              </a:srgbClr>
            </a:solidFill>
            <a:ln>
              <a:noFill/>
            </a:ln>
          </c:spPr>
          <c:invertIfNegative val="0"/>
          <c:cat>
            <c:strRef>
              <c:f>Sheet1!$B$1:$H$1</c:f>
              <c:strCache>
                <c:ptCount val="7"/>
                <c:pt idx="0">
                  <c:v>1</c:v>
                </c:pt>
                <c:pt idx="1">
                  <c:v>2</c:v>
                </c:pt>
                <c:pt idx="2">
                  <c:v>3</c:v>
                </c:pt>
                <c:pt idx="3">
                  <c:v>4</c:v>
                </c:pt>
                <c:pt idx="4">
                  <c:v>5</c:v>
                </c:pt>
                <c:pt idx="5">
                  <c:v>6</c:v>
                </c:pt>
                <c:pt idx="6">
                  <c:v>7</c:v>
                </c:pt>
              </c:strCache>
            </c:strRef>
          </c:cat>
          <c:val>
            <c:numRef>
              <c:f>Sheet1!$B$7:$H$7</c:f>
              <c:numCache>
                <c:formatCode>0.0</c:formatCode>
                <c:ptCount val="7"/>
                <c:pt idx="0">
                  <c:v>17.700000000000003</c:v>
                </c:pt>
                <c:pt idx="1">
                  <c:v>18</c:v>
                </c:pt>
                <c:pt idx="2">
                  <c:v>21</c:v>
                </c:pt>
                <c:pt idx="3">
                  <c:v>23.200000000000003</c:v>
                </c:pt>
                <c:pt idx="4">
                  <c:v>24.5</c:v>
                </c:pt>
                <c:pt idx="5">
                  <c:v>23.599999999999994</c:v>
                </c:pt>
                <c:pt idx="6">
                  <c:v>23</c:v>
                </c:pt>
              </c:numCache>
            </c:numRef>
          </c:val>
          <c:extLst>
            <c:ext xmlns:c16="http://schemas.microsoft.com/office/drawing/2014/chart" uri="{C3380CC4-5D6E-409C-BE32-E72D297353CC}">
              <c16:uniqueId val="{00000004-5A3D-4309-B13C-37C8ACAA4F77}"/>
            </c:ext>
          </c:extLst>
        </c:ser>
        <c:dLbls>
          <c:showLegendKey val="0"/>
          <c:showVal val="0"/>
          <c:showCatName val="0"/>
          <c:showSerName val="0"/>
          <c:showPercent val="0"/>
          <c:showBubbleSize val="0"/>
        </c:dLbls>
        <c:gapWidth val="219"/>
        <c:overlap val="-27"/>
        <c:axId val="220583808"/>
        <c:axId val="220585344"/>
      </c:barChart>
      <c:lineChart>
        <c:grouping val="standard"/>
        <c:varyColors val="0"/>
        <c:ser>
          <c:idx val="0"/>
          <c:order val="0"/>
          <c:tx>
            <c:strRef>
              <c:f>Sheet1!$A$2</c:f>
              <c:strCache>
                <c:ptCount val="1"/>
                <c:pt idx="0">
                  <c:v>ՏԱՑ (աջ առանցք)</c:v>
                </c:pt>
              </c:strCache>
            </c:strRef>
          </c:tx>
          <c:spPr>
            <a:ln>
              <a:solidFill>
                <a:srgbClr val="4472C4">
                  <a:lumMod val="50000"/>
                </a:srgbClr>
              </a:solidFill>
            </a:ln>
            <a:effectLst/>
          </c:spPr>
          <c:marker>
            <c:spPr>
              <a:solidFill>
                <a:srgbClr val="4472C4">
                  <a:lumMod val="50000"/>
                </a:srgbClr>
              </a:solidFill>
              <a:ln>
                <a:solidFill>
                  <a:srgbClr val="4472C4">
                    <a:lumMod val="50000"/>
                  </a:srgbClr>
                </a:solidFill>
              </a:ln>
            </c:spPr>
          </c:marker>
          <c:dLbls>
            <c:dLbl>
              <c:idx val="0"/>
              <c:layout>
                <c:manualLayout>
                  <c:x val="-7.4340432891392097E-2"/>
                  <c:y val="-3.9567668246725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A3D-4309-B13C-37C8ACAA4F77}"/>
                </c:ext>
              </c:extLst>
            </c:dLbl>
            <c:dLbl>
              <c:idx val="1"/>
              <c:layout>
                <c:manualLayout>
                  <c:x val="-6.6032416275358941E-2"/>
                  <c:y val="-3.95676758671871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A3D-4309-B13C-37C8ACAA4F77}"/>
                </c:ext>
              </c:extLst>
            </c:dLbl>
            <c:dLbl>
              <c:idx val="2"/>
              <c:layout>
                <c:manualLayout>
                  <c:x val="-6.5992931985863978E-2"/>
                  <c:y val="-4.08708978491782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A3D-4309-B13C-37C8ACAA4F77}"/>
                </c:ext>
              </c:extLst>
            </c:dLbl>
            <c:dLbl>
              <c:idx val="3"/>
              <c:layout>
                <c:manualLayout>
                  <c:x val="-7.0156729787143782E-2"/>
                  <c:y val="-3.47656061521635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A3D-4309-B13C-37C8ACAA4F77}"/>
                </c:ext>
              </c:extLst>
            </c:dLbl>
            <c:dLbl>
              <c:idx val="4"/>
              <c:layout>
                <c:manualLayout>
                  <c:x val="-6.5992931985864117E-2"/>
                  <c:y val="-4.06014407773496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A3D-4309-B13C-37C8ACAA4F77}"/>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Sheet1!$B$1:$H$1</c:f>
              <c:strCache>
                <c:ptCount val="7"/>
                <c:pt idx="0">
                  <c:v>1</c:v>
                </c:pt>
                <c:pt idx="1">
                  <c:v>2</c:v>
                </c:pt>
                <c:pt idx="2">
                  <c:v>3</c:v>
                </c:pt>
                <c:pt idx="3">
                  <c:v>4</c:v>
                </c:pt>
                <c:pt idx="4">
                  <c:v>5</c:v>
                </c:pt>
                <c:pt idx="5">
                  <c:v>6</c:v>
                </c:pt>
                <c:pt idx="6">
                  <c:v>7</c:v>
                </c:pt>
              </c:strCache>
            </c:strRef>
          </c:cat>
          <c:val>
            <c:numRef>
              <c:f>Sheet1!$B$2:$H$2</c:f>
              <c:numCache>
                <c:formatCode>0.0</c:formatCode>
                <c:ptCount val="7"/>
                <c:pt idx="0">
                  <c:v>11.082558667182113</c:v>
                </c:pt>
                <c:pt idx="1">
                  <c:v>11.208028012080391</c:v>
                </c:pt>
                <c:pt idx="2">
                  <c:v>12.204814563542612</c:v>
                </c:pt>
                <c:pt idx="3">
                  <c:v>12.230835530153186</c:v>
                </c:pt>
                <c:pt idx="4">
                  <c:v>12.538770552084586</c:v>
                </c:pt>
                <c:pt idx="5">
                  <c:v>11.400000000000006</c:v>
                </c:pt>
                <c:pt idx="6">
                  <c:v>10.400000000000006</c:v>
                </c:pt>
              </c:numCache>
            </c:numRef>
          </c:val>
          <c:smooth val="0"/>
          <c:extLst>
            <c:ext xmlns:c16="http://schemas.microsoft.com/office/drawing/2014/chart" uri="{C3380CC4-5D6E-409C-BE32-E72D297353CC}">
              <c16:uniqueId val="{0000000A-5A3D-4309-B13C-37C8ACAA4F77}"/>
            </c:ext>
          </c:extLst>
        </c:ser>
        <c:dLbls>
          <c:showLegendKey val="0"/>
          <c:showVal val="0"/>
          <c:showCatName val="0"/>
          <c:showSerName val="0"/>
          <c:showPercent val="0"/>
          <c:showBubbleSize val="0"/>
        </c:dLbls>
        <c:marker val="1"/>
        <c:smooth val="0"/>
        <c:axId val="220863104"/>
        <c:axId val="220861568"/>
      </c:lineChart>
      <c:catAx>
        <c:axId val="220583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0585344"/>
        <c:crosses val="autoZero"/>
        <c:auto val="1"/>
        <c:lblAlgn val="ctr"/>
        <c:lblOffset val="100"/>
        <c:noMultiLvlLbl val="0"/>
      </c:catAx>
      <c:valAx>
        <c:axId val="220585344"/>
        <c:scaling>
          <c:orientation val="minMax"/>
          <c:max val="3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0583808"/>
        <c:crosses val="autoZero"/>
        <c:crossBetween val="between"/>
        <c:majorUnit val="6"/>
      </c:valAx>
      <c:valAx>
        <c:axId val="220861568"/>
        <c:scaling>
          <c:orientation val="minMax"/>
          <c:min val="0"/>
        </c:scaling>
        <c:delete val="0"/>
        <c:axPos val="r"/>
        <c:numFmt formatCode="0.0" sourceLinked="1"/>
        <c:majorTickMark val="out"/>
        <c:minorTickMark val="none"/>
        <c:tickLblPos val="nextTo"/>
        <c:crossAx val="220863104"/>
        <c:crosses val="max"/>
        <c:crossBetween val="between"/>
      </c:valAx>
      <c:catAx>
        <c:axId val="220863104"/>
        <c:scaling>
          <c:orientation val="minMax"/>
        </c:scaling>
        <c:delete val="1"/>
        <c:axPos val="b"/>
        <c:numFmt formatCode="General" sourceLinked="1"/>
        <c:majorTickMark val="out"/>
        <c:minorTickMark val="none"/>
        <c:tickLblPos val="none"/>
        <c:crossAx val="220861568"/>
        <c:crosses val="autoZero"/>
        <c:auto val="1"/>
        <c:lblAlgn val="ctr"/>
        <c:lblOffset val="100"/>
        <c:noMultiLvlLbl val="0"/>
      </c:catAx>
      <c:spPr>
        <a:no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7385904891447945"/>
        </c:manualLayout>
      </c:layout>
      <c:barChart>
        <c:barDir val="col"/>
        <c:grouping val="clustered"/>
        <c:varyColors val="0"/>
        <c:ser>
          <c:idx val="1"/>
          <c:order val="1"/>
          <c:tx>
            <c:strRef>
              <c:f>Sheet1!$A$3</c:f>
              <c:strCache>
                <c:ptCount val="1"/>
                <c:pt idx="0">
                  <c:v>արդյունաբերություն</c:v>
                </c:pt>
              </c:strCache>
            </c:strRef>
          </c:tx>
          <c:spPr>
            <a:solidFill>
              <a:srgbClr val="B4C7E7"/>
            </a:solidFill>
            <a:ln>
              <a:noFill/>
            </a:ln>
            <a:effectLst/>
          </c:spPr>
          <c:invertIfNegative val="0"/>
          <c:cat>
            <c:strRef>
              <c:f>Sheet1!$B$1:$H$1</c:f>
              <c:strCache>
                <c:ptCount val="7"/>
                <c:pt idx="0">
                  <c:v>1</c:v>
                </c:pt>
                <c:pt idx="1">
                  <c:v>2</c:v>
                </c:pt>
                <c:pt idx="2">
                  <c:v>3</c:v>
                </c:pt>
                <c:pt idx="3">
                  <c:v>4</c:v>
                </c:pt>
                <c:pt idx="4">
                  <c:v>5</c:v>
                </c:pt>
                <c:pt idx="5">
                  <c:v>6</c:v>
                </c:pt>
                <c:pt idx="6">
                  <c:v>7</c:v>
                </c:pt>
              </c:strCache>
            </c:strRef>
          </c:cat>
          <c:val>
            <c:numRef>
              <c:f>Sheet1!$B$3:$H$3</c:f>
              <c:numCache>
                <c:formatCode>0.0</c:formatCode>
                <c:ptCount val="7"/>
                <c:pt idx="0">
                  <c:v>1.4000000000000057</c:v>
                </c:pt>
                <c:pt idx="1">
                  <c:v>0.70000000000000284</c:v>
                </c:pt>
                <c:pt idx="2">
                  <c:v>8.5999999999999943</c:v>
                </c:pt>
                <c:pt idx="3">
                  <c:v>-0.79999999999999716</c:v>
                </c:pt>
                <c:pt idx="4">
                  <c:v>5.2999999999999972</c:v>
                </c:pt>
                <c:pt idx="5">
                  <c:v>-7.4000000000000057</c:v>
                </c:pt>
                <c:pt idx="6">
                  <c:v>-2.4000000000000057</c:v>
                </c:pt>
              </c:numCache>
            </c:numRef>
          </c:val>
          <c:extLst>
            <c:ext xmlns:c16="http://schemas.microsoft.com/office/drawing/2014/chart" uri="{C3380CC4-5D6E-409C-BE32-E72D297353CC}">
              <c16:uniqueId val="{00000000-5202-446A-BB0A-B8C33FBC2F79}"/>
            </c:ext>
          </c:extLst>
        </c:ser>
        <c:ser>
          <c:idx val="2"/>
          <c:order val="2"/>
          <c:tx>
            <c:strRef>
              <c:f>Sheet1!$A$4</c:f>
              <c:strCache>
                <c:ptCount val="1"/>
                <c:pt idx="0">
                  <c:v>շինարարություն</c:v>
                </c:pt>
              </c:strCache>
            </c:strRef>
          </c:tx>
          <c:spPr>
            <a:solidFill>
              <a:sysClr val="window" lastClr="FFFFFF">
                <a:lumMod val="65000"/>
              </a:sysClr>
            </a:solidFill>
            <a:ln>
              <a:noFill/>
            </a:ln>
            <a:effectLst/>
          </c:spPr>
          <c:invertIfNegative val="0"/>
          <c:cat>
            <c:strRef>
              <c:f>Sheet1!$B$1:$H$1</c:f>
              <c:strCache>
                <c:ptCount val="7"/>
                <c:pt idx="0">
                  <c:v>1</c:v>
                </c:pt>
                <c:pt idx="1">
                  <c:v>2</c:v>
                </c:pt>
                <c:pt idx="2">
                  <c:v>3</c:v>
                </c:pt>
                <c:pt idx="3">
                  <c:v>4</c:v>
                </c:pt>
                <c:pt idx="4">
                  <c:v>5</c:v>
                </c:pt>
                <c:pt idx="5">
                  <c:v>6</c:v>
                </c:pt>
                <c:pt idx="6">
                  <c:v>7</c:v>
                </c:pt>
              </c:strCache>
            </c:strRef>
          </c:cat>
          <c:val>
            <c:numRef>
              <c:f>Sheet1!$B$4:$H$4</c:f>
              <c:numCache>
                <c:formatCode>0.0</c:formatCode>
                <c:ptCount val="7"/>
                <c:pt idx="0">
                  <c:v>12.200000000000003</c:v>
                </c:pt>
                <c:pt idx="1">
                  <c:v>13.900000000000006</c:v>
                </c:pt>
                <c:pt idx="2">
                  <c:v>16.599999999999994</c:v>
                </c:pt>
                <c:pt idx="3">
                  <c:v>19.299999999999997</c:v>
                </c:pt>
                <c:pt idx="4">
                  <c:v>18.400000000000006</c:v>
                </c:pt>
                <c:pt idx="5">
                  <c:v>18.099999999999994</c:v>
                </c:pt>
                <c:pt idx="6">
                  <c:v>17.799999999999997</c:v>
                </c:pt>
              </c:numCache>
            </c:numRef>
          </c:val>
          <c:extLst>
            <c:ext xmlns:c16="http://schemas.microsoft.com/office/drawing/2014/chart" uri="{C3380CC4-5D6E-409C-BE32-E72D297353CC}">
              <c16:uniqueId val="{00000001-5202-446A-BB0A-B8C33FBC2F79}"/>
            </c:ext>
          </c:extLst>
        </c:ser>
        <c:ser>
          <c:idx val="3"/>
          <c:order val="3"/>
          <c:tx>
            <c:strRef>
              <c:f>Sheet1!$A$5</c:f>
              <c:strCache>
                <c:ptCount val="1"/>
                <c:pt idx="0">
                  <c:v>ծառայություններ</c:v>
                </c:pt>
              </c:strCache>
            </c:strRef>
          </c:tx>
          <c:spPr>
            <a:solidFill>
              <a:srgbClr val="ED7D31">
                <a:lumMod val="60000"/>
                <a:lumOff val="40000"/>
              </a:srgbClr>
            </a:solidFill>
            <a:ln>
              <a:noFill/>
            </a:ln>
            <a:effectLst/>
          </c:spPr>
          <c:invertIfNegative val="0"/>
          <c:cat>
            <c:strRef>
              <c:f>Sheet1!$B$1:$H$1</c:f>
              <c:strCache>
                <c:ptCount val="7"/>
                <c:pt idx="0">
                  <c:v>1</c:v>
                </c:pt>
                <c:pt idx="1">
                  <c:v>2</c:v>
                </c:pt>
                <c:pt idx="2">
                  <c:v>3</c:v>
                </c:pt>
                <c:pt idx="3">
                  <c:v>4</c:v>
                </c:pt>
                <c:pt idx="4">
                  <c:v>5</c:v>
                </c:pt>
                <c:pt idx="5">
                  <c:v>6</c:v>
                </c:pt>
                <c:pt idx="6">
                  <c:v>7</c:v>
                </c:pt>
              </c:strCache>
            </c:strRef>
          </c:cat>
          <c:val>
            <c:numRef>
              <c:f>Sheet1!$B$5:$H$5</c:f>
              <c:numCache>
                <c:formatCode>0.0</c:formatCode>
                <c:ptCount val="7"/>
                <c:pt idx="0">
                  <c:v>25.900000000000006</c:v>
                </c:pt>
                <c:pt idx="1">
                  <c:v>21.200000000000003</c:v>
                </c:pt>
                <c:pt idx="2">
                  <c:v>21.900000000000006</c:v>
                </c:pt>
                <c:pt idx="3">
                  <c:v>20.400000000000006</c:v>
                </c:pt>
                <c:pt idx="4">
                  <c:v>12.299999999999997</c:v>
                </c:pt>
                <c:pt idx="5">
                  <c:v>4</c:v>
                </c:pt>
                <c:pt idx="6">
                  <c:v>5.7999999999999972</c:v>
                </c:pt>
              </c:numCache>
            </c:numRef>
          </c:val>
          <c:extLst>
            <c:ext xmlns:c16="http://schemas.microsoft.com/office/drawing/2014/chart" uri="{C3380CC4-5D6E-409C-BE32-E72D297353CC}">
              <c16:uniqueId val="{00000002-5202-446A-BB0A-B8C33FBC2F79}"/>
            </c:ext>
          </c:extLst>
        </c:ser>
        <c:ser>
          <c:idx val="4"/>
          <c:order val="4"/>
          <c:tx>
            <c:strRef>
              <c:f>Sheet1!$A$6</c:f>
              <c:strCache>
                <c:ptCount val="1"/>
                <c:pt idx="0">
                  <c:v>առևտուր</c:v>
                </c:pt>
              </c:strCache>
            </c:strRef>
          </c:tx>
          <c:spPr>
            <a:solidFill>
              <a:srgbClr val="4472C4">
                <a:lumMod val="50000"/>
              </a:srgbClr>
            </a:solidFill>
            <a:ln>
              <a:noFill/>
            </a:ln>
          </c:spPr>
          <c:invertIfNegative val="0"/>
          <c:cat>
            <c:strRef>
              <c:f>Sheet1!$B$1:$H$1</c:f>
              <c:strCache>
                <c:ptCount val="7"/>
                <c:pt idx="0">
                  <c:v>1</c:v>
                </c:pt>
                <c:pt idx="1">
                  <c:v>2</c:v>
                </c:pt>
                <c:pt idx="2">
                  <c:v>3</c:v>
                </c:pt>
                <c:pt idx="3">
                  <c:v>4</c:v>
                </c:pt>
                <c:pt idx="4">
                  <c:v>5</c:v>
                </c:pt>
                <c:pt idx="5">
                  <c:v>6</c:v>
                </c:pt>
                <c:pt idx="6">
                  <c:v>7</c:v>
                </c:pt>
              </c:strCache>
            </c:strRef>
          </c:cat>
          <c:val>
            <c:numRef>
              <c:f>Sheet1!$B$6:$H$6</c:f>
              <c:numCache>
                <c:formatCode>0.0</c:formatCode>
                <c:ptCount val="7"/>
                <c:pt idx="0">
                  <c:v>17.700000000000003</c:v>
                </c:pt>
                <c:pt idx="1">
                  <c:v>18.200000000000003</c:v>
                </c:pt>
                <c:pt idx="2">
                  <c:v>26.099999999999994</c:v>
                </c:pt>
                <c:pt idx="3">
                  <c:v>28.900000000000006</c:v>
                </c:pt>
                <c:pt idx="4">
                  <c:v>28.599999999999994</c:v>
                </c:pt>
                <c:pt idx="5">
                  <c:v>20.299999999999997</c:v>
                </c:pt>
                <c:pt idx="6">
                  <c:v>20.400000000000006</c:v>
                </c:pt>
              </c:numCache>
            </c:numRef>
          </c:val>
          <c:extLst>
            <c:ext xmlns:c16="http://schemas.microsoft.com/office/drawing/2014/chart" uri="{C3380CC4-5D6E-409C-BE32-E72D297353CC}">
              <c16:uniqueId val="{00000003-5202-446A-BB0A-B8C33FBC2F79}"/>
            </c:ext>
          </c:extLst>
        </c:ser>
        <c:dLbls>
          <c:showLegendKey val="0"/>
          <c:showVal val="0"/>
          <c:showCatName val="0"/>
          <c:showSerName val="0"/>
          <c:showPercent val="0"/>
          <c:showBubbleSize val="0"/>
        </c:dLbls>
        <c:gapWidth val="219"/>
        <c:overlap val="-27"/>
        <c:axId val="220999040"/>
        <c:axId val="221000832"/>
      </c:barChart>
      <c:lineChart>
        <c:grouping val="standard"/>
        <c:varyColors val="0"/>
        <c:ser>
          <c:idx val="0"/>
          <c:order val="0"/>
          <c:tx>
            <c:strRef>
              <c:f>Sheet1!$A$2</c:f>
              <c:strCache>
                <c:ptCount val="1"/>
                <c:pt idx="0">
                  <c:v>ՏԱՑ (աջ առանցք)</c:v>
                </c:pt>
              </c:strCache>
            </c:strRef>
          </c:tx>
          <c:spPr>
            <a:ln>
              <a:solidFill>
                <a:srgbClr val="4472C4">
                  <a:lumMod val="75000"/>
                </a:srgbClr>
              </a:solidFill>
            </a:ln>
            <a:effectLst/>
          </c:spPr>
          <c:marker>
            <c:spPr>
              <a:solidFill>
                <a:srgbClr val="4472C4">
                  <a:lumMod val="75000"/>
                </a:srgbClr>
              </a:solidFill>
              <a:ln>
                <a:solidFill>
                  <a:srgbClr val="4472C4">
                    <a:lumMod val="75000"/>
                  </a:srgbClr>
                </a:solidFill>
              </a:ln>
            </c:spPr>
          </c:marker>
          <c:dLbls>
            <c:dLbl>
              <c:idx val="0"/>
              <c:layout>
                <c:manualLayout>
                  <c:x val="-7.8776473695505042E-2"/>
                  <c:y val="-4.62473778171951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202-446A-BB0A-B8C33FBC2F79}"/>
                </c:ext>
              </c:extLst>
            </c:dLbl>
            <c:dLbl>
              <c:idx val="1"/>
              <c:layout>
                <c:manualLayout>
                  <c:x val="-7.45152610640651E-2"/>
                  <c:y val="-3.4363518975068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202-446A-BB0A-B8C33FBC2F79}"/>
                </c:ext>
              </c:extLst>
            </c:dLbl>
            <c:dLbl>
              <c:idx val="2"/>
              <c:layout>
                <c:manualLayout>
                  <c:x val="-7.0185707918585652E-2"/>
                  <c:y val="-4.46813057034342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202-446A-BB0A-B8C33FBC2F79}"/>
                </c:ext>
              </c:extLst>
            </c:dLbl>
            <c:dLbl>
              <c:idx val="3"/>
              <c:layout>
                <c:manualLayout>
                  <c:x val="-6.1868304197824325E-2"/>
                  <c:y val="-3.11927743785455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202-446A-BB0A-B8C33FBC2F79}"/>
                </c:ext>
              </c:extLst>
            </c:dLbl>
            <c:dLbl>
              <c:idx val="4"/>
              <c:layout>
                <c:manualLayout>
                  <c:x val="-6.5992988244999023E-2"/>
                  <c:y val="5.95238095238095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202-446A-BB0A-B8C33FBC2F79}"/>
                </c:ext>
              </c:extLst>
            </c:dLbl>
            <c:dLbl>
              <c:idx val="6"/>
              <c:layout>
                <c:manualLayout>
                  <c:x val="-3.7735849056603925E-2"/>
                  <c:y val="-5.836008170411492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202-446A-BB0A-B8C33FBC2F79}"/>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Sheet1!$B$1:$H$1</c:f>
              <c:strCache>
                <c:ptCount val="7"/>
                <c:pt idx="0">
                  <c:v>1</c:v>
                </c:pt>
                <c:pt idx="1">
                  <c:v>2</c:v>
                </c:pt>
                <c:pt idx="2">
                  <c:v>3</c:v>
                </c:pt>
                <c:pt idx="3">
                  <c:v>4</c:v>
                </c:pt>
                <c:pt idx="4">
                  <c:v>5</c:v>
                </c:pt>
                <c:pt idx="5">
                  <c:v>6</c:v>
                </c:pt>
                <c:pt idx="6">
                  <c:v>7</c:v>
                </c:pt>
              </c:strCache>
            </c:strRef>
          </c:cat>
          <c:val>
            <c:numRef>
              <c:f>Sheet1!$B$2:$H$2</c:f>
              <c:numCache>
                <c:formatCode>0.0</c:formatCode>
                <c:ptCount val="7"/>
                <c:pt idx="0">
                  <c:v>11.082558667182113</c:v>
                </c:pt>
                <c:pt idx="1">
                  <c:v>11.326720183465838</c:v>
                </c:pt>
                <c:pt idx="2">
                  <c:v>13.995446267327168</c:v>
                </c:pt>
                <c:pt idx="3">
                  <c:v>12.299999999999997</c:v>
                </c:pt>
                <c:pt idx="4">
                  <c:v>13.599999999999994</c:v>
                </c:pt>
                <c:pt idx="5">
                  <c:v>6.7999999999999972</c:v>
                </c:pt>
                <c:pt idx="6">
                  <c:v>6</c:v>
                </c:pt>
              </c:numCache>
            </c:numRef>
          </c:val>
          <c:smooth val="0"/>
          <c:extLst>
            <c:ext xmlns:c16="http://schemas.microsoft.com/office/drawing/2014/chart" uri="{C3380CC4-5D6E-409C-BE32-E72D297353CC}">
              <c16:uniqueId val="{0000000A-5202-446A-BB0A-B8C33FBC2F79}"/>
            </c:ext>
          </c:extLst>
        </c:ser>
        <c:dLbls>
          <c:showLegendKey val="0"/>
          <c:showVal val="0"/>
          <c:showCatName val="0"/>
          <c:showSerName val="0"/>
          <c:showPercent val="0"/>
          <c:showBubbleSize val="0"/>
        </c:dLbls>
        <c:marker val="1"/>
        <c:smooth val="0"/>
        <c:axId val="221004160"/>
        <c:axId val="221002368"/>
      </c:lineChart>
      <c:catAx>
        <c:axId val="2209990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1000832"/>
        <c:crosses val="autoZero"/>
        <c:auto val="1"/>
        <c:lblAlgn val="ctr"/>
        <c:lblOffset val="100"/>
        <c:noMultiLvlLbl val="0"/>
      </c:catAx>
      <c:valAx>
        <c:axId val="221000832"/>
        <c:scaling>
          <c:orientation val="minMax"/>
          <c:max val="30"/>
          <c:min val="-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0999040"/>
        <c:crosses val="autoZero"/>
        <c:crossBetween val="between"/>
        <c:majorUnit val="4"/>
      </c:valAx>
      <c:valAx>
        <c:axId val="221002368"/>
        <c:scaling>
          <c:orientation val="minMax"/>
        </c:scaling>
        <c:delete val="0"/>
        <c:axPos val="r"/>
        <c:numFmt formatCode="0.0" sourceLinked="1"/>
        <c:majorTickMark val="out"/>
        <c:minorTickMark val="none"/>
        <c:tickLblPos val="nextTo"/>
        <c:crossAx val="221004160"/>
        <c:crosses val="max"/>
        <c:crossBetween val="between"/>
      </c:valAx>
      <c:catAx>
        <c:axId val="221004160"/>
        <c:scaling>
          <c:orientation val="minMax"/>
        </c:scaling>
        <c:delete val="1"/>
        <c:axPos val="b"/>
        <c:numFmt formatCode="General" sourceLinked="1"/>
        <c:majorTickMark val="out"/>
        <c:minorTickMark val="none"/>
        <c:tickLblPos val="none"/>
        <c:crossAx val="221002368"/>
        <c:crosses val="autoZero"/>
        <c:auto val="1"/>
        <c:lblAlgn val="ctr"/>
        <c:lblOffset val="100"/>
        <c:noMultiLvlLbl val="0"/>
      </c:catAx>
      <c:spPr>
        <a:noFill/>
        <a:ln>
          <a:noFill/>
        </a:ln>
        <a:effectLst/>
      </c:spPr>
    </c:plotArea>
    <c:legend>
      <c:legendPos val="b"/>
      <c:layout>
        <c:manualLayout>
          <c:xMode val="edge"/>
          <c:yMode val="edge"/>
          <c:x val="3.9212598425196851E-2"/>
          <c:y val="0.83531749952323964"/>
          <c:w val="0.92687606666201161"/>
          <c:h val="0.1646825004767605"/>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60619753682232735"/>
        </c:manualLayout>
      </c:layout>
      <c:barChart>
        <c:barDir val="col"/>
        <c:grouping val="stacked"/>
        <c:varyColors val="0"/>
        <c:ser>
          <c:idx val="1"/>
          <c:order val="1"/>
          <c:tx>
            <c:strRef>
              <c:f>Sheet1!$A$3</c:f>
              <c:strCache>
                <c:ptCount val="1"/>
                <c:pt idx="0">
                  <c:v>արդյունաբերություն</c:v>
                </c:pt>
              </c:strCache>
            </c:strRef>
          </c:tx>
          <c:spPr>
            <a:solidFill>
              <a:srgbClr val="B4C7E7"/>
            </a:solidFill>
            <a:ln>
              <a:noFill/>
            </a:ln>
            <a:effectLst/>
          </c:spPr>
          <c:invertIfNegative val="0"/>
          <c:cat>
            <c:strRef>
              <c:f>Sheet1!$B$1:$H$1</c:f>
              <c:strCache>
                <c:ptCount val="7"/>
                <c:pt idx="0">
                  <c:v>1</c:v>
                </c:pt>
                <c:pt idx="1">
                  <c:v>2</c:v>
                </c:pt>
                <c:pt idx="2">
                  <c:v>3</c:v>
                </c:pt>
                <c:pt idx="3">
                  <c:v>4</c:v>
                </c:pt>
                <c:pt idx="4">
                  <c:v>5</c:v>
                </c:pt>
                <c:pt idx="5">
                  <c:v>6</c:v>
                </c:pt>
                <c:pt idx="6">
                  <c:v>7</c:v>
                </c:pt>
              </c:strCache>
            </c:strRef>
          </c:cat>
          <c:val>
            <c:numRef>
              <c:f>Sheet1!$B$3:$H$3</c:f>
              <c:numCache>
                <c:formatCode>0.0</c:formatCode>
                <c:ptCount val="7"/>
                <c:pt idx="0">
                  <c:v>0.28361096295453792</c:v>
                </c:pt>
                <c:pt idx="1">
                  <c:v>0.20257925925324055</c:v>
                </c:pt>
                <c:pt idx="2">
                  <c:v>0.72928533331166479</c:v>
                </c:pt>
                <c:pt idx="3">
                  <c:v>0.48619022220777847</c:v>
                </c:pt>
                <c:pt idx="4">
                  <c:v>0.60773777775972171</c:v>
                </c:pt>
                <c:pt idx="5">
                  <c:v>0.20257925925324055</c:v>
                </c:pt>
                <c:pt idx="6">
                  <c:v>0.10128962962662028</c:v>
                </c:pt>
              </c:numCache>
            </c:numRef>
          </c:val>
          <c:extLst>
            <c:ext xmlns:c16="http://schemas.microsoft.com/office/drawing/2014/chart" uri="{C3380CC4-5D6E-409C-BE32-E72D297353CC}">
              <c16:uniqueId val="{00000000-A175-4155-93F2-E6DF18DBBBBD}"/>
            </c:ext>
          </c:extLst>
        </c:ser>
        <c:ser>
          <c:idx val="2"/>
          <c:order val="2"/>
          <c:tx>
            <c:strRef>
              <c:f>Sheet1!$A$4</c:f>
              <c:strCache>
                <c:ptCount val="1"/>
                <c:pt idx="0">
                  <c:v>գյուղատնտեսություն</c:v>
                </c:pt>
              </c:strCache>
            </c:strRef>
          </c:tx>
          <c:spPr>
            <a:solidFill>
              <a:srgbClr val="8064A2"/>
            </a:solidFill>
            <a:ln>
              <a:noFill/>
            </a:ln>
            <a:effectLst/>
          </c:spPr>
          <c:invertIfNegative val="0"/>
          <c:cat>
            <c:strRef>
              <c:f>Sheet1!$B$1:$H$1</c:f>
              <c:strCache>
                <c:ptCount val="7"/>
                <c:pt idx="0">
                  <c:v>1</c:v>
                </c:pt>
                <c:pt idx="1">
                  <c:v>2</c:v>
                </c:pt>
                <c:pt idx="2">
                  <c:v>3</c:v>
                </c:pt>
                <c:pt idx="3">
                  <c:v>4</c:v>
                </c:pt>
                <c:pt idx="4">
                  <c:v>5</c:v>
                </c:pt>
                <c:pt idx="5">
                  <c:v>6</c:v>
                </c:pt>
                <c:pt idx="6">
                  <c:v>7</c:v>
                </c:pt>
              </c:strCache>
            </c:strRef>
          </c:cat>
          <c:val>
            <c:numRef>
              <c:f>Sheet1!$B$4:$H$4</c:f>
              <c:numCache>
                <c:formatCode>0.0</c:formatCode>
                <c:ptCount val="7"/>
                <c:pt idx="0">
                  <c:v>0</c:v>
                </c:pt>
                <c:pt idx="1">
                  <c:v>0</c:v>
                </c:pt>
                <c:pt idx="2">
                  <c:v>0.15923032869221235</c:v>
                </c:pt>
                <c:pt idx="3">
                  <c:v>0</c:v>
                </c:pt>
                <c:pt idx="4">
                  <c:v>0</c:v>
                </c:pt>
                <c:pt idx="5">
                  <c:v>0.22747189813173102</c:v>
                </c:pt>
                <c:pt idx="6">
                  <c:v>0</c:v>
                </c:pt>
              </c:numCache>
            </c:numRef>
          </c:val>
          <c:extLst>
            <c:ext xmlns:c16="http://schemas.microsoft.com/office/drawing/2014/chart" uri="{C3380CC4-5D6E-409C-BE32-E72D297353CC}">
              <c16:uniqueId val="{00000001-A175-4155-93F2-E6DF18DBBBBD}"/>
            </c:ext>
          </c:extLst>
        </c:ser>
        <c:ser>
          <c:idx val="3"/>
          <c:order val="3"/>
          <c:tx>
            <c:strRef>
              <c:f>Sheet1!$A$5</c:f>
              <c:strCache>
                <c:ptCount val="1"/>
                <c:pt idx="0">
                  <c:v>շինարարություն</c:v>
                </c:pt>
              </c:strCache>
            </c:strRef>
          </c:tx>
          <c:spPr>
            <a:solidFill>
              <a:sysClr val="window" lastClr="FFFFFF">
                <a:lumMod val="65000"/>
              </a:sysClr>
            </a:solidFill>
            <a:ln>
              <a:noFill/>
            </a:ln>
            <a:effectLst/>
          </c:spPr>
          <c:invertIfNegative val="0"/>
          <c:cat>
            <c:strRef>
              <c:f>Sheet1!$B$1:$H$1</c:f>
              <c:strCache>
                <c:ptCount val="7"/>
                <c:pt idx="0">
                  <c:v>1</c:v>
                </c:pt>
                <c:pt idx="1">
                  <c:v>2</c:v>
                </c:pt>
                <c:pt idx="2">
                  <c:v>3</c:v>
                </c:pt>
                <c:pt idx="3">
                  <c:v>4</c:v>
                </c:pt>
                <c:pt idx="4">
                  <c:v>5</c:v>
                </c:pt>
                <c:pt idx="5">
                  <c:v>6</c:v>
                </c:pt>
                <c:pt idx="6">
                  <c:v>7</c:v>
                </c:pt>
              </c:strCache>
            </c:strRef>
          </c:cat>
          <c:val>
            <c:numRef>
              <c:f>Sheet1!$B$5:$H$5</c:f>
              <c:numCache>
                <c:formatCode>0.0</c:formatCode>
                <c:ptCount val="7"/>
                <c:pt idx="0">
                  <c:v>0.91037338358597975</c:v>
                </c:pt>
                <c:pt idx="1">
                  <c:v>1.0372286911348458</c:v>
                </c:pt>
                <c:pt idx="2">
                  <c:v>1.2387047678301029</c:v>
                </c:pt>
                <c:pt idx="3">
                  <c:v>1.4401808445253608</c:v>
                </c:pt>
                <c:pt idx="4">
                  <c:v>1.2461668447447427</c:v>
                </c:pt>
                <c:pt idx="5">
                  <c:v>1.26855307548866</c:v>
                </c:pt>
                <c:pt idx="6">
                  <c:v>1.2834772293179386</c:v>
                </c:pt>
              </c:numCache>
            </c:numRef>
          </c:val>
          <c:extLst>
            <c:ext xmlns:c16="http://schemas.microsoft.com/office/drawing/2014/chart" uri="{C3380CC4-5D6E-409C-BE32-E72D297353CC}">
              <c16:uniqueId val="{00000002-A175-4155-93F2-E6DF18DBBBBD}"/>
            </c:ext>
          </c:extLst>
        </c:ser>
        <c:ser>
          <c:idx val="4"/>
          <c:order val="4"/>
          <c:tx>
            <c:strRef>
              <c:f>Sheet1!$A$6</c:f>
              <c:strCache>
                <c:ptCount val="1"/>
                <c:pt idx="0">
                  <c:v>ծառայություններ</c:v>
                </c:pt>
              </c:strCache>
            </c:strRef>
          </c:tx>
          <c:spPr>
            <a:solidFill>
              <a:srgbClr val="ED7D31">
                <a:lumMod val="60000"/>
                <a:lumOff val="40000"/>
              </a:srgbClr>
            </a:solidFill>
            <a:ln>
              <a:noFill/>
            </a:ln>
          </c:spPr>
          <c:invertIfNegative val="0"/>
          <c:cat>
            <c:strRef>
              <c:f>Sheet1!$B$1:$H$1</c:f>
              <c:strCache>
                <c:ptCount val="7"/>
                <c:pt idx="0">
                  <c:v>1</c:v>
                </c:pt>
                <c:pt idx="1">
                  <c:v>2</c:v>
                </c:pt>
                <c:pt idx="2">
                  <c:v>3</c:v>
                </c:pt>
                <c:pt idx="3">
                  <c:v>4</c:v>
                </c:pt>
                <c:pt idx="4">
                  <c:v>5</c:v>
                </c:pt>
                <c:pt idx="5">
                  <c:v>6</c:v>
                </c:pt>
                <c:pt idx="6">
                  <c:v>7</c:v>
                </c:pt>
              </c:strCache>
            </c:strRef>
          </c:cat>
          <c:val>
            <c:numRef>
              <c:f>Sheet1!$B$6:$H$6</c:f>
              <c:numCache>
                <c:formatCode>0.0</c:formatCode>
                <c:ptCount val="7"/>
                <c:pt idx="0">
                  <c:v>7.7192168952389961</c:v>
                </c:pt>
                <c:pt idx="1">
                  <c:v>7.0305562982973679</c:v>
                </c:pt>
                <c:pt idx="2">
                  <c:v>6.7769568565457767</c:v>
                </c:pt>
                <c:pt idx="3">
                  <c:v>6.7265338012950213</c:v>
                </c:pt>
                <c:pt idx="4">
                  <c:v>6.2718279788346427</c:v>
                </c:pt>
                <c:pt idx="5">
                  <c:v>5.5151917638749852</c:v>
                </c:pt>
                <c:pt idx="6">
                  <c:v>4.9825377077632886</c:v>
                </c:pt>
              </c:numCache>
            </c:numRef>
          </c:val>
          <c:extLst>
            <c:ext xmlns:c16="http://schemas.microsoft.com/office/drawing/2014/chart" uri="{C3380CC4-5D6E-409C-BE32-E72D297353CC}">
              <c16:uniqueId val="{00000003-A175-4155-93F2-E6DF18DBBBBD}"/>
            </c:ext>
          </c:extLst>
        </c:ser>
        <c:ser>
          <c:idx val="5"/>
          <c:order val="5"/>
          <c:tx>
            <c:strRef>
              <c:f>Sheet1!$A$7</c:f>
              <c:strCache>
                <c:ptCount val="1"/>
                <c:pt idx="0">
                  <c:v>առևտուր</c:v>
                </c:pt>
              </c:strCache>
            </c:strRef>
          </c:tx>
          <c:spPr>
            <a:solidFill>
              <a:srgbClr val="4472C4">
                <a:lumMod val="50000"/>
              </a:srgbClr>
            </a:solidFill>
            <a:ln>
              <a:noFill/>
            </a:ln>
          </c:spPr>
          <c:invertIfNegative val="0"/>
          <c:cat>
            <c:strRef>
              <c:f>Sheet1!$B$1:$H$1</c:f>
              <c:strCache>
                <c:ptCount val="7"/>
                <c:pt idx="0">
                  <c:v>1</c:v>
                </c:pt>
                <c:pt idx="1">
                  <c:v>2</c:v>
                </c:pt>
                <c:pt idx="2">
                  <c:v>3</c:v>
                </c:pt>
                <c:pt idx="3">
                  <c:v>4</c:v>
                </c:pt>
                <c:pt idx="4">
                  <c:v>5</c:v>
                </c:pt>
                <c:pt idx="5">
                  <c:v>6</c:v>
                </c:pt>
                <c:pt idx="6">
                  <c:v>7</c:v>
                </c:pt>
              </c:strCache>
            </c:strRef>
          </c:cat>
          <c:val>
            <c:numRef>
              <c:f>Sheet1!$B$7:$H$7</c:f>
              <c:numCache>
                <c:formatCode>0.0</c:formatCode>
                <c:ptCount val="7"/>
                <c:pt idx="0">
                  <c:v>2.2494476716460814</c:v>
                </c:pt>
                <c:pt idx="1">
                  <c:v>2.2875739033688958</c:v>
                </c:pt>
                <c:pt idx="2">
                  <c:v>2.6688362205970453</c:v>
                </c:pt>
                <c:pt idx="3">
                  <c:v>2.9484285865643551</c:v>
                </c:pt>
                <c:pt idx="4">
                  <c:v>3.1136422573632196</c:v>
                </c:pt>
                <c:pt idx="5">
                  <c:v>2.9992635621947739</c:v>
                </c:pt>
                <c:pt idx="6">
                  <c:v>2.9230110987491447</c:v>
                </c:pt>
              </c:numCache>
            </c:numRef>
          </c:val>
          <c:extLst>
            <c:ext xmlns:c16="http://schemas.microsoft.com/office/drawing/2014/chart" uri="{C3380CC4-5D6E-409C-BE32-E72D297353CC}">
              <c16:uniqueId val="{00000004-A175-4155-93F2-E6DF18DBBBBD}"/>
            </c:ext>
          </c:extLst>
        </c:ser>
        <c:ser>
          <c:idx val="6"/>
          <c:order val="6"/>
          <c:tx>
            <c:strRef>
              <c:f>Sheet1!$A$8</c:f>
              <c:strCache>
                <c:ptCount val="1"/>
                <c:pt idx="0">
                  <c:v>այլ </c:v>
                </c:pt>
              </c:strCache>
            </c:strRef>
          </c:tx>
          <c:spPr>
            <a:solidFill>
              <a:srgbClr val="5B9BD5">
                <a:lumMod val="75000"/>
              </a:srgbClr>
            </a:solidFill>
          </c:spPr>
          <c:invertIfNegative val="0"/>
          <c:cat>
            <c:strRef>
              <c:f>Sheet1!$B$1:$H$1</c:f>
              <c:strCache>
                <c:ptCount val="7"/>
                <c:pt idx="0">
                  <c:v>1</c:v>
                </c:pt>
                <c:pt idx="1">
                  <c:v>2</c:v>
                </c:pt>
                <c:pt idx="2">
                  <c:v>3</c:v>
                </c:pt>
                <c:pt idx="3">
                  <c:v>4</c:v>
                </c:pt>
                <c:pt idx="4">
                  <c:v>5</c:v>
                </c:pt>
                <c:pt idx="5">
                  <c:v>6</c:v>
                </c:pt>
                <c:pt idx="6">
                  <c:v>7</c:v>
                </c:pt>
              </c:strCache>
            </c:strRef>
          </c:cat>
          <c:val>
            <c:numRef>
              <c:f>Sheet1!$B$8:$H$8</c:f>
              <c:numCache>
                <c:formatCode>0.0</c:formatCode>
                <c:ptCount val="7"/>
                <c:pt idx="0">
                  <c:v>-8.0090246243482266E-2</c:v>
                </c:pt>
                <c:pt idx="1">
                  <c:v>0.65008986002603963</c:v>
                </c:pt>
                <c:pt idx="2">
                  <c:v>0.63180105656580898</c:v>
                </c:pt>
                <c:pt idx="3">
                  <c:v>0.62950207556067017</c:v>
                </c:pt>
                <c:pt idx="4">
                  <c:v>1.2993956933822592</c:v>
                </c:pt>
                <c:pt idx="5">
                  <c:v>1.1869404410566149</c:v>
                </c:pt>
                <c:pt idx="6">
                  <c:v>1.1096843345430134</c:v>
                </c:pt>
              </c:numCache>
            </c:numRef>
          </c:val>
          <c:extLst>
            <c:ext xmlns:c16="http://schemas.microsoft.com/office/drawing/2014/chart" uri="{C3380CC4-5D6E-409C-BE32-E72D297353CC}">
              <c16:uniqueId val="{00000005-A175-4155-93F2-E6DF18DBBBBD}"/>
            </c:ext>
          </c:extLst>
        </c:ser>
        <c:dLbls>
          <c:showLegendKey val="0"/>
          <c:showVal val="0"/>
          <c:showCatName val="0"/>
          <c:showSerName val="0"/>
          <c:showPercent val="0"/>
          <c:showBubbleSize val="0"/>
        </c:dLbls>
        <c:gapWidth val="150"/>
        <c:overlap val="100"/>
        <c:axId val="222515968"/>
        <c:axId val="222517504"/>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ln>
                <a:solidFill>
                  <a:srgbClr val="4472C4">
                    <a:lumMod val="75000"/>
                  </a:srgbClr>
                </a:solidFill>
              </a:ln>
            </c:spPr>
          </c:marker>
          <c:dLbls>
            <c:dLbl>
              <c:idx val="0"/>
              <c:layout>
                <c:manualLayout>
                  <c:x val="-6.1518110236220475E-2"/>
                  <c:y val="-4.3751508151632812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175-4155-93F2-E6DF18DBBBBD}"/>
                </c:ext>
              </c:extLst>
            </c:dLbl>
            <c:dLbl>
              <c:idx val="1"/>
              <c:layout>
                <c:manualLayout>
                  <c:x val="-7.9733494851605094E-2"/>
                  <c:y val="-4.3751508151632812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175-4155-93F2-E6DF18DBBBBD}"/>
                </c:ext>
              </c:extLst>
            </c:dLbl>
            <c:dLbl>
              <c:idx val="2"/>
              <c:layout>
                <c:manualLayout>
                  <c:x val="-6.5128366646476962E-2"/>
                  <c:y val="-3.1850288276595598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175-4155-93F2-E6DF18DBBBBD}"/>
                </c:ext>
              </c:extLst>
            </c:dLbl>
            <c:dLbl>
              <c:idx val="3"/>
              <c:layout>
                <c:manualLayout>
                  <c:x val="-6.9230930749040992E-2"/>
                  <c:y val="-5.5652728026669991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175-4155-93F2-E6DF18DBBBBD}"/>
                </c:ext>
              </c:extLst>
            </c:dLbl>
            <c:dLbl>
              <c:idx val="4"/>
              <c:layout>
                <c:manualLayout>
                  <c:x val="-6.1702564102564028E-2"/>
                  <c:y val="-6.755394790170717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175-4155-93F2-E6DF18DBBBBD}"/>
                </c:ext>
              </c:extLst>
            </c:dLbl>
            <c:dLbl>
              <c:idx val="5"/>
              <c:layout>
                <c:manualLayout>
                  <c:x val="-4.6287260246315368E-2"/>
                  <c:y val="-7.91576372798684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175-4155-93F2-E6DF18DBBBBD}"/>
                </c:ext>
              </c:extLst>
            </c:dLbl>
            <c:dLbl>
              <c:idx val="6"/>
              <c:layout>
                <c:manualLayout>
                  <c:x val="-4.7727680193821925E-2"/>
                  <c:y val="-6.725641740483123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A175-4155-93F2-E6DF18DBBBBD}"/>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Sheet1!$B$1:$H$1</c:f>
              <c:strCache>
                <c:ptCount val="7"/>
                <c:pt idx="0">
                  <c:v>1</c:v>
                </c:pt>
                <c:pt idx="1">
                  <c:v>2</c:v>
                </c:pt>
                <c:pt idx="2">
                  <c:v>3</c:v>
                </c:pt>
                <c:pt idx="3">
                  <c:v>4</c:v>
                </c:pt>
                <c:pt idx="4">
                  <c:v>5</c:v>
                </c:pt>
                <c:pt idx="5">
                  <c:v>6</c:v>
                </c:pt>
                <c:pt idx="6">
                  <c:v>7</c:v>
                </c:pt>
              </c:strCache>
            </c:strRef>
          </c:cat>
          <c:val>
            <c:numRef>
              <c:f>Sheet1!$B$2:$H$2</c:f>
              <c:numCache>
                <c:formatCode>0.0</c:formatCode>
                <c:ptCount val="7"/>
                <c:pt idx="0">
                  <c:v>11.082558667182113</c:v>
                </c:pt>
                <c:pt idx="1">
                  <c:v>11.208028012080391</c:v>
                </c:pt>
                <c:pt idx="2">
                  <c:v>12.204814563542612</c:v>
                </c:pt>
                <c:pt idx="3">
                  <c:v>12.230835530153186</c:v>
                </c:pt>
                <c:pt idx="4">
                  <c:v>12.538770552084586</c:v>
                </c:pt>
                <c:pt idx="5">
                  <c:v>11.400000000000006</c:v>
                </c:pt>
                <c:pt idx="6">
                  <c:v>10.400000000000006</c:v>
                </c:pt>
              </c:numCache>
            </c:numRef>
          </c:val>
          <c:smooth val="0"/>
          <c:extLst>
            <c:ext xmlns:c16="http://schemas.microsoft.com/office/drawing/2014/chart" uri="{C3380CC4-5D6E-409C-BE32-E72D297353CC}">
              <c16:uniqueId val="{0000000D-A175-4155-93F2-E6DF18DBBBBD}"/>
            </c:ext>
          </c:extLst>
        </c:ser>
        <c:dLbls>
          <c:showLegendKey val="0"/>
          <c:showVal val="0"/>
          <c:showCatName val="0"/>
          <c:showSerName val="0"/>
          <c:showPercent val="0"/>
          <c:showBubbleSize val="0"/>
        </c:dLbls>
        <c:marker val="1"/>
        <c:smooth val="0"/>
        <c:axId val="222515968"/>
        <c:axId val="222517504"/>
      </c:lineChart>
      <c:catAx>
        <c:axId val="2225159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2517504"/>
        <c:crosses val="autoZero"/>
        <c:auto val="1"/>
        <c:lblAlgn val="ctr"/>
        <c:lblOffset val="100"/>
        <c:noMultiLvlLbl val="0"/>
      </c:catAx>
      <c:valAx>
        <c:axId val="222517504"/>
        <c:scaling>
          <c:orientation val="minMax"/>
          <c:max val="16"/>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2515968"/>
        <c:crosses val="autoZero"/>
        <c:crossBetween val="between"/>
        <c:majorUnit val="5"/>
      </c:valAx>
      <c:spPr>
        <a:noFill/>
        <a:ln>
          <a:noFill/>
        </a:ln>
        <a:effectLst/>
      </c:spPr>
    </c:plotArea>
    <c:legend>
      <c:legendPos val="b"/>
      <c:layout>
        <c:manualLayout>
          <c:xMode val="edge"/>
          <c:yMode val="edge"/>
          <c:x val="3.9212662156607202E-2"/>
          <c:y val="0.78849142667044636"/>
          <c:w val="0.93458477517078753"/>
          <c:h val="0.2115085733295536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65230133105322941"/>
        </c:manualLayout>
      </c:layout>
      <c:barChart>
        <c:barDir val="col"/>
        <c:grouping val="stacked"/>
        <c:varyColors val="0"/>
        <c:ser>
          <c:idx val="1"/>
          <c:order val="1"/>
          <c:tx>
            <c:strRef>
              <c:f>Sheet1!$A$3</c:f>
              <c:strCache>
                <c:ptCount val="1"/>
                <c:pt idx="0">
                  <c:v>արդյունաբերություն</c:v>
                </c:pt>
              </c:strCache>
            </c:strRef>
          </c:tx>
          <c:spPr>
            <a:solidFill>
              <a:srgbClr val="B4C7E7"/>
            </a:solidFill>
            <a:ln>
              <a:noFill/>
            </a:ln>
            <a:effectLst/>
          </c:spPr>
          <c:invertIfNegative val="0"/>
          <c:cat>
            <c:strRef>
              <c:f>Sheet1!$B$1:$H$1</c:f>
              <c:strCache>
                <c:ptCount val="7"/>
                <c:pt idx="0">
                  <c:v>1</c:v>
                </c:pt>
                <c:pt idx="1">
                  <c:v>2</c:v>
                </c:pt>
                <c:pt idx="2">
                  <c:v>3</c:v>
                </c:pt>
                <c:pt idx="3">
                  <c:v>4</c:v>
                </c:pt>
                <c:pt idx="4">
                  <c:v>5</c:v>
                </c:pt>
                <c:pt idx="5">
                  <c:v>6</c:v>
                </c:pt>
                <c:pt idx="6">
                  <c:v>7</c:v>
                </c:pt>
              </c:strCache>
            </c:strRef>
          </c:cat>
          <c:val>
            <c:numRef>
              <c:f>Sheet1!$B$3:$H$3</c:f>
              <c:numCache>
                <c:formatCode>0.0</c:formatCode>
                <c:ptCount val="7"/>
                <c:pt idx="0">
                  <c:v>0.28361096295453792</c:v>
                </c:pt>
                <c:pt idx="1">
                  <c:v>0.14180548147726896</c:v>
                </c:pt>
                <c:pt idx="2">
                  <c:v>1.7421816295778676</c:v>
                </c:pt>
                <c:pt idx="3">
                  <c:v>-0.16206340740259187</c:v>
                </c:pt>
                <c:pt idx="4">
                  <c:v>1.0736700740421743</c:v>
                </c:pt>
                <c:pt idx="5">
                  <c:v>-1.4990865184739812</c:v>
                </c:pt>
                <c:pt idx="6">
                  <c:v>-0.48619022220777847</c:v>
                </c:pt>
              </c:numCache>
            </c:numRef>
          </c:val>
          <c:extLst>
            <c:ext xmlns:c16="http://schemas.microsoft.com/office/drawing/2014/chart" uri="{C3380CC4-5D6E-409C-BE32-E72D297353CC}">
              <c16:uniqueId val="{00000000-5915-4E1C-A4DA-073636C56593}"/>
            </c:ext>
          </c:extLst>
        </c:ser>
        <c:ser>
          <c:idx val="2"/>
          <c:order val="2"/>
          <c:tx>
            <c:strRef>
              <c:f>Sheet1!$A$4</c:f>
              <c:strCache>
                <c:ptCount val="1"/>
                <c:pt idx="0">
                  <c:v>շինարարություն</c:v>
                </c:pt>
              </c:strCache>
            </c:strRef>
          </c:tx>
          <c:spPr>
            <a:solidFill>
              <a:sysClr val="window" lastClr="FFFFFF">
                <a:lumMod val="65000"/>
              </a:sysClr>
            </a:solidFill>
            <a:ln>
              <a:noFill/>
            </a:ln>
            <a:effectLst/>
          </c:spPr>
          <c:invertIfNegative val="0"/>
          <c:cat>
            <c:strRef>
              <c:f>Sheet1!$B$1:$H$1</c:f>
              <c:strCache>
                <c:ptCount val="7"/>
                <c:pt idx="0">
                  <c:v>1</c:v>
                </c:pt>
                <c:pt idx="1">
                  <c:v>2</c:v>
                </c:pt>
                <c:pt idx="2">
                  <c:v>3</c:v>
                </c:pt>
                <c:pt idx="3">
                  <c:v>4</c:v>
                </c:pt>
                <c:pt idx="4">
                  <c:v>5</c:v>
                </c:pt>
                <c:pt idx="5">
                  <c:v>6</c:v>
                </c:pt>
                <c:pt idx="6">
                  <c:v>7</c:v>
                </c:pt>
              </c:strCache>
            </c:strRef>
          </c:cat>
          <c:val>
            <c:numRef>
              <c:f>Sheet1!$B$4:$H$4</c:f>
              <c:numCache>
                <c:formatCode>0.0</c:formatCode>
                <c:ptCount val="7"/>
                <c:pt idx="0">
                  <c:v>0.91037338358597975</c:v>
                </c:pt>
                <c:pt idx="1">
                  <c:v>1.0372286911348458</c:v>
                </c:pt>
                <c:pt idx="2">
                  <c:v>1.2387047678301029</c:v>
                </c:pt>
                <c:pt idx="3">
                  <c:v>1.4401808445253608</c:v>
                </c:pt>
                <c:pt idx="4">
                  <c:v>1.3730221522936088</c:v>
                </c:pt>
                <c:pt idx="5">
                  <c:v>1.3506359215496906</c:v>
                </c:pt>
                <c:pt idx="6">
                  <c:v>1.3282496908057733</c:v>
                </c:pt>
              </c:numCache>
            </c:numRef>
          </c:val>
          <c:extLst>
            <c:ext xmlns:c16="http://schemas.microsoft.com/office/drawing/2014/chart" uri="{C3380CC4-5D6E-409C-BE32-E72D297353CC}">
              <c16:uniqueId val="{00000001-5915-4E1C-A4DA-073636C56593}"/>
            </c:ext>
          </c:extLst>
        </c:ser>
        <c:ser>
          <c:idx val="3"/>
          <c:order val="3"/>
          <c:tx>
            <c:strRef>
              <c:f>Sheet1!$A$5</c:f>
              <c:strCache>
                <c:ptCount val="1"/>
                <c:pt idx="0">
                  <c:v>ծառայություններ</c:v>
                </c:pt>
              </c:strCache>
            </c:strRef>
          </c:tx>
          <c:spPr>
            <a:solidFill>
              <a:srgbClr val="ED7D31">
                <a:lumMod val="60000"/>
                <a:lumOff val="40000"/>
              </a:srgbClr>
            </a:solidFill>
            <a:ln>
              <a:noFill/>
            </a:ln>
            <a:effectLst/>
          </c:spPr>
          <c:invertIfNegative val="0"/>
          <c:cat>
            <c:strRef>
              <c:f>Sheet1!$B$1:$H$1</c:f>
              <c:strCache>
                <c:ptCount val="7"/>
                <c:pt idx="0">
                  <c:v>1</c:v>
                </c:pt>
                <c:pt idx="1">
                  <c:v>2</c:v>
                </c:pt>
                <c:pt idx="2">
                  <c:v>3</c:v>
                </c:pt>
                <c:pt idx="3">
                  <c:v>4</c:v>
                </c:pt>
                <c:pt idx="4">
                  <c:v>5</c:v>
                </c:pt>
                <c:pt idx="5">
                  <c:v>6</c:v>
                </c:pt>
                <c:pt idx="6">
                  <c:v>7</c:v>
                </c:pt>
              </c:strCache>
            </c:strRef>
          </c:cat>
          <c:val>
            <c:numRef>
              <c:f>Sheet1!$B$5:$H$5</c:f>
              <c:numCache>
                <c:formatCode>0.0</c:formatCode>
                <c:ptCount val="7"/>
                <c:pt idx="0">
                  <c:v>12.483193511573912</c:v>
                </c:pt>
                <c:pt idx="1">
                  <c:v>10.217903569319187</c:v>
                </c:pt>
                <c:pt idx="2">
                  <c:v>10.555287177740103</c:v>
                </c:pt>
                <c:pt idx="3">
                  <c:v>9.8323223025524253</c:v>
                </c:pt>
                <c:pt idx="4">
                  <c:v>5.9283119765389598</c:v>
                </c:pt>
                <c:pt idx="5">
                  <c:v>1.9279063338338085</c:v>
                </c:pt>
                <c:pt idx="6">
                  <c:v>2.7954641840590209</c:v>
                </c:pt>
              </c:numCache>
            </c:numRef>
          </c:val>
          <c:extLst>
            <c:ext xmlns:c16="http://schemas.microsoft.com/office/drawing/2014/chart" uri="{C3380CC4-5D6E-409C-BE32-E72D297353CC}">
              <c16:uniqueId val="{00000002-5915-4E1C-A4DA-073636C56593}"/>
            </c:ext>
          </c:extLst>
        </c:ser>
        <c:ser>
          <c:idx val="4"/>
          <c:order val="4"/>
          <c:tx>
            <c:strRef>
              <c:f>Sheet1!$A$6</c:f>
              <c:strCache>
                <c:ptCount val="1"/>
                <c:pt idx="0">
                  <c:v>առևտուր</c:v>
                </c:pt>
              </c:strCache>
            </c:strRef>
          </c:tx>
          <c:spPr>
            <a:solidFill>
              <a:srgbClr val="4472C4">
                <a:lumMod val="50000"/>
              </a:srgbClr>
            </a:solidFill>
            <a:ln>
              <a:noFill/>
            </a:ln>
          </c:spPr>
          <c:invertIfNegative val="0"/>
          <c:cat>
            <c:strRef>
              <c:f>Sheet1!$B$1:$H$1</c:f>
              <c:strCache>
                <c:ptCount val="7"/>
                <c:pt idx="0">
                  <c:v>1</c:v>
                </c:pt>
                <c:pt idx="1">
                  <c:v>2</c:v>
                </c:pt>
                <c:pt idx="2">
                  <c:v>3</c:v>
                </c:pt>
                <c:pt idx="3">
                  <c:v>4</c:v>
                </c:pt>
                <c:pt idx="4">
                  <c:v>5</c:v>
                </c:pt>
                <c:pt idx="5">
                  <c:v>6</c:v>
                </c:pt>
                <c:pt idx="6">
                  <c:v>7</c:v>
                </c:pt>
              </c:strCache>
            </c:strRef>
          </c:cat>
          <c:val>
            <c:numRef>
              <c:f>Sheet1!$B$6:$H$6</c:f>
              <c:numCache>
                <c:formatCode>0.0</c:formatCode>
                <c:ptCount val="7"/>
                <c:pt idx="0">
                  <c:v>2.2494476716460814</c:v>
                </c:pt>
                <c:pt idx="1">
                  <c:v>2.3129913911841062</c:v>
                </c:pt>
                <c:pt idx="2">
                  <c:v>3.3169821598848985</c:v>
                </c:pt>
                <c:pt idx="3">
                  <c:v>3.6728269892978394</c:v>
                </c:pt>
                <c:pt idx="4">
                  <c:v>3.6347007575750228</c:v>
                </c:pt>
                <c:pt idx="5">
                  <c:v>2.57987501324381</c:v>
                </c:pt>
                <c:pt idx="6">
                  <c:v>2.5925837571514161</c:v>
                </c:pt>
              </c:numCache>
            </c:numRef>
          </c:val>
          <c:extLst>
            <c:ext xmlns:c16="http://schemas.microsoft.com/office/drawing/2014/chart" uri="{C3380CC4-5D6E-409C-BE32-E72D297353CC}">
              <c16:uniqueId val="{00000003-5915-4E1C-A4DA-073636C56593}"/>
            </c:ext>
          </c:extLst>
        </c:ser>
        <c:dLbls>
          <c:showLegendKey val="0"/>
          <c:showVal val="0"/>
          <c:showCatName val="0"/>
          <c:showSerName val="0"/>
          <c:showPercent val="0"/>
          <c:showBubbleSize val="0"/>
        </c:dLbls>
        <c:gapWidth val="219"/>
        <c:overlap val="100"/>
        <c:axId val="222600576"/>
        <c:axId val="222610560"/>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ln>
                <a:solidFill>
                  <a:srgbClr val="4472C4">
                    <a:lumMod val="75000"/>
                  </a:srgbClr>
                </a:solidFill>
              </a:ln>
            </c:spPr>
          </c:marker>
          <c:dLbls>
            <c:dLbl>
              <c:idx val="0"/>
              <c:layout>
                <c:manualLayout>
                  <c:x val="-6.7276716593391128E-2"/>
                  <c:y val="5.606197118390995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915-4E1C-A4DA-073636C56593}"/>
                </c:ext>
              </c:extLst>
            </c:dLbl>
            <c:dLbl>
              <c:idx val="1"/>
              <c:layout>
                <c:manualLayout>
                  <c:x val="-6.5646604899939592E-2"/>
                  <c:y val="5.606197118390995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915-4E1C-A4DA-073636C56593}"/>
                </c:ext>
              </c:extLst>
            </c:dLbl>
            <c:dLbl>
              <c:idx val="2"/>
              <c:layout>
                <c:manualLayout>
                  <c:x val="-6.8643533123028386E-2"/>
                  <c:y val="4.95789890121109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915-4E1C-A4DA-073636C56593}"/>
                </c:ext>
              </c:extLst>
            </c:dLbl>
            <c:dLbl>
              <c:idx val="4"/>
              <c:layout>
                <c:manualLayout>
                  <c:x val="-1.8096823070617826E-2"/>
                  <c:y val="-2.17338148776783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915-4E1C-A4DA-073636C56593}"/>
                </c:ext>
              </c:extLst>
            </c:dLbl>
            <c:dLbl>
              <c:idx val="5"/>
              <c:layout>
                <c:manualLayout>
                  <c:x val="-2.9779179810725705E-2"/>
                  <c:y val="-7.35976722520706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915-4E1C-A4DA-073636C56593}"/>
                </c:ext>
              </c:extLst>
            </c:dLbl>
            <c:dLbl>
              <c:idx val="6"/>
              <c:layout>
                <c:manualLayout>
                  <c:x val="-2.7544979590484945E-3"/>
                  <c:y val="-4.766574356487454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915-4E1C-A4DA-073636C56593}"/>
                </c:ext>
              </c:extLst>
            </c:dLbl>
            <c:spPr>
              <a:noFill/>
              <a:ln>
                <a:noFill/>
              </a:ln>
              <a:effectLst/>
            </c:spPr>
            <c:txPr>
              <a:bodyPr wrap="square" lIns="38100" tIns="19050" rIns="38100" bIns="19050" anchor="ctr">
                <a:spAutoFit/>
              </a:bodyPr>
              <a:lstStyle/>
              <a:p>
                <a:pPr>
                  <a:defRPr b="1"/>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Sheet1!$B$1:$H$1</c:f>
              <c:strCache>
                <c:ptCount val="7"/>
                <c:pt idx="0">
                  <c:v>1</c:v>
                </c:pt>
                <c:pt idx="1">
                  <c:v>2</c:v>
                </c:pt>
                <c:pt idx="2">
                  <c:v>3</c:v>
                </c:pt>
                <c:pt idx="3">
                  <c:v>4</c:v>
                </c:pt>
                <c:pt idx="4">
                  <c:v>5</c:v>
                </c:pt>
                <c:pt idx="5">
                  <c:v>6</c:v>
                </c:pt>
                <c:pt idx="6">
                  <c:v>7</c:v>
                </c:pt>
              </c:strCache>
            </c:strRef>
          </c:cat>
          <c:val>
            <c:numRef>
              <c:f>Sheet1!$B$2:$H$2</c:f>
              <c:numCache>
                <c:formatCode>0.0</c:formatCode>
                <c:ptCount val="7"/>
                <c:pt idx="0">
                  <c:v>11.082558667182113</c:v>
                </c:pt>
                <c:pt idx="1">
                  <c:v>11.326720183465838</c:v>
                </c:pt>
                <c:pt idx="2">
                  <c:v>13.995446267327168</c:v>
                </c:pt>
                <c:pt idx="3">
                  <c:v>12.299999999999997</c:v>
                </c:pt>
                <c:pt idx="4">
                  <c:v>13.599999999999994</c:v>
                </c:pt>
                <c:pt idx="5">
                  <c:v>6.7999999999999972</c:v>
                </c:pt>
                <c:pt idx="6">
                  <c:v>6</c:v>
                </c:pt>
              </c:numCache>
            </c:numRef>
          </c:val>
          <c:smooth val="0"/>
          <c:extLst>
            <c:ext xmlns:c16="http://schemas.microsoft.com/office/drawing/2014/chart" uri="{C3380CC4-5D6E-409C-BE32-E72D297353CC}">
              <c16:uniqueId val="{0000000A-5915-4E1C-A4DA-073636C56593}"/>
            </c:ext>
          </c:extLst>
        </c:ser>
        <c:dLbls>
          <c:showLegendKey val="0"/>
          <c:showVal val="0"/>
          <c:showCatName val="0"/>
          <c:showSerName val="0"/>
          <c:showPercent val="0"/>
          <c:showBubbleSize val="0"/>
        </c:dLbls>
        <c:marker val="1"/>
        <c:smooth val="0"/>
        <c:axId val="222600576"/>
        <c:axId val="222610560"/>
      </c:lineChart>
      <c:catAx>
        <c:axId val="2226005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2610560"/>
        <c:crosses val="autoZero"/>
        <c:auto val="1"/>
        <c:lblAlgn val="ctr"/>
        <c:lblOffset val="100"/>
        <c:noMultiLvlLbl val="0"/>
      </c:catAx>
      <c:valAx>
        <c:axId val="222610560"/>
        <c:scaling>
          <c:orientation val="minMax"/>
          <c:max val="18"/>
          <c:min val="-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2600576"/>
        <c:crosses val="autoZero"/>
        <c:crossBetween val="between"/>
        <c:majorUnit val="2"/>
      </c:valAx>
      <c:spPr>
        <a:noFill/>
        <a:ln>
          <a:noFill/>
        </a:ln>
        <a:effectLst/>
      </c:spPr>
    </c:plotArea>
    <c:legend>
      <c:legendPos val="b"/>
      <c:layout>
        <c:manualLayout>
          <c:xMode val="edge"/>
          <c:yMode val="edge"/>
          <c:x val="3.9212432830754193E-2"/>
          <c:y val="0.82993095879222556"/>
          <c:w val="0.93623587272411135"/>
          <c:h val="0.1700690412077745"/>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Sheet1!$A$3</c:f>
              <c:strCache>
                <c:ptCount val="1"/>
                <c:pt idx="0">
                  <c:v>Անվանական ՀՆԱ, մլրդ դրամ</c:v>
                </c:pt>
              </c:strCache>
            </c:strRef>
          </c:tx>
          <c:spPr>
            <a:solidFill>
              <a:srgbClr val="4472C4">
                <a:lumMod val="75000"/>
              </a:srgbClr>
            </a:solidFill>
            <a:ln>
              <a:noFill/>
            </a:ln>
            <a:effectLst/>
          </c:spPr>
          <c:invertIfNegative val="0"/>
          <c:cat>
            <c:numRef>
              <c:f>Sheet1!$B$1:$Z$1</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Sheet1!$B$3:$Z$3</c:f>
              <c:numCache>
                <c:formatCode>_(* #,##0_);_(* \(#,##0\);_(* "-"??_);_(@_)</c:formatCode>
                <c:ptCount val="25"/>
                <c:pt idx="0">
                  <c:v>1031.3383000000001</c:v>
                </c:pt>
                <c:pt idx="1">
                  <c:v>1175.8768043886819</c:v>
                </c:pt>
                <c:pt idx="2">
                  <c:v>1362.4717000000001</c:v>
                </c:pt>
                <c:pt idx="3">
                  <c:v>1624.6426999999999</c:v>
                </c:pt>
                <c:pt idx="4">
                  <c:v>1907.9453999999998</c:v>
                </c:pt>
                <c:pt idx="5">
                  <c:v>2242.8809000000001</c:v>
                </c:pt>
                <c:pt idx="6">
                  <c:v>2656.1898000000001</c:v>
                </c:pt>
                <c:pt idx="7">
                  <c:v>3149.2834000000007</c:v>
                </c:pt>
                <c:pt idx="8">
                  <c:v>3568.2276000000006</c:v>
                </c:pt>
                <c:pt idx="9">
                  <c:v>3141.6510000000003</c:v>
                </c:pt>
                <c:pt idx="10">
                  <c:v>3460.2027000000007</c:v>
                </c:pt>
                <c:pt idx="11">
                  <c:v>3777.9456</c:v>
                </c:pt>
                <c:pt idx="12">
                  <c:v>4266.4605000000001</c:v>
                </c:pt>
                <c:pt idx="13">
                  <c:v>4555.6382000000003</c:v>
                </c:pt>
                <c:pt idx="14">
                  <c:v>4828.6262999999999</c:v>
                </c:pt>
                <c:pt idx="15">
                  <c:v>5043.6332000000002</c:v>
                </c:pt>
                <c:pt idx="16">
                  <c:v>5067.2934999999998</c:v>
                </c:pt>
                <c:pt idx="17">
                  <c:v>5564.4933000000001</c:v>
                </c:pt>
                <c:pt idx="18">
                  <c:v>6017.0352000000003</c:v>
                </c:pt>
                <c:pt idx="19">
                  <c:v>6543.3217999999997</c:v>
                </c:pt>
                <c:pt idx="20">
                  <c:v>6181.9025999999994</c:v>
                </c:pt>
                <c:pt idx="21">
                  <c:v>6991.7777999999998</c:v>
                </c:pt>
                <c:pt idx="22">
                  <c:v>8501.4354999999996</c:v>
                </c:pt>
                <c:pt idx="23">
                  <c:v>9450.8021550563826</c:v>
                </c:pt>
                <c:pt idx="24">
                  <c:v>10517.021683791985</c:v>
                </c:pt>
              </c:numCache>
            </c:numRef>
          </c:val>
          <c:extLst>
            <c:ext xmlns:c16="http://schemas.microsoft.com/office/drawing/2014/chart" uri="{C3380CC4-5D6E-409C-BE32-E72D297353CC}">
              <c16:uniqueId val="{00000000-E1CC-4AFD-9373-88D2611B4DED}"/>
            </c:ext>
          </c:extLst>
        </c:ser>
        <c:dLbls>
          <c:showLegendKey val="0"/>
          <c:showVal val="0"/>
          <c:showCatName val="0"/>
          <c:showSerName val="0"/>
          <c:showPercent val="0"/>
          <c:showBubbleSize val="0"/>
        </c:dLbls>
        <c:gapWidth val="219"/>
        <c:axId val="222749440"/>
        <c:axId val="222750976"/>
      </c:barChart>
      <c:lineChart>
        <c:grouping val="standard"/>
        <c:varyColors val="0"/>
        <c:ser>
          <c:idx val="0"/>
          <c:order val="0"/>
          <c:tx>
            <c:strRef>
              <c:f>Sheet1!$A$2</c:f>
              <c:strCache>
                <c:ptCount val="1"/>
                <c:pt idx="0">
                  <c:v>Տնտեսական աճ, %</c:v>
                </c:pt>
              </c:strCache>
            </c:strRef>
          </c:tx>
          <c:spPr>
            <a:ln w="28575" cap="rnd">
              <a:solidFill>
                <a:srgbClr val="ED7D31">
                  <a:lumMod val="60000"/>
                  <a:lumOff val="40000"/>
                </a:srgbClr>
              </a:solidFill>
              <a:round/>
            </a:ln>
            <a:effectLst/>
          </c:spPr>
          <c:marker>
            <c:symbol val="none"/>
          </c:marker>
          <c:cat>
            <c:numRef>
              <c:f>Sheet1!$B$1:$Y$1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Sheet1!$B$2:$Z$2</c:f>
              <c:numCache>
                <c:formatCode>0.0</c:formatCode>
                <c:ptCount val="25"/>
                <c:pt idx="0">
                  <c:v>5.8956981547403728</c:v>
                </c:pt>
                <c:pt idx="1">
                  <c:v>9.5566411137839395</c:v>
                </c:pt>
                <c:pt idx="2">
                  <c:v>13.196463821262512</c:v>
                </c:pt>
                <c:pt idx="3">
                  <c:v>14.040798058411056</c:v>
                </c:pt>
                <c:pt idx="4">
                  <c:v>10.46784009801047</c:v>
                </c:pt>
                <c:pt idx="5">
                  <c:v>13.865711251485493</c:v>
                </c:pt>
                <c:pt idx="6">
                  <c:v>13.198003514141135</c:v>
                </c:pt>
                <c:pt idx="7">
                  <c:v>13.749201958384148</c:v>
                </c:pt>
                <c:pt idx="8">
                  <c:v>6.9476535519159768</c:v>
                </c:pt>
                <c:pt idx="9">
                  <c:v>-14.149988638617103</c:v>
                </c:pt>
                <c:pt idx="10">
                  <c:v>2.2151091894039183</c:v>
                </c:pt>
                <c:pt idx="11">
                  <c:v>4.6507622226871206</c:v>
                </c:pt>
                <c:pt idx="12">
                  <c:v>7.1590508979271874</c:v>
                </c:pt>
                <c:pt idx="13">
                  <c:v>3.2999999999999972</c:v>
                </c:pt>
                <c:pt idx="14">
                  <c:v>3.5999999999999943</c:v>
                </c:pt>
                <c:pt idx="15">
                  <c:v>3.2000000000000028</c:v>
                </c:pt>
                <c:pt idx="16">
                  <c:v>0.20000000000000284</c:v>
                </c:pt>
                <c:pt idx="17">
                  <c:v>7.5</c:v>
                </c:pt>
                <c:pt idx="18">
                  <c:v>5.1947356482574918</c:v>
                </c:pt>
                <c:pt idx="19">
                  <c:v>7.6208632799755094</c:v>
                </c:pt>
                <c:pt idx="20">
                  <c:v>-7.1651595279938647</c:v>
                </c:pt>
                <c:pt idx="21">
                  <c:v>5.7882522574846149</c:v>
                </c:pt>
                <c:pt idx="22">
                  <c:v>12.626699484071111</c:v>
                </c:pt>
                <c:pt idx="23">
                  <c:v>7.4</c:v>
                </c:pt>
                <c:pt idx="24">
                  <c:v>7.0000000000001279</c:v>
                </c:pt>
              </c:numCache>
            </c:numRef>
          </c:val>
          <c:smooth val="0"/>
          <c:extLst>
            <c:ext xmlns:c16="http://schemas.microsoft.com/office/drawing/2014/chart" uri="{C3380CC4-5D6E-409C-BE32-E72D297353CC}">
              <c16:uniqueId val="{00000001-E1CC-4AFD-9373-88D2611B4DED}"/>
            </c:ext>
          </c:extLst>
        </c:ser>
        <c:dLbls>
          <c:showLegendKey val="0"/>
          <c:showVal val="0"/>
          <c:showCatName val="0"/>
          <c:showSerName val="0"/>
          <c:showPercent val="0"/>
          <c:showBubbleSize val="0"/>
        </c:dLbls>
        <c:marker val="1"/>
        <c:smooth val="0"/>
        <c:axId val="222762496"/>
        <c:axId val="222760960"/>
      </c:lineChart>
      <c:catAx>
        <c:axId val="22274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2750976"/>
        <c:crosses val="autoZero"/>
        <c:auto val="1"/>
        <c:lblAlgn val="ctr"/>
        <c:lblOffset val="100"/>
        <c:noMultiLvlLbl val="0"/>
      </c:catAx>
      <c:valAx>
        <c:axId val="222750976"/>
        <c:scaling>
          <c:orientation val="minMax"/>
          <c:max val="14000"/>
          <c:min val="5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2749440"/>
        <c:crosses val="autoZero"/>
        <c:crossBetween val="between"/>
      </c:valAx>
      <c:valAx>
        <c:axId val="22276096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2762496"/>
        <c:crosses val="max"/>
        <c:crossBetween val="between"/>
      </c:valAx>
      <c:catAx>
        <c:axId val="222762496"/>
        <c:scaling>
          <c:orientation val="minMax"/>
        </c:scaling>
        <c:delete val="1"/>
        <c:axPos val="b"/>
        <c:numFmt formatCode="General" sourceLinked="1"/>
        <c:majorTickMark val="out"/>
        <c:minorTickMark val="none"/>
        <c:tickLblPos val="none"/>
        <c:crossAx val="22276096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Գնաճը գործընկեր երկրներում</a:t>
            </a:r>
            <a:endParaRPr lang="en-US" sz="1000"/>
          </a:p>
        </c:rich>
      </c:tx>
      <c:layout>
        <c:manualLayout>
          <c:xMode val="edge"/>
          <c:yMode val="edge"/>
          <c:x val="0.21730170549715694"/>
          <c:y val="3.1644062113381204E-3"/>
        </c:manualLayout>
      </c:layout>
      <c:overlay val="0"/>
      <c:spPr>
        <a:noFill/>
        <a:ln w="25400">
          <a:noFill/>
        </a:ln>
      </c:spPr>
    </c:title>
    <c:autoTitleDeleted val="0"/>
    <c:plotArea>
      <c:layout>
        <c:manualLayout>
          <c:layoutTarget val="inner"/>
          <c:xMode val="edge"/>
          <c:yMode val="edge"/>
          <c:x val="0.10738889071920403"/>
          <c:y val="0.12980099502487563"/>
          <c:w val="0.85425685544537056"/>
          <c:h val="0.56600305558820074"/>
        </c:manualLayout>
      </c:layout>
      <c:lineChart>
        <c:grouping val="standard"/>
        <c:varyColors val="0"/>
        <c:ser>
          <c:idx val="0"/>
          <c:order val="0"/>
          <c:tx>
            <c:strRef>
              <c:f>Sheet1!$C$1</c:f>
              <c:strCache>
                <c:ptCount val="1"/>
                <c:pt idx="0">
                  <c:v>ԱՄՆ</c:v>
                </c:pt>
              </c:strCache>
            </c:strRef>
          </c:tx>
          <c:spPr>
            <a:ln w="28575" cap="rnd">
              <a:solidFill>
                <a:schemeClr val="tx2"/>
              </a:solidFill>
              <a:round/>
            </a:ln>
            <a:effectLst/>
          </c:spPr>
          <c:marker>
            <c:symbol val="none"/>
          </c:marker>
          <c:cat>
            <c:multiLvlStrRef>
              <c:f>Sheet1!$A$14:$B$69</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Sheet1!$C$2:$C$69</c:f>
              <c:numCache>
                <c:formatCode>0.0</c:formatCode>
                <c:ptCount val="56"/>
                <c:pt idx="0">
                  <c:v>1.55</c:v>
                </c:pt>
                <c:pt idx="1">
                  <c:v>1.52</c:v>
                </c:pt>
                <c:pt idx="2">
                  <c:v>1.86</c:v>
                </c:pt>
                <c:pt idx="3">
                  <c:v>2</c:v>
                </c:pt>
                <c:pt idx="4">
                  <c:v>1.79</c:v>
                </c:pt>
                <c:pt idx="5">
                  <c:v>1.65</c:v>
                </c:pt>
                <c:pt idx="6">
                  <c:v>1.81</c:v>
                </c:pt>
                <c:pt idx="7">
                  <c:v>1.75</c:v>
                </c:pt>
                <c:pt idx="8">
                  <c:v>1.71</c:v>
                </c:pt>
                <c:pt idx="9">
                  <c:v>1.76</c:v>
                </c:pt>
                <c:pt idx="10">
                  <c:v>2.0499999999999998</c:v>
                </c:pt>
                <c:pt idx="11">
                  <c:v>2.29</c:v>
                </c:pt>
                <c:pt idx="12">
                  <c:v>2.4900000000000002</c:v>
                </c:pt>
                <c:pt idx="13">
                  <c:v>2.33</c:v>
                </c:pt>
                <c:pt idx="14">
                  <c:v>1.54</c:v>
                </c:pt>
                <c:pt idx="15">
                  <c:v>0.33</c:v>
                </c:pt>
                <c:pt idx="16">
                  <c:v>0.1</c:v>
                </c:pt>
                <c:pt idx="17">
                  <c:v>0.6</c:v>
                </c:pt>
                <c:pt idx="18">
                  <c:v>0.6</c:v>
                </c:pt>
                <c:pt idx="19">
                  <c:v>1.3</c:v>
                </c:pt>
                <c:pt idx="20">
                  <c:v>1.4</c:v>
                </c:pt>
                <c:pt idx="21">
                  <c:v>1.2</c:v>
                </c:pt>
                <c:pt idx="22">
                  <c:v>1.2</c:v>
                </c:pt>
                <c:pt idx="23">
                  <c:v>1.4</c:v>
                </c:pt>
                <c:pt idx="24">
                  <c:v>1.4</c:v>
                </c:pt>
                <c:pt idx="25">
                  <c:v>1.7</c:v>
                </c:pt>
                <c:pt idx="26">
                  <c:v>2.6</c:v>
                </c:pt>
                <c:pt idx="27">
                  <c:v>4.2</c:v>
                </c:pt>
                <c:pt idx="28">
                  <c:v>5</c:v>
                </c:pt>
                <c:pt idx="29">
                  <c:v>5.4</c:v>
                </c:pt>
                <c:pt idx="30">
                  <c:v>5.4</c:v>
                </c:pt>
                <c:pt idx="31">
                  <c:v>5.3</c:v>
                </c:pt>
                <c:pt idx="32">
                  <c:v>5.4</c:v>
                </c:pt>
                <c:pt idx="33">
                  <c:v>6.2</c:v>
                </c:pt>
                <c:pt idx="34">
                  <c:v>6.8</c:v>
                </c:pt>
                <c:pt idx="35">
                  <c:v>7</c:v>
                </c:pt>
                <c:pt idx="36">
                  <c:v>7.5</c:v>
                </c:pt>
                <c:pt idx="37">
                  <c:v>7.9</c:v>
                </c:pt>
                <c:pt idx="38">
                  <c:v>8.5</c:v>
                </c:pt>
                <c:pt idx="39">
                  <c:v>8.3000000000000007</c:v>
                </c:pt>
                <c:pt idx="40">
                  <c:v>8.6</c:v>
                </c:pt>
                <c:pt idx="41">
                  <c:v>9.1</c:v>
                </c:pt>
                <c:pt idx="42">
                  <c:v>8.5</c:v>
                </c:pt>
                <c:pt idx="43">
                  <c:v>8.3000000000000007</c:v>
                </c:pt>
                <c:pt idx="44">
                  <c:v>8.1999999999999993</c:v>
                </c:pt>
                <c:pt idx="45">
                  <c:v>7.7</c:v>
                </c:pt>
                <c:pt idx="46">
                  <c:v>7.1</c:v>
                </c:pt>
                <c:pt idx="47">
                  <c:v>6.5</c:v>
                </c:pt>
                <c:pt idx="48">
                  <c:v>6.4</c:v>
                </c:pt>
                <c:pt idx="49">
                  <c:v>6</c:v>
                </c:pt>
                <c:pt idx="50">
                  <c:v>5</c:v>
                </c:pt>
                <c:pt idx="51">
                  <c:v>4.9000000000000004</c:v>
                </c:pt>
                <c:pt idx="52">
                  <c:v>4.05</c:v>
                </c:pt>
                <c:pt idx="53">
                  <c:v>2.97</c:v>
                </c:pt>
                <c:pt idx="54">
                  <c:v>3.2</c:v>
                </c:pt>
                <c:pt idx="55" formatCode="General">
                  <c:v>3.7</c:v>
                </c:pt>
              </c:numCache>
            </c:numRef>
          </c:val>
          <c:smooth val="0"/>
          <c:extLst>
            <c:ext xmlns:c16="http://schemas.microsoft.com/office/drawing/2014/chart" uri="{C3380CC4-5D6E-409C-BE32-E72D297353CC}">
              <c16:uniqueId val="{00000000-57F3-4FE1-BE5F-1DE8B6F482FF}"/>
            </c:ext>
          </c:extLst>
        </c:ser>
        <c:ser>
          <c:idx val="1"/>
          <c:order val="1"/>
          <c:tx>
            <c:strRef>
              <c:f>Sheet1!$D$1</c:f>
              <c:strCache>
                <c:ptCount val="1"/>
                <c:pt idx="0">
                  <c:v>ԵԳ</c:v>
                </c:pt>
              </c:strCache>
            </c:strRef>
          </c:tx>
          <c:spPr>
            <a:ln w="28575" cap="rnd">
              <a:solidFill>
                <a:schemeClr val="accent1"/>
              </a:solidFill>
              <a:round/>
            </a:ln>
            <a:effectLst/>
          </c:spPr>
          <c:marker>
            <c:symbol val="none"/>
          </c:marker>
          <c:cat>
            <c:multiLvlStrRef>
              <c:f>Sheet1!$A$14:$B$69</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Sheet1!$D$2:$D$69</c:f>
              <c:numCache>
                <c:formatCode>General</c:formatCode>
                <c:ptCount val="56"/>
                <c:pt idx="0">
                  <c:v>1.4</c:v>
                </c:pt>
                <c:pt idx="1">
                  <c:v>1.5</c:v>
                </c:pt>
                <c:pt idx="2">
                  <c:v>1.4</c:v>
                </c:pt>
                <c:pt idx="3">
                  <c:v>1.7</c:v>
                </c:pt>
                <c:pt idx="4">
                  <c:v>1.2</c:v>
                </c:pt>
                <c:pt idx="5">
                  <c:v>1.3</c:v>
                </c:pt>
                <c:pt idx="6">
                  <c:v>1</c:v>
                </c:pt>
                <c:pt idx="7">
                  <c:v>1</c:v>
                </c:pt>
                <c:pt idx="8">
                  <c:v>0.8</c:v>
                </c:pt>
                <c:pt idx="9">
                  <c:v>0.7</c:v>
                </c:pt>
                <c:pt idx="10">
                  <c:v>1</c:v>
                </c:pt>
                <c:pt idx="11">
                  <c:v>1.3</c:v>
                </c:pt>
                <c:pt idx="12">
                  <c:v>1.4</c:v>
                </c:pt>
                <c:pt idx="13">
                  <c:v>1.2</c:v>
                </c:pt>
                <c:pt idx="14">
                  <c:v>0.7</c:v>
                </c:pt>
                <c:pt idx="15">
                  <c:v>0.3</c:v>
                </c:pt>
                <c:pt idx="16">
                  <c:v>0.1</c:v>
                </c:pt>
                <c:pt idx="17">
                  <c:v>0.3</c:v>
                </c:pt>
                <c:pt idx="18">
                  <c:v>0.4</c:v>
                </c:pt>
                <c:pt idx="19">
                  <c:v>-0.2</c:v>
                </c:pt>
                <c:pt idx="20">
                  <c:v>-0.3</c:v>
                </c:pt>
                <c:pt idx="21">
                  <c:v>-0.3</c:v>
                </c:pt>
                <c:pt idx="22">
                  <c:v>-0.3</c:v>
                </c:pt>
                <c:pt idx="23">
                  <c:v>-0.3</c:v>
                </c:pt>
                <c:pt idx="24">
                  <c:v>0.9</c:v>
                </c:pt>
                <c:pt idx="25">
                  <c:v>0.9</c:v>
                </c:pt>
                <c:pt idx="26">
                  <c:v>1.3</c:v>
                </c:pt>
                <c:pt idx="27">
                  <c:v>1.6</c:v>
                </c:pt>
                <c:pt idx="28">
                  <c:v>2</c:v>
                </c:pt>
                <c:pt idx="29">
                  <c:v>1.9</c:v>
                </c:pt>
                <c:pt idx="30">
                  <c:v>2.2000000000000002</c:v>
                </c:pt>
                <c:pt idx="31">
                  <c:v>3</c:v>
                </c:pt>
                <c:pt idx="32">
                  <c:v>3.4</c:v>
                </c:pt>
                <c:pt idx="33">
                  <c:v>4.0999999999999996</c:v>
                </c:pt>
                <c:pt idx="34">
                  <c:v>4.9000000000000004</c:v>
                </c:pt>
                <c:pt idx="35">
                  <c:v>5</c:v>
                </c:pt>
                <c:pt idx="36">
                  <c:v>5.0999999999999996</c:v>
                </c:pt>
                <c:pt idx="37">
                  <c:v>5.9</c:v>
                </c:pt>
                <c:pt idx="38">
                  <c:v>7.4</c:v>
                </c:pt>
                <c:pt idx="39">
                  <c:v>7.4</c:v>
                </c:pt>
                <c:pt idx="40">
                  <c:v>8.1</c:v>
                </c:pt>
                <c:pt idx="41">
                  <c:v>8.6</c:v>
                </c:pt>
                <c:pt idx="42">
                  <c:v>8.9</c:v>
                </c:pt>
                <c:pt idx="43">
                  <c:v>9.1</c:v>
                </c:pt>
                <c:pt idx="44">
                  <c:v>9.9</c:v>
                </c:pt>
                <c:pt idx="45">
                  <c:v>10.6</c:v>
                </c:pt>
                <c:pt idx="46">
                  <c:v>10.1</c:v>
                </c:pt>
                <c:pt idx="47">
                  <c:v>9.1999999999999993</c:v>
                </c:pt>
                <c:pt idx="48" formatCode="0.0">
                  <c:v>8.6</c:v>
                </c:pt>
                <c:pt idx="49" formatCode="0.0">
                  <c:v>8.5</c:v>
                </c:pt>
                <c:pt idx="50" formatCode="0.0">
                  <c:v>6.9</c:v>
                </c:pt>
                <c:pt idx="51" formatCode="0.0">
                  <c:v>7</c:v>
                </c:pt>
                <c:pt idx="52" formatCode="0.0">
                  <c:v>6.1</c:v>
                </c:pt>
                <c:pt idx="53" formatCode="0.0">
                  <c:v>5.5</c:v>
                </c:pt>
                <c:pt idx="54" formatCode="0.0">
                  <c:v>5.3</c:v>
                </c:pt>
                <c:pt idx="55" formatCode="0.0">
                  <c:v>5.3</c:v>
                </c:pt>
              </c:numCache>
            </c:numRef>
          </c:val>
          <c:smooth val="0"/>
          <c:extLst>
            <c:ext xmlns:c16="http://schemas.microsoft.com/office/drawing/2014/chart" uri="{C3380CC4-5D6E-409C-BE32-E72D297353CC}">
              <c16:uniqueId val="{00000001-57F3-4FE1-BE5F-1DE8B6F482FF}"/>
            </c:ext>
          </c:extLst>
        </c:ser>
        <c:ser>
          <c:idx val="2"/>
          <c:order val="2"/>
          <c:tx>
            <c:strRef>
              <c:f>Sheet1!$E$1</c:f>
              <c:strCache>
                <c:ptCount val="1"/>
                <c:pt idx="0">
                  <c:v>Չինաստան</c:v>
                </c:pt>
              </c:strCache>
            </c:strRef>
          </c:tx>
          <c:spPr>
            <a:ln w="28575" cap="rnd">
              <a:solidFill>
                <a:schemeClr val="bg1">
                  <a:lumMod val="50000"/>
                </a:schemeClr>
              </a:solidFill>
              <a:round/>
            </a:ln>
            <a:effectLst/>
          </c:spPr>
          <c:marker>
            <c:symbol val="none"/>
          </c:marker>
          <c:cat>
            <c:multiLvlStrRef>
              <c:f>Sheet1!$A$14:$B$69</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Sheet1!$E$2:$E$69</c:f>
              <c:numCache>
                <c:formatCode>General</c:formatCode>
                <c:ptCount val="56"/>
                <c:pt idx="0">
                  <c:v>1.7</c:v>
                </c:pt>
                <c:pt idx="1">
                  <c:v>1.5</c:v>
                </c:pt>
                <c:pt idx="2">
                  <c:v>2.2999999999999998</c:v>
                </c:pt>
                <c:pt idx="3">
                  <c:v>2.5</c:v>
                </c:pt>
                <c:pt idx="4">
                  <c:v>2.7</c:v>
                </c:pt>
                <c:pt idx="5">
                  <c:v>2.7</c:v>
                </c:pt>
                <c:pt idx="6">
                  <c:v>2.8</c:v>
                </c:pt>
                <c:pt idx="7">
                  <c:v>2.8</c:v>
                </c:pt>
                <c:pt idx="8">
                  <c:v>3</c:v>
                </c:pt>
                <c:pt idx="9">
                  <c:v>3.8</c:v>
                </c:pt>
                <c:pt idx="10">
                  <c:v>4.5</c:v>
                </c:pt>
                <c:pt idx="11">
                  <c:v>4.5</c:v>
                </c:pt>
                <c:pt idx="12">
                  <c:v>5.4</c:v>
                </c:pt>
                <c:pt idx="13">
                  <c:v>5.2</c:v>
                </c:pt>
                <c:pt idx="14">
                  <c:v>4.3</c:v>
                </c:pt>
                <c:pt idx="15">
                  <c:v>3.3</c:v>
                </c:pt>
                <c:pt idx="16">
                  <c:v>2.4</c:v>
                </c:pt>
                <c:pt idx="17">
                  <c:v>2.5</c:v>
                </c:pt>
                <c:pt idx="18">
                  <c:v>2.7</c:v>
                </c:pt>
                <c:pt idx="19">
                  <c:v>2.4</c:v>
                </c:pt>
                <c:pt idx="20">
                  <c:v>1.7</c:v>
                </c:pt>
                <c:pt idx="21">
                  <c:v>0.5</c:v>
                </c:pt>
                <c:pt idx="22">
                  <c:v>-0.5</c:v>
                </c:pt>
                <c:pt idx="23">
                  <c:v>0.2</c:v>
                </c:pt>
                <c:pt idx="24">
                  <c:v>-0.3</c:v>
                </c:pt>
                <c:pt idx="25">
                  <c:v>-0.2</c:v>
                </c:pt>
                <c:pt idx="26">
                  <c:v>0.4</c:v>
                </c:pt>
                <c:pt idx="27">
                  <c:v>0.9</c:v>
                </c:pt>
                <c:pt idx="28">
                  <c:v>1.3</c:v>
                </c:pt>
                <c:pt idx="29">
                  <c:v>1.1000000000000001</c:v>
                </c:pt>
                <c:pt idx="30">
                  <c:v>1</c:v>
                </c:pt>
                <c:pt idx="31">
                  <c:v>0.8</c:v>
                </c:pt>
                <c:pt idx="32">
                  <c:v>0.7</c:v>
                </c:pt>
                <c:pt idx="33">
                  <c:v>1.5</c:v>
                </c:pt>
                <c:pt idx="34">
                  <c:v>2.2999999999999998</c:v>
                </c:pt>
                <c:pt idx="35">
                  <c:v>1.5</c:v>
                </c:pt>
                <c:pt idx="36">
                  <c:v>0.9</c:v>
                </c:pt>
                <c:pt idx="37">
                  <c:v>0.9</c:v>
                </c:pt>
                <c:pt idx="38">
                  <c:v>1.5</c:v>
                </c:pt>
                <c:pt idx="39">
                  <c:v>2.1</c:v>
                </c:pt>
                <c:pt idx="40">
                  <c:v>2.1</c:v>
                </c:pt>
                <c:pt idx="41">
                  <c:v>2.5</c:v>
                </c:pt>
                <c:pt idx="42">
                  <c:v>2.7</c:v>
                </c:pt>
                <c:pt idx="43">
                  <c:v>2.5</c:v>
                </c:pt>
                <c:pt idx="44">
                  <c:v>2.8</c:v>
                </c:pt>
                <c:pt idx="45">
                  <c:v>2.1</c:v>
                </c:pt>
                <c:pt idx="46">
                  <c:v>1.6</c:v>
                </c:pt>
                <c:pt idx="47">
                  <c:v>1.8</c:v>
                </c:pt>
                <c:pt idx="48" formatCode="0.0">
                  <c:v>2.1</c:v>
                </c:pt>
                <c:pt idx="49" formatCode="0.0">
                  <c:v>1</c:v>
                </c:pt>
                <c:pt idx="50" formatCode="0.0">
                  <c:v>0.7</c:v>
                </c:pt>
                <c:pt idx="51" formatCode="0.0">
                  <c:v>0.1</c:v>
                </c:pt>
                <c:pt idx="52" formatCode="0.0">
                  <c:v>0.2</c:v>
                </c:pt>
                <c:pt idx="53" formatCode="0.0">
                  <c:v>0</c:v>
                </c:pt>
                <c:pt idx="54" formatCode="0.0">
                  <c:v>-0.3</c:v>
                </c:pt>
                <c:pt idx="55">
                  <c:v>0.1</c:v>
                </c:pt>
              </c:numCache>
            </c:numRef>
          </c:val>
          <c:smooth val="0"/>
          <c:extLst>
            <c:ext xmlns:c16="http://schemas.microsoft.com/office/drawing/2014/chart" uri="{C3380CC4-5D6E-409C-BE32-E72D297353CC}">
              <c16:uniqueId val="{00000002-57F3-4FE1-BE5F-1DE8B6F482FF}"/>
            </c:ext>
          </c:extLst>
        </c:ser>
        <c:ser>
          <c:idx val="3"/>
          <c:order val="3"/>
          <c:tx>
            <c:strRef>
              <c:f>Sheet1!$F$1</c:f>
              <c:strCache>
                <c:ptCount val="1"/>
                <c:pt idx="0">
                  <c:v>ՌԴ</c:v>
                </c:pt>
              </c:strCache>
            </c:strRef>
          </c:tx>
          <c:spPr>
            <a:ln w="25400" cap="rnd">
              <a:solidFill>
                <a:srgbClr val="ED7D31">
                  <a:lumMod val="60000"/>
                  <a:lumOff val="40000"/>
                </a:srgbClr>
              </a:solidFill>
              <a:round/>
            </a:ln>
            <a:effectLst/>
          </c:spPr>
          <c:marker>
            <c:symbol val="none"/>
          </c:marker>
          <c:cat>
            <c:multiLvlStrRef>
              <c:f>Sheet1!$A$14:$B$69</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Sheet1!$F$2:$F$69</c:f>
              <c:numCache>
                <c:formatCode>0.0</c:formatCode>
                <c:ptCount val="56"/>
                <c:pt idx="0">
                  <c:v>4.9966220000000003</c:v>
                </c:pt>
                <c:pt idx="1">
                  <c:v>5.2376079999999998</c:v>
                </c:pt>
                <c:pt idx="2">
                  <c:v>5.269088</c:v>
                </c:pt>
                <c:pt idx="3">
                  <c:v>5.1747050000000003</c:v>
                </c:pt>
                <c:pt idx="4">
                  <c:v>5.1327939999999996</c:v>
                </c:pt>
                <c:pt idx="5">
                  <c:v>4.6620039999999996</c:v>
                </c:pt>
                <c:pt idx="6">
                  <c:v>4.5889369999999996</c:v>
                </c:pt>
                <c:pt idx="7">
                  <c:v>4.3274910000000002</c:v>
                </c:pt>
                <c:pt idx="8">
                  <c:v>3.9941759999999999</c:v>
                </c:pt>
                <c:pt idx="9">
                  <c:v>3.766187</c:v>
                </c:pt>
                <c:pt idx="10">
                  <c:v>3.539037</c:v>
                </c:pt>
                <c:pt idx="11">
                  <c:v>3.0461900000000002</c:v>
                </c:pt>
                <c:pt idx="12">
                  <c:v>2.4238930000000001</c:v>
                </c:pt>
                <c:pt idx="13">
                  <c:v>2.3117209999999999</c:v>
                </c:pt>
                <c:pt idx="14">
                  <c:v>2.546287</c:v>
                </c:pt>
                <c:pt idx="15">
                  <c:v>3.098436</c:v>
                </c:pt>
                <c:pt idx="16">
                  <c:v>3.0265110000000002</c:v>
                </c:pt>
                <c:pt idx="17">
                  <c:v>3.2118850000000001</c:v>
                </c:pt>
                <c:pt idx="18">
                  <c:v>3.3663940000000001</c:v>
                </c:pt>
                <c:pt idx="19">
                  <c:v>3.5736240000000001</c:v>
                </c:pt>
                <c:pt idx="20">
                  <c:v>3.6669890000000001</c:v>
                </c:pt>
                <c:pt idx="21">
                  <c:v>3.9775870000000002</c:v>
                </c:pt>
                <c:pt idx="22">
                  <c:v>4.4234419999999997</c:v>
                </c:pt>
                <c:pt idx="23">
                  <c:v>4.912471</c:v>
                </c:pt>
                <c:pt idx="24">
                  <c:v>5.1946070000000004</c:v>
                </c:pt>
                <c:pt idx="25">
                  <c:v>5.6664250000000003</c:v>
                </c:pt>
                <c:pt idx="26">
                  <c:v>5.7820220000000004</c:v>
                </c:pt>
                <c:pt idx="27">
                  <c:v>5.5197440000000002</c:v>
                </c:pt>
                <c:pt idx="28">
                  <c:v>6.0143519999999997</c:v>
                </c:pt>
                <c:pt idx="29">
                  <c:v>6.5115259999999999</c:v>
                </c:pt>
                <c:pt idx="30">
                  <c:v>6.4690690000000002</c:v>
                </c:pt>
                <c:pt idx="31">
                  <c:v>6.6927440000000002</c:v>
                </c:pt>
                <c:pt idx="32">
                  <c:v>7.4080859999999999</c:v>
                </c:pt>
                <c:pt idx="33">
                  <c:v>8.1353340000000003</c:v>
                </c:pt>
                <c:pt idx="34">
                  <c:v>8.4037670000000002</c:v>
                </c:pt>
                <c:pt idx="35">
                  <c:v>8.3930150000000001</c:v>
                </c:pt>
                <c:pt idx="36">
                  <c:v>8.73</c:v>
                </c:pt>
                <c:pt idx="37" formatCode="General">
                  <c:v>9.1999999999999993</c:v>
                </c:pt>
                <c:pt idx="38" formatCode="General">
                  <c:v>16.7</c:v>
                </c:pt>
                <c:pt idx="39" formatCode="General">
                  <c:v>17.8</c:v>
                </c:pt>
                <c:pt idx="40" formatCode="General">
                  <c:v>17.100000000000001</c:v>
                </c:pt>
                <c:pt idx="41" formatCode="General">
                  <c:v>15.9</c:v>
                </c:pt>
                <c:pt idx="42" formatCode="General">
                  <c:v>15.1</c:v>
                </c:pt>
                <c:pt idx="43" formatCode="General">
                  <c:v>14.3</c:v>
                </c:pt>
                <c:pt idx="44" formatCode="General">
                  <c:v>13.7</c:v>
                </c:pt>
                <c:pt idx="45" formatCode="General">
                  <c:v>12.6</c:v>
                </c:pt>
                <c:pt idx="46">
                  <c:v>12</c:v>
                </c:pt>
                <c:pt idx="47" formatCode="General">
                  <c:v>11.9</c:v>
                </c:pt>
                <c:pt idx="48">
                  <c:v>11.8</c:v>
                </c:pt>
                <c:pt idx="49">
                  <c:v>11</c:v>
                </c:pt>
                <c:pt idx="50">
                  <c:v>3.5</c:v>
                </c:pt>
                <c:pt idx="51">
                  <c:v>2.2999999999999998</c:v>
                </c:pt>
                <c:pt idx="52">
                  <c:v>2.5</c:v>
                </c:pt>
                <c:pt idx="53">
                  <c:v>3.2</c:v>
                </c:pt>
                <c:pt idx="54">
                  <c:v>4.3</c:v>
                </c:pt>
                <c:pt idx="55" formatCode="General">
                  <c:v>5.2</c:v>
                </c:pt>
              </c:numCache>
            </c:numRef>
          </c:val>
          <c:smooth val="0"/>
          <c:extLst>
            <c:ext xmlns:c16="http://schemas.microsoft.com/office/drawing/2014/chart" uri="{C3380CC4-5D6E-409C-BE32-E72D297353CC}">
              <c16:uniqueId val="{00000003-57F3-4FE1-BE5F-1DE8B6F482FF}"/>
            </c:ext>
          </c:extLst>
        </c:ser>
        <c:dLbls>
          <c:showLegendKey val="0"/>
          <c:showVal val="0"/>
          <c:showCatName val="0"/>
          <c:showSerName val="0"/>
          <c:showPercent val="0"/>
          <c:showBubbleSize val="0"/>
        </c:dLbls>
        <c:smooth val="0"/>
        <c:axId val="1920262784"/>
        <c:axId val="1920263328"/>
      </c:lineChart>
      <c:catAx>
        <c:axId val="192026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20263328"/>
        <c:crosses val="autoZero"/>
        <c:auto val="1"/>
        <c:lblAlgn val="ctr"/>
        <c:lblOffset val="100"/>
        <c:noMultiLvlLbl val="0"/>
      </c:catAx>
      <c:valAx>
        <c:axId val="19202633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2026278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Տնտեսական աճ/անկում</c:v>
                </c:pt>
              </c:strCache>
            </c:strRef>
          </c:tx>
          <c:spPr>
            <a:solidFill>
              <a:srgbClr val="4472C4">
                <a:lumMod val="75000"/>
              </a:srgbClr>
            </a:solidFill>
            <a:ln>
              <a:noFill/>
            </a:ln>
            <a:effectLst/>
          </c:spPr>
          <c:invertIfNegative val="0"/>
          <c:dPt>
            <c:idx val="0"/>
            <c:invertIfNegative val="0"/>
            <c:bubble3D val="0"/>
            <c:spPr>
              <a:solidFill>
                <a:srgbClr val="ED7D31">
                  <a:lumMod val="60000"/>
                  <a:lumOff val="40000"/>
                </a:srgbClr>
              </a:solidFill>
              <a:ln>
                <a:noFill/>
              </a:ln>
              <a:effectLst/>
            </c:spPr>
            <c:extLst>
              <c:ext xmlns:c16="http://schemas.microsoft.com/office/drawing/2014/chart" uri="{C3380CC4-5D6E-409C-BE32-E72D297353CC}">
                <c16:uniqueId val="{00000001-C0EB-42B6-9503-8842E5308303}"/>
              </c:ext>
            </c:extLst>
          </c:dPt>
          <c:dPt>
            <c:idx val="1"/>
            <c:invertIfNegative val="0"/>
            <c:bubble3D val="0"/>
            <c:extLst>
              <c:ext xmlns:c16="http://schemas.microsoft.com/office/drawing/2014/chart" uri="{C3380CC4-5D6E-409C-BE32-E72D297353CC}">
                <c16:uniqueId val="{00000002-C0EB-42B6-9503-8842E5308303}"/>
              </c:ext>
            </c:extLst>
          </c:dPt>
          <c:dPt>
            <c:idx val="2"/>
            <c:invertIfNegative val="0"/>
            <c:bubble3D val="0"/>
            <c:extLst>
              <c:ext xmlns:c16="http://schemas.microsoft.com/office/drawing/2014/chart" uri="{C3380CC4-5D6E-409C-BE32-E72D297353CC}">
                <c16:uniqueId val="{00000003-C0EB-42B6-9503-8842E5308303}"/>
              </c:ext>
            </c:extLst>
          </c:dPt>
          <c:dPt>
            <c:idx val="3"/>
            <c:invertIfNegative val="0"/>
            <c:bubble3D val="0"/>
            <c:extLst>
              <c:ext xmlns:c16="http://schemas.microsoft.com/office/drawing/2014/chart" uri="{C3380CC4-5D6E-409C-BE32-E72D297353CC}">
                <c16:uniqueId val="{00000004-C0EB-42B6-9503-8842E5308303}"/>
              </c:ext>
            </c:extLst>
          </c:dPt>
          <c:dPt>
            <c:idx val="4"/>
            <c:invertIfNegative val="0"/>
            <c:bubble3D val="0"/>
            <c:extLst>
              <c:ext xmlns:c16="http://schemas.microsoft.com/office/drawing/2014/chart" uri="{C3380CC4-5D6E-409C-BE32-E72D297353CC}">
                <c16:uniqueId val="{00000005-C0EB-42B6-9503-8842E5308303}"/>
              </c:ext>
            </c:extLst>
          </c:dPt>
          <c:dPt>
            <c:idx val="5"/>
            <c:invertIfNegative val="0"/>
            <c:bubble3D val="0"/>
            <c:extLst>
              <c:ext xmlns:c16="http://schemas.microsoft.com/office/drawing/2014/chart" uri="{C3380CC4-5D6E-409C-BE32-E72D297353CC}">
                <c16:uniqueId val="{00000006-C0EB-42B6-9503-8842E5308303}"/>
              </c:ext>
            </c:extLst>
          </c:dPt>
          <c:dPt>
            <c:idx val="6"/>
            <c:invertIfNegative val="0"/>
            <c:bubble3D val="0"/>
            <c:extLst>
              <c:ext xmlns:c16="http://schemas.microsoft.com/office/drawing/2014/chart" uri="{C3380CC4-5D6E-409C-BE32-E72D297353CC}">
                <c16:uniqueId val="{00000007-C0EB-42B6-9503-8842E5308303}"/>
              </c:ext>
            </c:extLst>
          </c:dPt>
          <c:dPt>
            <c:idx val="7"/>
            <c:invertIfNegative val="0"/>
            <c:bubble3D val="0"/>
            <c:extLst>
              <c:ext xmlns:c16="http://schemas.microsoft.com/office/drawing/2014/chart" uri="{C3380CC4-5D6E-409C-BE32-E72D297353CC}">
                <c16:uniqueId val="{00000008-C0EB-42B6-9503-8842E5308303}"/>
              </c:ext>
            </c:extLst>
          </c:dPt>
          <c:dPt>
            <c:idx val="8"/>
            <c:invertIfNegative val="0"/>
            <c:bubble3D val="0"/>
            <c:extLst>
              <c:ext xmlns:c16="http://schemas.microsoft.com/office/drawing/2014/chart" uri="{C3380CC4-5D6E-409C-BE32-E72D297353CC}">
                <c16:uniqueId val="{00000009-C0EB-42B6-9503-8842E5308303}"/>
              </c:ext>
            </c:extLst>
          </c:dPt>
          <c:dPt>
            <c:idx val="9"/>
            <c:invertIfNegative val="0"/>
            <c:bubble3D val="0"/>
            <c:extLst>
              <c:ext xmlns:c16="http://schemas.microsoft.com/office/drawing/2014/chart" uri="{C3380CC4-5D6E-409C-BE32-E72D297353CC}">
                <c16:uniqueId val="{0000000A-C0EB-42B6-9503-8842E5308303}"/>
              </c:ext>
            </c:extLst>
          </c:dPt>
          <c:dPt>
            <c:idx val="10"/>
            <c:invertIfNegative val="0"/>
            <c:bubble3D val="0"/>
            <c:spPr>
              <a:solidFill>
                <a:srgbClr val="ED7D31">
                  <a:lumMod val="60000"/>
                  <a:lumOff val="40000"/>
                </a:srgbClr>
              </a:solidFill>
              <a:ln>
                <a:noFill/>
              </a:ln>
              <a:effectLst/>
            </c:spPr>
            <c:extLst>
              <c:ext xmlns:c16="http://schemas.microsoft.com/office/drawing/2014/chart" uri="{C3380CC4-5D6E-409C-BE32-E72D297353CC}">
                <c16:uniqueId val="{0000000C-C0EB-42B6-9503-8842E5308303}"/>
              </c:ext>
            </c:extLst>
          </c:dPt>
          <c:dPt>
            <c:idx val="11"/>
            <c:invertIfNegative val="0"/>
            <c:bubble3D val="0"/>
            <c:extLst>
              <c:ext xmlns:c16="http://schemas.microsoft.com/office/drawing/2014/chart" uri="{C3380CC4-5D6E-409C-BE32-E72D297353CC}">
                <c16:uniqueId val="{0000000D-C0EB-42B6-9503-8842E5308303}"/>
              </c:ext>
            </c:extLst>
          </c:dPt>
          <c:dPt>
            <c:idx val="12"/>
            <c:invertIfNegative val="0"/>
            <c:bubble3D val="0"/>
            <c:extLst>
              <c:ext xmlns:c16="http://schemas.microsoft.com/office/drawing/2014/chart" uri="{C3380CC4-5D6E-409C-BE32-E72D297353CC}">
                <c16:uniqueId val="{0000000E-C0EB-42B6-9503-8842E5308303}"/>
              </c:ext>
            </c:extLst>
          </c:dPt>
          <c:dPt>
            <c:idx val="13"/>
            <c:invertIfNegative val="0"/>
            <c:bubble3D val="0"/>
            <c:extLst>
              <c:ext xmlns:c16="http://schemas.microsoft.com/office/drawing/2014/chart" uri="{C3380CC4-5D6E-409C-BE32-E72D297353CC}">
                <c16:uniqueId val="{0000000F-C0EB-42B6-9503-8842E5308303}"/>
              </c:ext>
            </c:extLst>
          </c:dPt>
          <c:dLbls>
            <c:dLbl>
              <c:idx val="0"/>
              <c:layout>
                <c:manualLayout>
                  <c:x val="7.6366559485530547E-2"/>
                  <c:y val="9.6852300242130748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layout/>
                </c:ext>
                <c:ext xmlns:c16="http://schemas.microsoft.com/office/drawing/2014/chart" uri="{C3380CC4-5D6E-409C-BE32-E72D297353CC}">
                  <c16:uniqueId val="{00000001-C0EB-42B6-9503-8842E5308303}"/>
                </c:ext>
              </c:extLst>
            </c:dLbl>
            <c:dLbl>
              <c:idx val="3"/>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4-C0EB-42B6-9503-8842E5308303}"/>
                </c:ext>
              </c:extLst>
            </c:dLbl>
            <c:dLbl>
              <c:idx val="6"/>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C0EB-42B6-9503-8842E530830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0"/>
              </c:ext>
            </c:extLst>
          </c:dLbls>
          <c:cat>
            <c:numRef>
              <c:f>Sheet1!$A$2:$A$15</c:f>
              <c:numCache>
                <c:formatCode>General</c:formatCode>
                <c:ptCount val="14"/>
                <c:pt idx="0">
                  <c:v>2009</c:v>
                </c:pt>
                <c:pt idx="1">
                  <c:v>2010</c:v>
                </c:pt>
                <c:pt idx="2">
                  <c:v>2011</c:v>
                </c:pt>
                <c:pt idx="3">
                  <c:v>2012</c:v>
                </c:pt>
                <c:pt idx="5">
                  <c:v>2016</c:v>
                </c:pt>
                <c:pt idx="6">
                  <c:v>2017</c:v>
                </c:pt>
                <c:pt idx="7">
                  <c:v>2018</c:v>
                </c:pt>
                <c:pt idx="8">
                  <c:v>2019</c:v>
                </c:pt>
                <c:pt idx="10">
                  <c:v>2020</c:v>
                </c:pt>
                <c:pt idx="11">
                  <c:v>2021</c:v>
                </c:pt>
                <c:pt idx="12">
                  <c:v>2022</c:v>
                </c:pt>
                <c:pt idx="13">
                  <c:v>2023</c:v>
                </c:pt>
              </c:numCache>
            </c:numRef>
          </c:cat>
          <c:val>
            <c:numRef>
              <c:f>Sheet1!$B$2:$B$15</c:f>
              <c:numCache>
                <c:formatCode>0.0</c:formatCode>
                <c:ptCount val="14"/>
                <c:pt idx="0" formatCode="General">
                  <c:v>-14.1</c:v>
                </c:pt>
                <c:pt idx="1">
                  <c:v>2.2151091894039183</c:v>
                </c:pt>
                <c:pt idx="2">
                  <c:v>4.6507622226871206</c:v>
                </c:pt>
                <c:pt idx="3">
                  <c:v>7.1590508979271874</c:v>
                </c:pt>
                <c:pt idx="5" formatCode="General">
                  <c:v>0.2</c:v>
                </c:pt>
                <c:pt idx="6" formatCode="General">
                  <c:v>7.5</c:v>
                </c:pt>
                <c:pt idx="7" formatCode="General">
                  <c:v>5.2000000000000028</c:v>
                </c:pt>
                <c:pt idx="8">
                  <c:v>7.6208632799755094</c:v>
                </c:pt>
                <c:pt idx="10" formatCode="General">
                  <c:v>-7.2000000000000028</c:v>
                </c:pt>
                <c:pt idx="11">
                  <c:v>5.8</c:v>
                </c:pt>
                <c:pt idx="12">
                  <c:v>12.6</c:v>
                </c:pt>
                <c:pt idx="13">
                  <c:v>7.4</c:v>
                </c:pt>
              </c:numCache>
            </c:numRef>
          </c:val>
          <c:extLst>
            <c:ext xmlns:c16="http://schemas.microsoft.com/office/drawing/2014/chart" uri="{C3380CC4-5D6E-409C-BE32-E72D297353CC}">
              <c16:uniqueId val="{00000010-C0EB-42B6-9503-8842E5308303}"/>
            </c:ext>
          </c:extLst>
        </c:ser>
        <c:dLbls>
          <c:showLegendKey val="0"/>
          <c:showVal val="0"/>
          <c:showCatName val="0"/>
          <c:showSerName val="0"/>
          <c:showPercent val="0"/>
          <c:showBubbleSize val="0"/>
        </c:dLbls>
        <c:gapWidth val="219"/>
        <c:overlap val="-27"/>
        <c:axId val="222804608"/>
        <c:axId val="222822784"/>
      </c:barChart>
      <c:catAx>
        <c:axId val="22280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822784"/>
        <c:crosses val="autoZero"/>
        <c:auto val="1"/>
        <c:lblAlgn val="ctr"/>
        <c:lblOffset val="100"/>
        <c:noMultiLvlLbl val="0"/>
      </c:catAx>
      <c:valAx>
        <c:axId val="222822784"/>
        <c:scaling>
          <c:orientation val="minMax"/>
          <c:max val="13"/>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804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157794177073183E-2"/>
          <c:y val="4.1115590668506716E-2"/>
          <c:w val="0.91791893726288765"/>
          <c:h val="0.6311948422554563"/>
        </c:manualLayout>
      </c:layout>
      <c:barChart>
        <c:barDir val="col"/>
        <c:grouping val="stacked"/>
        <c:varyColors val="0"/>
        <c:ser>
          <c:idx val="1"/>
          <c:order val="1"/>
          <c:tx>
            <c:strRef>
              <c:f>Sheet1!$D$4</c:f>
              <c:strCache>
                <c:ptCount val="1"/>
                <c:pt idx="0">
                  <c:v>արդյունաբերություն</c:v>
                </c:pt>
              </c:strCache>
            </c:strRef>
          </c:tx>
          <c:spPr>
            <a:solidFill>
              <a:srgbClr val="B4C7E7"/>
            </a:solidFill>
            <a:ln>
              <a:noFill/>
            </a:ln>
            <a:effectLst/>
          </c:spPr>
          <c:invertIfNegative val="0"/>
          <c:val>
            <c:numRef>
              <c:f>Sheet1!$E$4:$J$4</c:f>
              <c:numCache>
                <c:formatCode>0.0</c:formatCode>
                <c:ptCount val="6"/>
                <c:pt idx="0">
                  <c:v>2.168157050169826</c:v>
                </c:pt>
                <c:pt idx="1">
                  <c:v>-0.25862819095951967</c:v>
                </c:pt>
                <c:pt idx="2">
                  <c:v>0.48280829270910863</c:v>
                </c:pt>
                <c:pt idx="3">
                  <c:v>1.1984904168436228</c:v>
                </c:pt>
                <c:pt idx="4">
                  <c:v>0.14780778140350478</c:v>
                </c:pt>
                <c:pt idx="5">
                  <c:v>0.78896368819579876</c:v>
                </c:pt>
              </c:numCache>
            </c:numRef>
          </c:val>
          <c:extLst>
            <c:ext xmlns:c16="http://schemas.microsoft.com/office/drawing/2014/chart" uri="{C3380CC4-5D6E-409C-BE32-E72D297353CC}">
              <c16:uniqueId val="{00000000-A872-4435-9DC2-A1A9037A83B6}"/>
            </c:ext>
          </c:extLst>
        </c:ser>
        <c:ser>
          <c:idx val="2"/>
          <c:order val="2"/>
          <c:tx>
            <c:strRef>
              <c:f>Sheet1!$D$5</c:f>
              <c:strCache>
                <c:ptCount val="1"/>
                <c:pt idx="0">
                  <c:v>գյուղատնտեսություն </c:v>
                </c:pt>
              </c:strCache>
            </c:strRef>
          </c:tx>
          <c:spPr>
            <a:solidFill>
              <a:srgbClr val="8064A2"/>
            </a:solidFill>
            <a:ln>
              <a:noFill/>
            </a:ln>
            <a:effectLst/>
          </c:spPr>
          <c:invertIfNegative val="0"/>
          <c:val>
            <c:numRef>
              <c:f>Sheet1!$E$5:$J$5</c:f>
              <c:numCache>
                <c:formatCode>0.0</c:formatCode>
                <c:ptCount val="6"/>
                <c:pt idx="0">
                  <c:v>-0.80865407601404715</c:v>
                </c:pt>
                <c:pt idx="1">
                  <c:v>-0.42644759730447657</c:v>
                </c:pt>
                <c:pt idx="2">
                  <c:v>-9.0798441243638853E-2</c:v>
                </c:pt>
                <c:pt idx="3">
                  <c:v>-7.940483892380025E-2</c:v>
                </c:pt>
                <c:pt idx="4">
                  <c:v>0.12447763674734726</c:v>
                </c:pt>
                <c:pt idx="5">
                  <c:v>0.28853365787729079</c:v>
                </c:pt>
              </c:numCache>
            </c:numRef>
          </c:val>
          <c:extLst>
            <c:ext xmlns:c16="http://schemas.microsoft.com/office/drawing/2014/chart" uri="{C3380CC4-5D6E-409C-BE32-E72D297353CC}">
              <c16:uniqueId val="{00000001-A872-4435-9DC2-A1A9037A83B6}"/>
            </c:ext>
          </c:extLst>
        </c:ser>
        <c:ser>
          <c:idx val="3"/>
          <c:order val="3"/>
          <c:tx>
            <c:strRef>
              <c:f>Sheet1!$D$6</c:f>
              <c:strCache>
                <c:ptCount val="1"/>
                <c:pt idx="0">
                  <c:v>շինարարություն</c:v>
                </c:pt>
              </c:strCache>
            </c:strRef>
          </c:tx>
          <c:spPr>
            <a:solidFill>
              <a:sysClr val="window" lastClr="FFFFFF">
                <a:lumMod val="65000"/>
              </a:sysClr>
            </a:solidFill>
            <a:ln>
              <a:noFill/>
            </a:ln>
            <a:effectLst/>
          </c:spPr>
          <c:invertIfNegative val="0"/>
          <c:val>
            <c:numRef>
              <c:f>Sheet1!$E$6:$J$6</c:f>
              <c:numCache>
                <c:formatCode>0.0</c:formatCode>
                <c:ptCount val="6"/>
                <c:pt idx="0">
                  <c:v>0.42924919235971903</c:v>
                </c:pt>
                <c:pt idx="1">
                  <c:v>-0.37459956500993163</c:v>
                </c:pt>
                <c:pt idx="2">
                  <c:v>0.21415861518102824</c:v>
                </c:pt>
                <c:pt idx="3">
                  <c:v>1.2239769747831517</c:v>
                </c:pt>
                <c:pt idx="4">
                  <c:v>1.1978011384077423</c:v>
                </c:pt>
                <c:pt idx="5">
                  <c:v>0.62473752153716311</c:v>
                </c:pt>
              </c:numCache>
            </c:numRef>
          </c:val>
          <c:extLst>
            <c:ext xmlns:c16="http://schemas.microsoft.com/office/drawing/2014/chart" uri="{C3380CC4-5D6E-409C-BE32-E72D297353CC}">
              <c16:uniqueId val="{00000002-A872-4435-9DC2-A1A9037A83B6}"/>
            </c:ext>
          </c:extLst>
        </c:ser>
        <c:ser>
          <c:idx val="4"/>
          <c:order val="4"/>
          <c:tx>
            <c:strRef>
              <c:f>Sheet1!$D$7</c:f>
              <c:strCache>
                <c:ptCount val="1"/>
                <c:pt idx="0">
                  <c:v>ծառայություններ</c:v>
                </c:pt>
              </c:strCache>
            </c:strRef>
          </c:tx>
          <c:spPr>
            <a:solidFill>
              <a:srgbClr val="ED7D31">
                <a:lumMod val="60000"/>
                <a:lumOff val="40000"/>
              </a:srgbClr>
            </a:solidFill>
            <a:ln>
              <a:noFill/>
            </a:ln>
            <a:effectLst/>
          </c:spPr>
          <c:invertIfNegative val="0"/>
          <c:val>
            <c:numRef>
              <c:f>Sheet1!$E$7:$J$7</c:f>
              <c:numCache>
                <c:formatCode>0.0</c:formatCode>
                <c:ptCount val="6"/>
                <c:pt idx="0">
                  <c:v>5.0778366362224343</c:v>
                </c:pt>
                <c:pt idx="1">
                  <c:v>-4.9778368840120288</c:v>
                </c:pt>
                <c:pt idx="2">
                  <c:v>4.3753350982915755</c:v>
                </c:pt>
                <c:pt idx="3">
                  <c:v>9.3947329633387184</c:v>
                </c:pt>
                <c:pt idx="4">
                  <c:v>4.6635464148522274</c:v>
                </c:pt>
                <c:pt idx="5">
                  <c:v>4.4748751256714332</c:v>
                </c:pt>
              </c:numCache>
            </c:numRef>
          </c:val>
          <c:extLst>
            <c:ext xmlns:c16="http://schemas.microsoft.com/office/drawing/2014/chart" uri="{C3380CC4-5D6E-409C-BE32-E72D297353CC}">
              <c16:uniqueId val="{00000003-A872-4435-9DC2-A1A9037A83B6}"/>
            </c:ext>
          </c:extLst>
        </c:ser>
        <c:ser>
          <c:idx val="5"/>
          <c:order val="5"/>
          <c:tx>
            <c:strRef>
              <c:f>Sheet1!$D$8</c:f>
              <c:strCache>
                <c:ptCount val="1"/>
                <c:pt idx="0">
                  <c:v>զուտ հարկեր</c:v>
                </c:pt>
              </c:strCache>
            </c:strRef>
          </c:tx>
          <c:spPr>
            <a:solidFill>
              <a:srgbClr val="4472C4">
                <a:lumMod val="50000"/>
              </a:srgbClr>
            </a:solidFill>
            <a:ln>
              <a:noFill/>
            </a:ln>
            <a:effectLst/>
          </c:spPr>
          <c:invertIfNegative val="0"/>
          <c:val>
            <c:numRef>
              <c:f>Sheet1!$E$8:$J$8</c:f>
              <c:numCache>
                <c:formatCode>0.0</c:formatCode>
                <c:ptCount val="6"/>
                <c:pt idx="0">
                  <c:v>0.75427447723755991</c:v>
                </c:pt>
                <c:pt idx="1">
                  <c:v>-1.1276472907079103</c:v>
                </c:pt>
                <c:pt idx="2">
                  <c:v>0.80674869254653181</c:v>
                </c:pt>
                <c:pt idx="3">
                  <c:v>0.88890396802941851</c:v>
                </c:pt>
                <c:pt idx="4">
                  <c:v>1.266367028589205</c:v>
                </c:pt>
                <c:pt idx="5">
                  <c:v>0.82460990188688954</c:v>
                </c:pt>
              </c:numCache>
            </c:numRef>
          </c:val>
          <c:extLst>
            <c:ext xmlns:c16="http://schemas.microsoft.com/office/drawing/2014/chart" uri="{C3380CC4-5D6E-409C-BE32-E72D297353CC}">
              <c16:uniqueId val="{00000004-A872-4435-9DC2-A1A9037A83B6}"/>
            </c:ext>
          </c:extLst>
        </c:ser>
        <c:dLbls>
          <c:showLegendKey val="0"/>
          <c:showVal val="0"/>
          <c:showCatName val="0"/>
          <c:showSerName val="0"/>
          <c:showPercent val="0"/>
          <c:showBubbleSize val="0"/>
        </c:dLbls>
        <c:gapWidth val="150"/>
        <c:overlap val="100"/>
        <c:axId val="222898048"/>
        <c:axId val="222899584"/>
      </c:barChart>
      <c:lineChart>
        <c:grouping val="standard"/>
        <c:varyColors val="0"/>
        <c:ser>
          <c:idx val="0"/>
          <c:order val="0"/>
          <c:tx>
            <c:strRef>
              <c:f>Sheet1!$D$3</c:f>
              <c:strCache>
                <c:ptCount val="1"/>
                <c:pt idx="0">
                  <c:v>ՀՆԱ</c:v>
                </c:pt>
              </c:strCache>
            </c:strRef>
          </c:tx>
          <c:spPr>
            <a:ln w="25400" cap="rnd">
              <a:solidFill>
                <a:srgbClr val="4472C4">
                  <a:lumMod val="75000"/>
                </a:srgbClr>
              </a:solidFill>
              <a:round/>
            </a:ln>
            <a:effectLst/>
          </c:spPr>
          <c:marker>
            <c:symbol val="none"/>
          </c:marker>
          <c:dLbls>
            <c:dLbl>
              <c:idx val="0"/>
              <c:layout>
                <c:manualLayout>
                  <c:x val="-5.3404957419414631E-2"/>
                  <c:y val="-4.687893040215609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872-4435-9DC2-A1A9037A83B6}"/>
                </c:ext>
              </c:extLst>
            </c:dLbl>
            <c:dLbl>
              <c:idx val="1"/>
              <c:layout>
                <c:manualLayout>
                  <c:x val="-5.1292642644133579E-2"/>
                  <c:y val="2.023516355757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872-4435-9DC2-A1A9037A83B6}"/>
                </c:ext>
              </c:extLst>
            </c:dLbl>
            <c:dLbl>
              <c:idx val="2"/>
              <c:layout>
                <c:manualLayout>
                  <c:x val="-5.6989140544065106E-2"/>
                  <c:y val="-2.90207683771072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872-4435-9DC2-A1A9037A83B6}"/>
                </c:ext>
              </c:extLst>
            </c:dLbl>
            <c:dLbl>
              <c:idx val="3"/>
              <c:layout>
                <c:manualLayout>
                  <c:x val="-4.8726223219575565E-2"/>
                  <c:y val="-4.18390318659831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872-4435-9DC2-A1A9037A83B6}"/>
                </c:ext>
              </c:extLst>
            </c:dLbl>
            <c:dLbl>
              <c:idx val="4"/>
              <c:layout>
                <c:manualLayout>
                  <c:x val="-5.4203612316430255E-2"/>
                  <c:y val="-4.01675210061829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872-4435-9DC2-A1A9037A83B6}"/>
                </c:ext>
              </c:extLst>
            </c:dLbl>
            <c:dLbl>
              <c:idx val="5"/>
              <c:layout>
                <c:manualLayout>
                  <c:x val="-5.4203612316430179E-2"/>
                  <c:y val="-4.01675210061829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872-4435-9DC2-A1A9037A83B6}"/>
                </c:ext>
              </c:extLst>
            </c:dLbl>
            <c:dLbl>
              <c:idx val="6"/>
              <c:layout>
                <c:manualLayout>
                  <c:x val="-4.5026859032280486E-2"/>
                  <c:y val="-3.34561116102097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872-4435-9DC2-A1A9037A83B6}"/>
                </c:ext>
              </c:extLst>
            </c:dLbl>
            <c:dLbl>
              <c:idx val="7"/>
              <c:layout>
                <c:manualLayout>
                  <c:x val="-3.2627683834602642E-2"/>
                  <c:y val="-4.68789304021561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872-4435-9DC2-A1A9037A83B6}"/>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Sheet1!$E$2:$J$2</c:f>
              <c:numCache>
                <c:formatCode>General</c:formatCode>
                <c:ptCount val="6"/>
                <c:pt idx="0">
                  <c:v>2019</c:v>
                </c:pt>
                <c:pt idx="1">
                  <c:v>2020</c:v>
                </c:pt>
                <c:pt idx="2">
                  <c:v>2021</c:v>
                </c:pt>
                <c:pt idx="3">
                  <c:v>2022</c:v>
                </c:pt>
                <c:pt idx="4">
                  <c:v>2023</c:v>
                </c:pt>
                <c:pt idx="5">
                  <c:v>2024</c:v>
                </c:pt>
              </c:numCache>
            </c:numRef>
          </c:cat>
          <c:val>
            <c:numRef>
              <c:f>Sheet1!$E$3:$J$3</c:f>
              <c:numCache>
                <c:formatCode>0.0</c:formatCode>
                <c:ptCount val="6"/>
                <c:pt idx="0">
                  <c:v>7.6208632799754925</c:v>
                </c:pt>
                <c:pt idx="1">
                  <c:v>-7.1651595279938665</c:v>
                </c:pt>
                <c:pt idx="2">
                  <c:v>5.7882522574846051</c:v>
                </c:pt>
                <c:pt idx="3">
                  <c:v>12.626699484071112</c:v>
                </c:pt>
                <c:pt idx="4">
                  <c:v>7.400000000000027</c:v>
                </c:pt>
                <c:pt idx="5">
                  <c:v>7.0017198951685753</c:v>
                </c:pt>
              </c:numCache>
            </c:numRef>
          </c:val>
          <c:smooth val="0"/>
          <c:extLst>
            <c:ext xmlns:c16="http://schemas.microsoft.com/office/drawing/2014/chart" uri="{C3380CC4-5D6E-409C-BE32-E72D297353CC}">
              <c16:uniqueId val="{0000000D-A872-4435-9DC2-A1A9037A83B6}"/>
            </c:ext>
          </c:extLst>
        </c:ser>
        <c:dLbls>
          <c:showLegendKey val="0"/>
          <c:showVal val="0"/>
          <c:showCatName val="0"/>
          <c:showSerName val="0"/>
          <c:showPercent val="0"/>
          <c:showBubbleSize val="0"/>
        </c:dLbls>
        <c:marker val="1"/>
        <c:smooth val="0"/>
        <c:axId val="222898048"/>
        <c:axId val="222899584"/>
      </c:lineChart>
      <c:catAx>
        <c:axId val="222898048"/>
        <c:scaling>
          <c:orientation val="minMax"/>
        </c:scaling>
        <c:delete val="0"/>
        <c:axPos val="b"/>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2899584"/>
        <c:crosses val="autoZero"/>
        <c:auto val="1"/>
        <c:lblAlgn val="ctr"/>
        <c:lblOffset val="100"/>
        <c:noMultiLvlLbl val="0"/>
      </c:catAx>
      <c:valAx>
        <c:axId val="222899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2898048"/>
        <c:crosses val="autoZero"/>
        <c:crossBetween val="between"/>
      </c:valAx>
      <c:spPr>
        <a:noFill/>
        <a:ln>
          <a:noFill/>
        </a:ln>
        <a:effectLst/>
      </c:spPr>
    </c:plotArea>
    <c:legend>
      <c:legendPos val="b"/>
      <c:layout>
        <c:manualLayout>
          <c:xMode val="edge"/>
          <c:yMode val="edge"/>
          <c:x val="0"/>
          <c:y val="0.82533372086878398"/>
          <c:w val="1"/>
          <c:h val="0.1581293808862133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30597210264042"/>
          <c:y val="7.201309328968912E-2"/>
          <c:w val="0.81369779122581465"/>
          <c:h val="0.58559531940667808"/>
        </c:manualLayout>
      </c:layout>
      <c:barChart>
        <c:barDir val="col"/>
        <c:grouping val="stacked"/>
        <c:varyColors val="0"/>
        <c:ser>
          <c:idx val="1"/>
          <c:order val="1"/>
          <c:tx>
            <c:strRef>
              <c:f>Sheet1!$A$3</c:f>
              <c:strCache>
                <c:ptCount val="1"/>
                <c:pt idx="0">
                  <c:v>Սպառում</c:v>
                </c:pt>
              </c:strCache>
            </c:strRef>
          </c:tx>
          <c:spPr>
            <a:solidFill>
              <a:srgbClr val="ED7D31">
                <a:lumMod val="60000"/>
                <a:lumOff val="40000"/>
              </a:srgbClr>
            </a:solidFill>
            <a:ln>
              <a:noFill/>
            </a:ln>
            <a:effectLst/>
          </c:spPr>
          <c:invertIfNegative val="0"/>
          <c:cat>
            <c:strRef>
              <c:f>Sheet1!$B$1:$G$1</c:f>
              <c:strCache>
                <c:ptCount val="6"/>
                <c:pt idx="0">
                  <c:v>2019</c:v>
                </c:pt>
                <c:pt idx="1">
                  <c:v>2020</c:v>
                </c:pt>
                <c:pt idx="2">
                  <c:v>2021</c:v>
                </c:pt>
                <c:pt idx="3">
                  <c:v>2022</c:v>
                </c:pt>
                <c:pt idx="4">
                  <c:v>2023</c:v>
                </c:pt>
                <c:pt idx="5">
                  <c:v>2024</c:v>
                </c:pt>
              </c:strCache>
            </c:strRef>
          </c:cat>
          <c:val>
            <c:numRef>
              <c:f>Sheet1!$B$3:$G$3</c:f>
              <c:numCache>
                <c:formatCode>0.0</c:formatCode>
                <c:ptCount val="6"/>
                <c:pt idx="0">
                  <c:v>10.680646817555598</c:v>
                </c:pt>
                <c:pt idx="1">
                  <c:v>-10.464438397329021</c:v>
                </c:pt>
                <c:pt idx="2">
                  <c:v>1.1738350099530821</c:v>
                </c:pt>
                <c:pt idx="3">
                  <c:v>6.6674916356752565</c:v>
                </c:pt>
                <c:pt idx="4">
                  <c:v>6.8792058975125112</c:v>
                </c:pt>
                <c:pt idx="5">
                  <c:v>6.138942989597389</c:v>
                </c:pt>
              </c:numCache>
            </c:numRef>
          </c:val>
          <c:extLst>
            <c:ext xmlns:c16="http://schemas.microsoft.com/office/drawing/2014/chart" uri="{C3380CC4-5D6E-409C-BE32-E72D297353CC}">
              <c16:uniqueId val="{00000000-BB22-475E-8659-B61ECDE54C1B}"/>
            </c:ext>
          </c:extLst>
        </c:ser>
        <c:ser>
          <c:idx val="2"/>
          <c:order val="2"/>
          <c:tx>
            <c:strRef>
              <c:f>Sheet1!$A$4</c:f>
              <c:strCache>
                <c:ptCount val="1"/>
                <c:pt idx="0">
                  <c:v>Հիմնական միջոցներում կապիտալ ներդրումներ</c:v>
                </c:pt>
              </c:strCache>
            </c:strRef>
          </c:tx>
          <c:spPr>
            <a:solidFill>
              <a:schemeClr val="accent3"/>
            </a:solidFill>
            <a:ln>
              <a:noFill/>
            </a:ln>
            <a:effectLst/>
          </c:spPr>
          <c:invertIfNegative val="0"/>
          <c:cat>
            <c:strRef>
              <c:f>Sheet1!$B$1:$G$1</c:f>
              <c:strCache>
                <c:ptCount val="6"/>
                <c:pt idx="0">
                  <c:v>2019</c:v>
                </c:pt>
                <c:pt idx="1">
                  <c:v>2020</c:v>
                </c:pt>
                <c:pt idx="2">
                  <c:v>2021</c:v>
                </c:pt>
                <c:pt idx="3">
                  <c:v>2022</c:v>
                </c:pt>
                <c:pt idx="4">
                  <c:v>2023</c:v>
                </c:pt>
                <c:pt idx="5">
                  <c:v>2024</c:v>
                </c:pt>
              </c:strCache>
            </c:strRef>
          </c:cat>
          <c:val>
            <c:numRef>
              <c:f>Sheet1!$B$4:$G$4</c:f>
              <c:numCache>
                <c:formatCode>0.0</c:formatCode>
                <c:ptCount val="6"/>
                <c:pt idx="0">
                  <c:v>0.73660007839076713</c:v>
                </c:pt>
                <c:pt idx="1">
                  <c:v>-0.23723397647965289</c:v>
                </c:pt>
                <c:pt idx="2">
                  <c:v>4.1946454154745165</c:v>
                </c:pt>
                <c:pt idx="3">
                  <c:v>2.0159479324414522</c:v>
                </c:pt>
                <c:pt idx="4">
                  <c:v>4.6969608779437397</c:v>
                </c:pt>
                <c:pt idx="5">
                  <c:v>2.5754222291314228</c:v>
                </c:pt>
              </c:numCache>
            </c:numRef>
          </c:val>
          <c:extLst>
            <c:ext xmlns:c16="http://schemas.microsoft.com/office/drawing/2014/chart" uri="{C3380CC4-5D6E-409C-BE32-E72D297353CC}">
              <c16:uniqueId val="{00000001-BB22-475E-8659-B61ECDE54C1B}"/>
            </c:ext>
          </c:extLst>
        </c:ser>
        <c:ser>
          <c:idx val="3"/>
          <c:order val="3"/>
          <c:tx>
            <c:strRef>
              <c:f>Sheet1!$A$5</c:f>
              <c:strCache>
                <c:ptCount val="1"/>
                <c:pt idx="0">
                  <c:v>Արտահանում</c:v>
                </c:pt>
              </c:strCache>
            </c:strRef>
          </c:tx>
          <c:spPr>
            <a:solidFill>
              <a:srgbClr val="B4C7E7"/>
            </a:solidFill>
            <a:ln>
              <a:noFill/>
            </a:ln>
            <a:effectLst/>
          </c:spPr>
          <c:invertIfNegative val="0"/>
          <c:cat>
            <c:strRef>
              <c:f>Sheet1!$B$1:$G$1</c:f>
              <c:strCache>
                <c:ptCount val="6"/>
                <c:pt idx="0">
                  <c:v>2019</c:v>
                </c:pt>
                <c:pt idx="1">
                  <c:v>2020</c:v>
                </c:pt>
                <c:pt idx="2">
                  <c:v>2021</c:v>
                </c:pt>
                <c:pt idx="3">
                  <c:v>2022</c:v>
                </c:pt>
                <c:pt idx="4">
                  <c:v>2023</c:v>
                </c:pt>
                <c:pt idx="5">
                  <c:v>2024</c:v>
                </c:pt>
              </c:strCache>
            </c:strRef>
          </c:cat>
          <c:val>
            <c:numRef>
              <c:f>Sheet1!$B$5:$G$5</c:f>
              <c:numCache>
                <c:formatCode>0.0</c:formatCode>
                <c:ptCount val="6"/>
                <c:pt idx="0">
                  <c:v>6.3028630445771689</c:v>
                </c:pt>
                <c:pt idx="1">
                  <c:v>-13.852518456298451</c:v>
                </c:pt>
                <c:pt idx="2">
                  <c:v>5.5362875662259698</c:v>
                </c:pt>
                <c:pt idx="3">
                  <c:v>19.333683630506691</c:v>
                </c:pt>
                <c:pt idx="4">
                  <c:v>8.8573998180971447</c:v>
                </c:pt>
                <c:pt idx="5">
                  <c:v>6.6532384201440484</c:v>
                </c:pt>
              </c:numCache>
            </c:numRef>
          </c:val>
          <c:extLst>
            <c:ext xmlns:c16="http://schemas.microsoft.com/office/drawing/2014/chart" uri="{C3380CC4-5D6E-409C-BE32-E72D297353CC}">
              <c16:uniqueId val="{00000002-BB22-475E-8659-B61ECDE54C1B}"/>
            </c:ext>
          </c:extLst>
        </c:ser>
        <c:ser>
          <c:idx val="4"/>
          <c:order val="4"/>
          <c:tx>
            <c:strRef>
              <c:f>Sheet1!$A$6</c:f>
              <c:strCache>
                <c:ptCount val="1"/>
                <c:pt idx="0">
                  <c:v>Ներմուծում ("-" նշանով)</c:v>
                </c:pt>
              </c:strCache>
            </c:strRef>
          </c:tx>
          <c:spPr>
            <a:solidFill>
              <a:srgbClr val="4472C4">
                <a:lumMod val="50000"/>
              </a:srgbClr>
            </a:solidFill>
          </c:spPr>
          <c:invertIfNegative val="0"/>
          <c:cat>
            <c:strRef>
              <c:f>Sheet1!$B$1:$G$1</c:f>
              <c:strCache>
                <c:ptCount val="6"/>
                <c:pt idx="0">
                  <c:v>2019</c:v>
                </c:pt>
                <c:pt idx="1">
                  <c:v>2020</c:v>
                </c:pt>
                <c:pt idx="2">
                  <c:v>2021</c:v>
                </c:pt>
                <c:pt idx="3">
                  <c:v>2022</c:v>
                </c:pt>
                <c:pt idx="4">
                  <c:v>2023</c:v>
                </c:pt>
                <c:pt idx="5">
                  <c:v>2024</c:v>
                </c:pt>
              </c:strCache>
            </c:strRef>
          </c:cat>
          <c:val>
            <c:numRef>
              <c:f>Sheet1!$B$6:$G$6</c:f>
              <c:numCache>
                <c:formatCode>0.0</c:formatCode>
                <c:ptCount val="6"/>
                <c:pt idx="0">
                  <c:v>-6.1573047071421447</c:v>
                </c:pt>
                <c:pt idx="1">
                  <c:v>17.250456121537535</c:v>
                </c:pt>
                <c:pt idx="2">
                  <c:v>-5.1243728605494399</c:v>
                </c:pt>
                <c:pt idx="3">
                  <c:v>-15.205803594044415</c:v>
                </c:pt>
                <c:pt idx="4">
                  <c:v>-13.031321424369301</c:v>
                </c:pt>
                <c:pt idx="5">
                  <c:v>-8.3023310143188507</c:v>
                </c:pt>
              </c:numCache>
            </c:numRef>
          </c:val>
          <c:extLst>
            <c:ext xmlns:c16="http://schemas.microsoft.com/office/drawing/2014/chart" uri="{C3380CC4-5D6E-409C-BE32-E72D297353CC}">
              <c16:uniqueId val="{00000003-BB22-475E-8659-B61ECDE54C1B}"/>
            </c:ext>
          </c:extLst>
        </c:ser>
        <c:dLbls>
          <c:showLegendKey val="0"/>
          <c:showVal val="0"/>
          <c:showCatName val="0"/>
          <c:showSerName val="0"/>
          <c:showPercent val="0"/>
          <c:showBubbleSize val="0"/>
        </c:dLbls>
        <c:gapWidth val="150"/>
        <c:overlap val="100"/>
        <c:axId val="222975104"/>
        <c:axId val="222976640"/>
      </c:barChart>
      <c:lineChart>
        <c:grouping val="standard"/>
        <c:varyColors val="0"/>
        <c:ser>
          <c:idx val="0"/>
          <c:order val="0"/>
          <c:tx>
            <c:strRef>
              <c:f>Sheet1!$A$2</c:f>
              <c:strCache>
                <c:ptCount val="1"/>
                <c:pt idx="0">
                  <c:v>ՀՆԱ</c:v>
                </c:pt>
              </c:strCache>
            </c:strRef>
          </c:tx>
          <c:spPr>
            <a:ln w="25400" cap="rnd">
              <a:solidFill>
                <a:srgbClr val="4472C4">
                  <a:lumMod val="75000"/>
                </a:srgbClr>
              </a:solidFill>
              <a:round/>
            </a:ln>
            <a:effectLst/>
          </c:spPr>
          <c:marker>
            <c:symbol val="none"/>
          </c:marker>
          <c:dLbls>
            <c:dLbl>
              <c:idx val="0"/>
              <c:layout>
                <c:manualLayout>
                  <c:x val="-7.3185606830656655E-2"/>
                  <c:y val="-4.637318873550058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B22-475E-8659-B61ECDE54C1B}"/>
                </c:ext>
              </c:extLst>
            </c:dLbl>
            <c:dLbl>
              <c:idx val="1"/>
              <c:layout>
                <c:manualLayout>
                  <c:x val="-6.5053872738361454E-2"/>
                  <c:y val="5.7193938453138631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B22-475E-8659-B61ECDE54C1B}"/>
                </c:ext>
              </c:extLst>
            </c:dLbl>
            <c:dLbl>
              <c:idx val="2"/>
              <c:layout>
                <c:manualLayout>
                  <c:x val="-6.9119739784509124E-2"/>
                  <c:y val="-3.6799648854226361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B22-475E-8659-B61ECDE54C1B}"/>
                </c:ext>
              </c:extLst>
            </c:dLbl>
            <c:dLbl>
              <c:idx val="3"/>
              <c:layout>
                <c:manualLayout>
                  <c:x val="-4.8790404553771163E-2"/>
                  <c:y val="-4.0372664157972839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B22-475E-8659-B61ECDE54C1B}"/>
                </c:ext>
              </c:extLst>
            </c:dLbl>
            <c:dLbl>
              <c:idx val="4"/>
              <c:layout>
                <c:manualLayout>
                  <c:x val="-5.9117386703974394E-2"/>
                  <c:y val="-4.5800435720517937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B22-475E-8659-B61ECDE54C1B}"/>
                </c:ext>
              </c:extLst>
            </c:dLbl>
            <c:dLbl>
              <c:idx val="5"/>
              <c:layout>
                <c:manualLayout>
                  <c:x val="-5.8613475307861367E-2"/>
                  <c:y val="-4.0665464063762931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B22-475E-8659-B61ECDE54C1B}"/>
                </c:ext>
              </c:extLst>
            </c:dLbl>
            <c:dLbl>
              <c:idx val="6"/>
              <c:layout>
                <c:manualLayout>
                  <c:x val="-5.6802723810773906E-2"/>
                  <c:y val="-4.01595736727364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B22-475E-8659-B61ECDE54C1B}"/>
                </c:ext>
              </c:extLst>
            </c:dLbl>
            <c:dLbl>
              <c:idx val="7"/>
              <c:layout>
                <c:manualLayout>
                  <c:x val="-5.6922138646066274E-2"/>
                  <c:y val="-4.75866757307954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B22-475E-8659-B61ECDE54C1B}"/>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2019</c:v>
                </c:pt>
                <c:pt idx="1">
                  <c:v>2020</c:v>
                </c:pt>
                <c:pt idx="2">
                  <c:v>2021</c:v>
                </c:pt>
                <c:pt idx="3">
                  <c:v>2022</c:v>
                </c:pt>
                <c:pt idx="4">
                  <c:v>2023</c:v>
                </c:pt>
                <c:pt idx="5">
                  <c:v>2024</c:v>
                </c:pt>
              </c:strCache>
            </c:strRef>
          </c:cat>
          <c:val>
            <c:numRef>
              <c:f>Sheet1!$B$2:$G$2</c:f>
              <c:numCache>
                <c:formatCode>0.0</c:formatCode>
                <c:ptCount val="6"/>
                <c:pt idx="0">
                  <c:v>7.5999999999999943</c:v>
                </c:pt>
                <c:pt idx="1">
                  <c:v>-7.2000000000000028</c:v>
                </c:pt>
                <c:pt idx="2">
                  <c:v>5.7999999999999972</c:v>
                </c:pt>
                <c:pt idx="3">
                  <c:v>12.599999999999994</c:v>
                </c:pt>
                <c:pt idx="4">
                  <c:v>7.4000000000000057</c:v>
                </c:pt>
                <c:pt idx="5">
                  <c:v>7.0017198951685629</c:v>
                </c:pt>
              </c:numCache>
            </c:numRef>
          </c:val>
          <c:smooth val="0"/>
          <c:extLst>
            <c:ext xmlns:c16="http://schemas.microsoft.com/office/drawing/2014/chart" uri="{C3380CC4-5D6E-409C-BE32-E72D297353CC}">
              <c16:uniqueId val="{0000000C-BB22-475E-8659-B61ECDE54C1B}"/>
            </c:ext>
          </c:extLst>
        </c:ser>
        <c:dLbls>
          <c:showLegendKey val="0"/>
          <c:showVal val="0"/>
          <c:showCatName val="0"/>
          <c:showSerName val="0"/>
          <c:showPercent val="0"/>
          <c:showBubbleSize val="0"/>
        </c:dLbls>
        <c:marker val="1"/>
        <c:smooth val="0"/>
        <c:axId val="222975104"/>
        <c:axId val="222976640"/>
      </c:lineChart>
      <c:catAx>
        <c:axId val="2229751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2976640"/>
        <c:crosses val="autoZero"/>
        <c:auto val="1"/>
        <c:lblAlgn val="ctr"/>
        <c:lblOffset val="100"/>
        <c:noMultiLvlLbl val="0"/>
      </c:catAx>
      <c:valAx>
        <c:axId val="222976640"/>
        <c:scaling>
          <c:orientation val="minMax"/>
          <c:max val="30"/>
          <c:min val="-1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2975104"/>
        <c:crosses val="autoZero"/>
        <c:crossBetween val="between"/>
        <c:majorUnit val="4"/>
      </c:valAx>
      <c:spPr>
        <a:noFill/>
        <a:ln>
          <a:noFill/>
        </a:ln>
        <a:effectLst/>
      </c:spPr>
    </c:plotArea>
    <c:legend>
      <c:legendPos val="b"/>
      <c:layout>
        <c:manualLayout>
          <c:xMode val="edge"/>
          <c:yMode val="edge"/>
          <c:x val="2.091774131948677E-2"/>
          <c:y val="0.76103826800655461"/>
          <c:w val="0.96045960304972056"/>
          <c:h val="0.2389616576649876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36046999039115"/>
          <c:y val="5.1694697277698022E-2"/>
          <c:w val="0.84559448496456369"/>
          <c:h val="0.68934504893948323"/>
        </c:manualLayout>
      </c:layout>
      <c:barChart>
        <c:barDir val="col"/>
        <c:grouping val="percentStacked"/>
        <c:varyColors val="0"/>
        <c:ser>
          <c:idx val="0"/>
          <c:order val="0"/>
          <c:tx>
            <c:strRef>
              <c:f>Sheet1!$A$2</c:f>
              <c:strCache>
                <c:ptCount val="1"/>
                <c:pt idx="0">
                  <c:v>Սպառում</c:v>
                </c:pt>
              </c:strCache>
            </c:strRef>
          </c:tx>
          <c:spPr>
            <a:solidFill>
              <a:srgbClr val="ED7D31">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2019 </c:v>
                </c:pt>
                <c:pt idx="1">
                  <c:v>2020 </c:v>
                </c:pt>
                <c:pt idx="2">
                  <c:v>2021 </c:v>
                </c:pt>
                <c:pt idx="3">
                  <c:v>2022</c:v>
                </c:pt>
                <c:pt idx="4">
                  <c:v>2023</c:v>
                </c:pt>
                <c:pt idx="5">
                  <c:v>2024</c:v>
                </c:pt>
              </c:strCache>
            </c:strRef>
          </c:cat>
          <c:val>
            <c:numRef>
              <c:f>Sheet1!$B$2:$G$2</c:f>
              <c:numCache>
                <c:formatCode>0.0</c:formatCode>
                <c:ptCount val="6"/>
                <c:pt idx="0">
                  <c:v>96.004021993844162</c:v>
                </c:pt>
                <c:pt idx="1">
                  <c:v>90.295000765621907</c:v>
                </c:pt>
                <c:pt idx="2">
                  <c:v>84.893132616428417</c:v>
                </c:pt>
                <c:pt idx="3">
                  <c:v>79.344887107594943</c:v>
                </c:pt>
                <c:pt idx="4">
                  <c:v>79.453038194521994</c:v>
                </c:pt>
                <c:pt idx="5">
                  <c:v>79.763325563472932</c:v>
                </c:pt>
              </c:numCache>
            </c:numRef>
          </c:val>
          <c:extLst>
            <c:ext xmlns:c16="http://schemas.microsoft.com/office/drawing/2014/chart" uri="{C3380CC4-5D6E-409C-BE32-E72D297353CC}">
              <c16:uniqueId val="{00000000-B933-4734-9340-3B29C500EC24}"/>
            </c:ext>
          </c:extLst>
        </c:ser>
        <c:ser>
          <c:idx val="1"/>
          <c:order val="1"/>
          <c:tx>
            <c:strRef>
              <c:f>Sheet1!$A$3</c:f>
              <c:strCache>
                <c:ptCount val="1"/>
                <c:pt idx="0">
                  <c:v>Հիմնական միջոցներում կապիտալ ներդրումներ</c:v>
                </c:pt>
              </c:strCache>
            </c:strRef>
          </c:tx>
          <c:spPr>
            <a:solidFill>
              <a:sysClr val="window" lastClr="FFFFFF">
                <a:lumMod val="65000"/>
              </a:sysClr>
            </a:solidFill>
            <a:ln>
              <a:noFill/>
            </a:ln>
            <a:effectLst/>
          </c:spPr>
          <c:invertIfNegative val="0"/>
          <c:dLbls>
            <c:dLbl>
              <c:idx val="1"/>
              <c:layout>
                <c:manualLayout>
                  <c:x val="0"/>
                  <c:y val="-7.024938531787846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933-4734-9340-3B29C500EC24}"/>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2019 </c:v>
                </c:pt>
                <c:pt idx="1">
                  <c:v>2020 </c:v>
                </c:pt>
                <c:pt idx="2">
                  <c:v>2021 </c:v>
                </c:pt>
                <c:pt idx="3">
                  <c:v>2022</c:v>
                </c:pt>
                <c:pt idx="4">
                  <c:v>2023</c:v>
                </c:pt>
                <c:pt idx="5">
                  <c:v>2024</c:v>
                </c:pt>
              </c:strCache>
            </c:strRef>
          </c:cat>
          <c:val>
            <c:numRef>
              <c:f>Sheet1!$B$3:$G$3</c:f>
              <c:numCache>
                <c:formatCode>0.0</c:formatCode>
                <c:ptCount val="6"/>
                <c:pt idx="0">
                  <c:v>15.815598431976859</c:v>
                </c:pt>
                <c:pt idx="1">
                  <c:v>17.77392125201067</c:v>
                </c:pt>
                <c:pt idx="2">
                  <c:v>21.203941864399638</c:v>
                </c:pt>
                <c:pt idx="3">
                  <c:v>20.265859806852617</c:v>
                </c:pt>
                <c:pt idx="4">
                  <c:v>21.89383623806069</c:v>
                </c:pt>
                <c:pt idx="5">
                  <c:v>22.868098280256682</c:v>
                </c:pt>
              </c:numCache>
            </c:numRef>
          </c:val>
          <c:extLst>
            <c:ext xmlns:c16="http://schemas.microsoft.com/office/drawing/2014/chart" uri="{C3380CC4-5D6E-409C-BE32-E72D297353CC}">
              <c16:uniqueId val="{00000002-B933-4734-9340-3B29C500EC24}"/>
            </c:ext>
          </c:extLst>
        </c:ser>
        <c:ser>
          <c:idx val="2"/>
          <c:order val="2"/>
          <c:tx>
            <c:strRef>
              <c:f>Sheet1!$A$4</c:f>
              <c:strCache>
                <c:ptCount val="1"/>
                <c:pt idx="0">
                  <c:v>Ապրանք. և ծառ. արտահանում </c:v>
                </c:pt>
              </c:strCache>
            </c:strRef>
          </c:tx>
          <c:spPr>
            <a:solidFill>
              <a:srgbClr val="B4C7E7"/>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2019 </c:v>
                </c:pt>
                <c:pt idx="1">
                  <c:v>2020 </c:v>
                </c:pt>
                <c:pt idx="2">
                  <c:v>2021 </c:v>
                </c:pt>
                <c:pt idx="3">
                  <c:v>2022</c:v>
                </c:pt>
                <c:pt idx="4">
                  <c:v>2023</c:v>
                </c:pt>
                <c:pt idx="5">
                  <c:v>2024</c:v>
                </c:pt>
              </c:strCache>
            </c:strRef>
          </c:cat>
          <c:val>
            <c:numRef>
              <c:f>Sheet1!$B$4:$G$4</c:f>
              <c:numCache>
                <c:formatCode>0.0</c:formatCode>
                <c:ptCount val="6"/>
                <c:pt idx="0">
                  <c:v>41.35080136208493</c:v>
                </c:pt>
                <c:pt idx="1">
                  <c:v>29.764986915193397</c:v>
                </c:pt>
                <c:pt idx="2">
                  <c:v>35.906439990126685</c:v>
                </c:pt>
                <c:pt idx="3">
                  <c:v>50.013647695145139</c:v>
                </c:pt>
                <c:pt idx="4">
                  <c:v>53.433856797049117</c:v>
                </c:pt>
                <c:pt idx="5">
                  <c:v>54.805375041924599</c:v>
                </c:pt>
              </c:numCache>
            </c:numRef>
          </c:val>
          <c:extLst>
            <c:ext xmlns:c16="http://schemas.microsoft.com/office/drawing/2014/chart" uri="{C3380CC4-5D6E-409C-BE32-E72D297353CC}">
              <c16:uniqueId val="{00000003-B933-4734-9340-3B29C500EC24}"/>
            </c:ext>
          </c:extLst>
        </c:ser>
        <c:ser>
          <c:idx val="3"/>
          <c:order val="3"/>
          <c:tx>
            <c:strRef>
              <c:f>Sheet1!$A$5</c:f>
              <c:strCache>
                <c:ptCount val="1"/>
                <c:pt idx="0">
                  <c:v>Ապրանք. և ծառ. ներմուծում ("-" նշանով)</c:v>
                </c:pt>
              </c:strCache>
            </c:strRef>
          </c:tx>
          <c:spPr>
            <a:solidFill>
              <a:srgbClr val="4472C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2019 </c:v>
                </c:pt>
                <c:pt idx="1">
                  <c:v>2020 </c:v>
                </c:pt>
                <c:pt idx="2">
                  <c:v>2021 </c:v>
                </c:pt>
                <c:pt idx="3">
                  <c:v>2022</c:v>
                </c:pt>
                <c:pt idx="4">
                  <c:v>2023</c:v>
                </c:pt>
                <c:pt idx="5">
                  <c:v>2024</c:v>
                </c:pt>
              </c:strCache>
            </c:strRef>
          </c:cat>
          <c:val>
            <c:numRef>
              <c:f>Sheet1!$B$5:$G$5</c:f>
              <c:numCache>
                <c:formatCode>0.0</c:formatCode>
                <c:ptCount val="6"/>
                <c:pt idx="0">
                  <c:v>-54.763352766785822</c:v>
                </c:pt>
                <c:pt idx="1">
                  <c:v>-39.723820624414245</c:v>
                </c:pt>
                <c:pt idx="2">
                  <c:v>-43.763448832713195</c:v>
                </c:pt>
                <c:pt idx="3">
                  <c:v>-50.992844678995688</c:v>
                </c:pt>
                <c:pt idx="4">
                  <c:v>-55.8649298069897</c:v>
                </c:pt>
                <c:pt idx="5">
                  <c:v>-57.488974423748502</c:v>
                </c:pt>
              </c:numCache>
            </c:numRef>
          </c:val>
          <c:extLst>
            <c:ext xmlns:c16="http://schemas.microsoft.com/office/drawing/2014/chart" uri="{C3380CC4-5D6E-409C-BE32-E72D297353CC}">
              <c16:uniqueId val="{00000004-B933-4734-9340-3B29C500EC24}"/>
            </c:ext>
          </c:extLst>
        </c:ser>
        <c:dLbls>
          <c:showLegendKey val="0"/>
          <c:showVal val="0"/>
          <c:showCatName val="0"/>
          <c:showSerName val="0"/>
          <c:showPercent val="0"/>
          <c:showBubbleSize val="0"/>
        </c:dLbls>
        <c:gapWidth val="150"/>
        <c:overlap val="100"/>
        <c:axId val="256640128"/>
        <c:axId val="256641664"/>
      </c:barChart>
      <c:catAx>
        <c:axId val="25664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56641664"/>
        <c:crosses val="autoZero"/>
        <c:auto val="1"/>
        <c:lblAlgn val="ctr"/>
        <c:lblOffset val="600"/>
        <c:noMultiLvlLbl val="0"/>
      </c:catAx>
      <c:valAx>
        <c:axId val="256641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56640128"/>
        <c:crosses val="autoZero"/>
        <c:crossBetween val="between"/>
      </c:valAx>
      <c:spPr>
        <a:noFill/>
        <a:ln>
          <a:noFill/>
        </a:ln>
        <a:effectLst/>
      </c:spPr>
    </c:plotArea>
    <c:legend>
      <c:legendPos val="b"/>
      <c:layout>
        <c:manualLayout>
          <c:xMode val="edge"/>
          <c:yMode val="edge"/>
          <c:x val="5.2434256574987008E-3"/>
          <c:y val="0.78567465684281557"/>
          <c:w val="0.93683576085940545"/>
          <c:h val="0.2143253431571843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22703412073505E-2"/>
          <c:y val="5.0925925925925923E-2"/>
          <c:w val="0.87232174103237092"/>
          <c:h val="0.58299139690871971"/>
        </c:manualLayout>
      </c:layout>
      <c:barChart>
        <c:barDir val="col"/>
        <c:grouping val="percentStacked"/>
        <c:varyColors val="0"/>
        <c:ser>
          <c:idx val="0"/>
          <c:order val="0"/>
          <c:tx>
            <c:strRef>
              <c:f>Sheet1!$A$8</c:f>
              <c:strCache>
                <c:ptCount val="1"/>
                <c:pt idx="0">
                  <c:v>Արդյունաբերություն</c:v>
                </c:pt>
              </c:strCache>
            </c:strRef>
          </c:tx>
          <c:spPr>
            <a:solidFill>
              <a:srgbClr val="B4C7E7"/>
            </a:solidFill>
            <a:ln>
              <a:noFill/>
            </a:ln>
            <a:effectLst/>
          </c:spPr>
          <c:invertIfNegative val="0"/>
          <c:dLbls>
            <c:dLbl>
              <c:idx val="0"/>
              <c:layout>
                <c:manualLayout>
                  <c:x val="-4.0807998367680069E-3"/>
                  <c:y val="7.024938531787911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23B-41BE-A515-C1A331E12DE5}"/>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Sheet1!$B$7:$G$7</c:f>
              <c:strCache>
                <c:ptCount val="6"/>
                <c:pt idx="0">
                  <c:v>2019 </c:v>
                </c:pt>
                <c:pt idx="1">
                  <c:v>2020 </c:v>
                </c:pt>
                <c:pt idx="2">
                  <c:v>2021 </c:v>
                </c:pt>
                <c:pt idx="3">
                  <c:v>2022</c:v>
                </c:pt>
                <c:pt idx="4">
                  <c:v>2023</c:v>
                </c:pt>
                <c:pt idx="5">
                  <c:v>2024</c:v>
                </c:pt>
              </c:strCache>
            </c:strRef>
          </c:cat>
          <c:val>
            <c:numRef>
              <c:f>Sheet1!$B$8:$G$8</c:f>
              <c:numCache>
                <c:formatCode>0.0</c:formatCode>
                <c:ptCount val="6"/>
                <c:pt idx="0">
                  <c:v>18.62246328768364</c:v>
                </c:pt>
                <c:pt idx="1">
                  <c:v>19.908953272735175</c:v>
                </c:pt>
                <c:pt idx="2">
                  <c:v>19.853824588075444</c:v>
                </c:pt>
                <c:pt idx="3">
                  <c:v>18.475972675438172</c:v>
                </c:pt>
                <c:pt idx="4">
                  <c:v>16.786461450974432</c:v>
                </c:pt>
                <c:pt idx="5">
                  <c:v>16.425366953343531</c:v>
                </c:pt>
              </c:numCache>
            </c:numRef>
          </c:val>
          <c:extLst>
            <c:ext xmlns:c16="http://schemas.microsoft.com/office/drawing/2014/chart" uri="{C3380CC4-5D6E-409C-BE32-E72D297353CC}">
              <c16:uniqueId val="{00000001-523B-41BE-A515-C1A331E12DE5}"/>
            </c:ext>
          </c:extLst>
        </c:ser>
        <c:ser>
          <c:idx val="1"/>
          <c:order val="1"/>
          <c:tx>
            <c:strRef>
              <c:f>Sheet1!$A$9</c:f>
              <c:strCache>
                <c:ptCount val="1"/>
                <c:pt idx="0">
                  <c:v>Գյուղատնտեսություն և անտառային տնտեսություն</c:v>
                </c:pt>
              </c:strCache>
            </c:strRef>
          </c:tx>
          <c:spPr>
            <a:solidFill>
              <a:srgbClr val="8064A2"/>
            </a:solidFill>
            <a:ln>
              <a:noFill/>
            </a:ln>
            <a:effectLst/>
          </c:spPr>
          <c:invertIfNegative val="0"/>
          <c:dLbls>
            <c:dLbl>
              <c:idx val="0"/>
              <c:layout>
                <c:manualLayout>
                  <c:x val="-1.8703449854671282E-17"/>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23B-41BE-A515-C1A331E12DE5}"/>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Sheet1!$B$7:$G$7</c:f>
              <c:strCache>
                <c:ptCount val="6"/>
                <c:pt idx="0">
                  <c:v>2019 </c:v>
                </c:pt>
                <c:pt idx="1">
                  <c:v>2020 </c:v>
                </c:pt>
                <c:pt idx="2">
                  <c:v>2021 </c:v>
                </c:pt>
                <c:pt idx="3">
                  <c:v>2022</c:v>
                </c:pt>
                <c:pt idx="4">
                  <c:v>2023</c:v>
                </c:pt>
                <c:pt idx="5">
                  <c:v>2024</c:v>
                </c:pt>
              </c:strCache>
            </c:strRef>
          </c:cat>
          <c:val>
            <c:numRef>
              <c:f>Sheet1!$B$9:$G$9</c:f>
              <c:numCache>
                <c:formatCode>0.0</c:formatCode>
                <c:ptCount val="6"/>
                <c:pt idx="0">
                  <c:v>11.525610737958818</c:v>
                </c:pt>
                <c:pt idx="1">
                  <c:v>11.349805155454895</c:v>
                </c:pt>
                <c:pt idx="2">
                  <c:v>11.343548417685703</c:v>
                </c:pt>
                <c:pt idx="3">
                  <c:v>10.373136395612249</c:v>
                </c:pt>
                <c:pt idx="4">
                  <c:v>8.2438187964940237</c:v>
                </c:pt>
                <c:pt idx="5">
                  <c:v>7.9740329994046899</c:v>
                </c:pt>
              </c:numCache>
            </c:numRef>
          </c:val>
          <c:extLst>
            <c:ext xmlns:c16="http://schemas.microsoft.com/office/drawing/2014/chart" uri="{C3380CC4-5D6E-409C-BE32-E72D297353CC}">
              <c16:uniqueId val="{00000003-523B-41BE-A515-C1A331E12DE5}"/>
            </c:ext>
          </c:extLst>
        </c:ser>
        <c:ser>
          <c:idx val="2"/>
          <c:order val="2"/>
          <c:tx>
            <c:strRef>
              <c:f>Sheet1!$A$10</c:f>
              <c:strCache>
                <c:ptCount val="1"/>
                <c:pt idx="0">
                  <c:v>Շինարարություն</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Sheet1!$B$7:$G$7</c:f>
              <c:strCache>
                <c:ptCount val="6"/>
                <c:pt idx="0">
                  <c:v>2019 </c:v>
                </c:pt>
                <c:pt idx="1">
                  <c:v>2020 </c:v>
                </c:pt>
                <c:pt idx="2">
                  <c:v>2021 </c:v>
                </c:pt>
                <c:pt idx="3">
                  <c:v>2022</c:v>
                </c:pt>
                <c:pt idx="4">
                  <c:v>2023</c:v>
                </c:pt>
                <c:pt idx="5">
                  <c:v>2024</c:v>
                </c:pt>
              </c:strCache>
            </c:strRef>
          </c:cat>
          <c:val>
            <c:numRef>
              <c:f>Sheet1!$B$10:$G$10</c:f>
              <c:numCache>
                <c:formatCode>0.0</c:formatCode>
                <c:ptCount val="6"/>
                <c:pt idx="0">
                  <c:v>6.3491451696598515</c:v>
                </c:pt>
                <c:pt idx="1">
                  <c:v>6.9083424251944709</c:v>
                </c:pt>
                <c:pt idx="2">
                  <c:v>6.5105158233146376</c:v>
                </c:pt>
                <c:pt idx="3">
                  <c:v>6.8056882864076309</c:v>
                </c:pt>
                <c:pt idx="4">
                  <c:v>7.0195227139007059</c:v>
                </c:pt>
                <c:pt idx="5">
                  <c:v>7.1440536123410743</c:v>
                </c:pt>
              </c:numCache>
            </c:numRef>
          </c:val>
          <c:extLst>
            <c:ext xmlns:c16="http://schemas.microsoft.com/office/drawing/2014/chart" uri="{C3380CC4-5D6E-409C-BE32-E72D297353CC}">
              <c16:uniqueId val="{00000004-523B-41BE-A515-C1A331E12DE5}"/>
            </c:ext>
          </c:extLst>
        </c:ser>
        <c:ser>
          <c:idx val="3"/>
          <c:order val="3"/>
          <c:tx>
            <c:strRef>
              <c:f>Sheet1!$A$11</c:f>
              <c:strCache>
                <c:ptCount val="1"/>
                <c:pt idx="0">
                  <c:v>Ծառայություններ</c:v>
                </c:pt>
              </c:strCache>
            </c:strRef>
          </c:tx>
          <c:spPr>
            <a:solidFill>
              <a:srgbClr val="ED7D31">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Sheet1!$B$7:$G$7</c:f>
              <c:strCache>
                <c:ptCount val="6"/>
                <c:pt idx="0">
                  <c:v>2019 </c:v>
                </c:pt>
                <c:pt idx="1">
                  <c:v>2020 </c:v>
                </c:pt>
                <c:pt idx="2">
                  <c:v>2021 </c:v>
                </c:pt>
                <c:pt idx="3">
                  <c:v>2022</c:v>
                </c:pt>
                <c:pt idx="4">
                  <c:v>2023</c:v>
                </c:pt>
                <c:pt idx="5">
                  <c:v>2024</c:v>
                </c:pt>
              </c:strCache>
            </c:strRef>
          </c:cat>
          <c:val>
            <c:numRef>
              <c:f>Sheet1!$B$11:$G$11</c:f>
              <c:numCache>
                <c:formatCode>0.0</c:formatCode>
                <c:ptCount val="6"/>
                <c:pt idx="0">
                  <c:v>52.112404130880428</c:v>
                </c:pt>
                <c:pt idx="1">
                  <c:v>50.930889787878556</c:v>
                </c:pt>
                <c:pt idx="2">
                  <c:v>51.317988108832623</c:v>
                </c:pt>
                <c:pt idx="3">
                  <c:v>53.959996520587609</c:v>
                </c:pt>
                <c:pt idx="4">
                  <c:v>56.724905491644762</c:v>
                </c:pt>
                <c:pt idx="5">
                  <c:v>57.195137309264446</c:v>
                </c:pt>
              </c:numCache>
            </c:numRef>
          </c:val>
          <c:extLst>
            <c:ext xmlns:c16="http://schemas.microsoft.com/office/drawing/2014/chart" uri="{C3380CC4-5D6E-409C-BE32-E72D297353CC}">
              <c16:uniqueId val="{00000005-523B-41BE-A515-C1A331E12DE5}"/>
            </c:ext>
          </c:extLst>
        </c:ser>
        <c:ser>
          <c:idx val="4"/>
          <c:order val="4"/>
          <c:tx>
            <c:strRef>
              <c:f>Sheet1!$A$12</c:f>
              <c:strCache>
                <c:ptCount val="1"/>
                <c:pt idx="0">
                  <c:v>Զուտ հարկեր</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Sheet1!$B$7:$G$7</c:f>
              <c:strCache>
                <c:ptCount val="6"/>
                <c:pt idx="0">
                  <c:v>2019 </c:v>
                </c:pt>
                <c:pt idx="1">
                  <c:v>2020 </c:v>
                </c:pt>
                <c:pt idx="2">
                  <c:v>2021 </c:v>
                </c:pt>
                <c:pt idx="3">
                  <c:v>2022</c:v>
                </c:pt>
                <c:pt idx="4">
                  <c:v>2023</c:v>
                </c:pt>
                <c:pt idx="5">
                  <c:v>2024</c:v>
                </c:pt>
              </c:strCache>
            </c:strRef>
          </c:cat>
          <c:val>
            <c:numRef>
              <c:f>Sheet1!$B$12:$G$12</c:f>
              <c:numCache>
                <c:formatCode>0.0</c:formatCode>
                <c:ptCount val="6"/>
                <c:pt idx="0">
                  <c:v>11.390376673817267</c:v>
                </c:pt>
                <c:pt idx="1">
                  <c:v>10.902009358736906</c:v>
                </c:pt>
                <c:pt idx="2">
                  <c:v>10.974123062091595</c:v>
                </c:pt>
                <c:pt idx="3">
                  <c:v>10.385206121954351</c:v>
                </c:pt>
                <c:pt idx="4">
                  <c:v>11.225291546986069</c:v>
                </c:pt>
                <c:pt idx="5">
                  <c:v>11.261409125646257</c:v>
                </c:pt>
              </c:numCache>
            </c:numRef>
          </c:val>
          <c:extLst>
            <c:ext xmlns:c16="http://schemas.microsoft.com/office/drawing/2014/chart" uri="{C3380CC4-5D6E-409C-BE32-E72D297353CC}">
              <c16:uniqueId val="{00000006-523B-41BE-A515-C1A331E12DE5}"/>
            </c:ext>
          </c:extLst>
        </c:ser>
        <c:dLbls>
          <c:showLegendKey val="0"/>
          <c:showVal val="0"/>
          <c:showCatName val="0"/>
          <c:showSerName val="0"/>
          <c:showPercent val="0"/>
          <c:showBubbleSize val="0"/>
        </c:dLbls>
        <c:gapWidth val="150"/>
        <c:overlap val="100"/>
        <c:axId val="256719488"/>
        <c:axId val="256721280"/>
      </c:barChart>
      <c:catAx>
        <c:axId val="25671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56721280"/>
        <c:crosses val="autoZero"/>
        <c:auto val="1"/>
        <c:lblAlgn val="ctr"/>
        <c:lblOffset val="100"/>
        <c:noMultiLvlLbl val="0"/>
      </c:catAx>
      <c:valAx>
        <c:axId val="256721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56719488"/>
        <c:crosses val="autoZero"/>
        <c:crossBetween val="between"/>
      </c:valAx>
      <c:spPr>
        <a:noFill/>
        <a:ln>
          <a:noFill/>
        </a:ln>
        <a:effectLst/>
      </c:spPr>
    </c:plotArea>
    <c:legend>
      <c:legendPos val="b"/>
      <c:layout>
        <c:manualLayout>
          <c:xMode val="edge"/>
          <c:yMode val="edge"/>
          <c:x val="0"/>
          <c:y val="0.72863381539899719"/>
          <c:w val="0.97725437445319496"/>
          <c:h val="0.2646637294679577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Տնտեսական աճի սցենարներ</a:t>
            </a:r>
            <a:endParaRPr lang="en-US" sz="1100"/>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0368888132947804"/>
          <c:y val="0.12624811526218796"/>
          <c:w val="0.84972069088568503"/>
          <c:h val="0.57668556058152309"/>
        </c:manualLayout>
      </c:layout>
      <c:lineChart>
        <c:grouping val="standard"/>
        <c:varyColors val="0"/>
        <c:ser>
          <c:idx val="0"/>
          <c:order val="0"/>
          <c:tx>
            <c:strRef>
              <c:f>Sheet1!$B$1</c:f>
              <c:strCache>
                <c:ptCount val="1"/>
                <c:pt idx="0">
                  <c:v>Փաստացի</c:v>
                </c:pt>
              </c:strCache>
            </c:strRef>
          </c:tx>
          <c:spPr>
            <a:ln w="28575" cap="rnd">
              <a:solidFill>
                <a:srgbClr val="4472C4">
                  <a:lumMod val="75000"/>
                </a:srgbClr>
              </a:solidFill>
              <a:round/>
            </a:ln>
            <a:effectLst/>
          </c:spPr>
          <c:marker>
            <c:symbol val="circle"/>
            <c:size val="5"/>
            <c:spPr>
              <a:solidFill>
                <a:srgbClr val="4472C4">
                  <a:lumMod val="75000"/>
                </a:srgbClr>
              </a:solidFill>
              <a:ln w="9525">
                <a:solidFill>
                  <a:srgbClr val="4472C4">
                    <a:lumMod val="75000"/>
                  </a:srgbClr>
                </a:solidFill>
              </a:ln>
              <a:effectLst/>
            </c:spPr>
          </c:marker>
          <c:dLbls>
            <c:dLbl>
              <c:idx val="3"/>
              <c:delete val="1"/>
              <c:extLst>
                <c:ext xmlns:c15="http://schemas.microsoft.com/office/drawing/2012/chart" uri="{CE6537A1-D6FC-4f65-9D91-7224C49458BB}"/>
                <c:ext xmlns:c16="http://schemas.microsoft.com/office/drawing/2014/chart" uri="{C3380CC4-5D6E-409C-BE32-E72D297353CC}">
                  <c16:uniqueId val="{00000000-13AA-4A04-AE48-CF0091BC73E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6"/>
                <c:pt idx="0">
                  <c:v>2019</c:v>
                </c:pt>
                <c:pt idx="1">
                  <c:v>2020</c:v>
                </c:pt>
                <c:pt idx="2">
                  <c:v>2021</c:v>
                </c:pt>
                <c:pt idx="3">
                  <c:v>2022</c:v>
                </c:pt>
                <c:pt idx="4">
                  <c:v>2023</c:v>
                </c:pt>
                <c:pt idx="5">
                  <c:v>2024</c:v>
                </c:pt>
              </c:numCache>
            </c:numRef>
          </c:cat>
          <c:val>
            <c:numRef>
              <c:f>Sheet1!$B$2:$B$9</c:f>
              <c:numCache>
                <c:formatCode>General</c:formatCode>
                <c:ptCount val="6"/>
                <c:pt idx="0">
                  <c:v>7.5999999999999943</c:v>
                </c:pt>
                <c:pt idx="1">
                  <c:v>-7.2000000000000028</c:v>
                </c:pt>
                <c:pt idx="2">
                  <c:v>5.7999999999999972</c:v>
                </c:pt>
                <c:pt idx="3">
                  <c:v>12.599999999999994</c:v>
                </c:pt>
              </c:numCache>
            </c:numRef>
          </c:val>
          <c:smooth val="0"/>
          <c:extLst>
            <c:ext xmlns:c16="http://schemas.microsoft.com/office/drawing/2014/chart" uri="{C3380CC4-5D6E-409C-BE32-E72D297353CC}">
              <c16:uniqueId val="{00000001-13AA-4A04-AE48-CF0091BC73EC}"/>
            </c:ext>
          </c:extLst>
        </c:ser>
        <c:ser>
          <c:idx val="1"/>
          <c:order val="1"/>
          <c:tx>
            <c:strRef>
              <c:f>Sheet1!$C$1</c:f>
              <c:strCache>
                <c:ptCount val="1"/>
                <c:pt idx="0">
                  <c:v>Բազային կանխատեսում</c:v>
                </c:pt>
              </c:strCache>
            </c:strRef>
          </c:tx>
          <c:spPr>
            <a:ln w="28575" cap="rnd">
              <a:solidFill>
                <a:srgbClr val="ED7D31">
                  <a:lumMod val="60000"/>
                  <a:lumOff val="40000"/>
                </a:srgbClr>
              </a:solidFill>
              <a:round/>
            </a:ln>
            <a:effectLst/>
          </c:spPr>
          <c:marker>
            <c:symbol val="circle"/>
            <c:size val="5"/>
            <c:spPr>
              <a:solidFill>
                <a:srgbClr val="ED7D31">
                  <a:lumMod val="60000"/>
                  <a:lumOff val="40000"/>
                </a:srgbClr>
              </a:solidFill>
              <a:ln w="9525">
                <a:solidFill>
                  <a:srgbClr val="ED7D31">
                    <a:lumMod val="60000"/>
                    <a:lumOff val="40000"/>
                  </a:srgb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6"/>
                <c:pt idx="0">
                  <c:v>2019</c:v>
                </c:pt>
                <c:pt idx="1">
                  <c:v>2020</c:v>
                </c:pt>
                <c:pt idx="2">
                  <c:v>2021</c:v>
                </c:pt>
                <c:pt idx="3">
                  <c:v>2022</c:v>
                </c:pt>
                <c:pt idx="4">
                  <c:v>2023</c:v>
                </c:pt>
                <c:pt idx="5">
                  <c:v>2024</c:v>
                </c:pt>
              </c:numCache>
            </c:numRef>
          </c:cat>
          <c:val>
            <c:numRef>
              <c:f>Sheet1!$C$2:$C$9</c:f>
              <c:numCache>
                <c:formatCode>General</c:formatCode>
                <c:ptCount val="6"/>
                <c:pt idx="3" formatCode="0.0">
                  <c:v>12.626699484071111</c:v>
                </c:pt>
                <c:pt idx="4" formatCode="0.0">
                  <c:v>7.4</c:v>
                </c:pt>
                <c:pt idx="5" formatCode="0.0">
                  <c:v>5.6</c:v>
                </c:pt>
              </c:numCache>
            </c:numRef>
          </c:val>
          <c:smooth val="0"/>
          <c:extLst>
            <c:ext xmlns:c16="http://schemas.microsoft.com/office/drawing/2014/chart" uri="{C3380CC4-5D6E-409C-BE32-E72D297353CC}">
              <c16:uniqueId val="{00000002-13AA-4A04-AE48-CF0091BC73EC}"/>
            </c:ext>
          </c:extLst>
        </c:ser>
        <c:ser>
          <c:idx val="2"/>
          <c:order val="2"/>
          <c:tx>
            <c:strRef>
              <c:f>Sheet1!$D$1</c:f>
              <c:strCache>
                <c:ptCount val="1"/>
                <c:pt idx="0">
                  <c:v>Թիրախային կանխատեսում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3"/>
              <c:delete val="1"/>
              <c:extLst>
                <c:ext xmlns:c15="http://schemas.microsoft.com/office/drawing/2012/chart" uri="{CE6537A1-D6FC-4f65-9D91-7224C49458BB}"/>
                <c:ext xmlns:c16="http://schemas.microsoft.com/office/drawing/2014/chart" uri="{C3380CC4-5D6E-409C-BE32-E72D297353CC}">
                  <c16:uniqueId val="{00000003-13AA-4A04-AE48-CF0091BC73E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6"/>
                <c:pt idx="0">
                  <c:v>2019</c:v>
                </c:pt>
                <c:pt idx="1">
                  <c:v>2020</c:v>
                </c:pt>
                <c:pt idx="2">
                  <c:v>2021</c:v>
                </c:pt>
                <c:pt idx="3">
                  <c:v>2022</c:v>
                </c:pt>
                <c:pt idx="4">
                  <c:v>2023</c:v>
                </c:pt>
                <c:pt idx="5">
                  <c:v>2024</c:v>
                </c:pt>
              </c:numCache>
            </c:numRef>
          </c:cat>
          <c:val>
            <c:numRef>
              <c:f>Sheet1!$D$2:$D$9</c:f>
              <c:numCache>
                <c:formatCode>General</c:formatCode>
                <c:ptCount val="6"/>
                <c:pt idx="3" formatCode="0.0">
                  <c:v>12.6</c:v>
                </c:pt>
                <c:pt idx="4" formatCode="0.0">
                  <c:v>7.4</c:v>
                </c:pt>
                <c:pt idx="5" formatCode="0.0">
                  <c:v>7</c:v>
                </c:pt>
              </c:numCache>
            </c:numRef>
          </c:val>
          <c:smooth val="0"/>
          <c:extLst>
            <c:ext xmlns:c16="http://schemas.microsoft.com/office/drawing/2014/chart" uri="{C3380CC4-5D6E-409C-BE32-E72D297353CC}">
              <c16:uniqueId val="{00000004-13AA-4A04-AE48-CF0091BC73EC}"/>
            </c:ext>
          </c:extLst>
        </c:ser>
        <c:dLbls>
          <c:dLblPos val="t"/>
          <c:showLegendKey val="0"/>
          <c:showVal val="1"/>
          <c:showCatName val="0"/>
          <c:showSerName val="0"/>
          <c:showPercent val="0"/>
          <c:showBubbleSize val="0"/>
        </c:dLbls>
        <c:marker val="1"/>
        <c:smooth val="0"/>
        <c:axId val="225356416"/>
        <c:axId val="225255808"/>
      </c:lineChart>
      <c:catAx>
        <c:axId val="2253564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5255808"/>
        <c:crosses val="autoZero"/>
        <c:auto val="1"/>
        <c:lblAlgn val="ctr"/>
        <c:lblOffset val="100"/>
        <c:noMultiLvlLbl val="0"/>
      </c:catAx>
      <c:valAx>
        <c:axId val="225255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5356416"/>
        <c:crosses val="autoZero"/>
        <c:crossBetween val="between"/>
      </c:valAx>
      <c:spPr>
        <a:noFill/>
        <a:ln>
          <a:noFill/>
        </a:ln>
        <a:effectLst/>
      </c:spPr>
    </c:plotArea>
    <c:legend>
      <c:legendPos val="b"/>
      <c:layout>
        <c:manualLayout>
          <c:xMode val="edge"/>
          <c:yMode val="edge"/>
          <c:x val="7.348414357989246E-3"/>
          <c:y val="0.80401193201913579"/>
          <c:w val="0.95989021067411051"/>
          <c:h val="0.19598806798086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userShapes r:id="rId5"/>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Տեսակարար կշիռը ՀՆԱ-ում, </a:t>
            </a:r>
            <a:r>
              <a:rPr lang="en-US" sz="1100"/>
              <a:t>%</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3182808019191897"/>
          <c:y val="0.13953900709219855"/>
          <c:w val="0.8226985837187879"/>
          <c:h val="0.5373904059864858"/>
        </c:manualLayout>
      </c:layout>
      <c:lineChart>
        <c:grouping val="standard"/>
        <c:varyColors val="0"/>
        <c:ser>
          <c:idx val="0"/>
          <c:order val="0"/>
          <c:tx>
            <c:strRef>
              <c:f>Sheet1!$B$1</c:f>
              <c:strCache>
                <c:ptCount val="1"/>
                <c:pt idx="0">
                  <c:v>Հիմնական միջոցներում կապիտալ ներդրումներ</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74725274725276E-3"/>
                  <c:y val="2.17746325530756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8C2-4F78-90EC-28B2FD2B1F58}"/>
                </c:ext>
              </c:extLst>
            </c:dLbl>
            <c:dLbl>
              <c:idx val="1"/>
              <c:layout>
                <c:manualLayout>
                  <c:x val="-5.4945054945055201E-3"/>
                  <c:y val="1.6330974414806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8C2-4F78-90EC-28B2FD2B1F58}"/>
                </c:ext>
              </c:extLst>
            </c:dLbl>
            <c:dLbl>
              <c:idx val="2"/>
              <c:layout>
                <c:manualLayout>
                  <c:x val="-5.4945054945055452E-3"/>
                  <c:y val="2.17746325530756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8C2-4F78-90EC-28B2FD2B1F58}"/>
                </c:ext>
              </c:extLst>
            </c:dLbl>
            <c:dLbl>
              <c:idx val="3"/>
              <c:layout>
                <c:manualLayout>
                  <c:x val="-2.7472527472527475E-3"/>
                  <c:y val="1.6330974414806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8C2-4F78-90EC-28B2FD2B1F58}"/>
                </c:ext>
              </c:extLst>
            </c:dLbl>
            <c:dLbl>
              <c:idx val="4"/>
              <c:layout>
                <c:manualLayout>
                  <c:x val="-2.7472527472527475E-3"/>
                  <c:y val="2.17746325530756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8C2-4F78-90EC-28B2FD2B1F58}"/>
                </c:ext>
              </c:extLst>
            </c:dLbl>
            <c:dLbl>
              <c:idx val="5"/>
              <c:layout>
                <c:manualLayout>
                  <c:x val="-2.7472527472528481E-3"/>
                  <c:y val="2.72182906913445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8C2-4F78-90EC-28B2FD2B1F58}"/>
                </c:ext>
              </c:extLst>
            </c:dLbl>
            <c:dLbl>
              <c:idx val="6"/>
              <c:layout>
                <c:manualLayout>
                  <c:x val="-1.0073143707444389E-16"/>
                  <c:y val="1.6330974414806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C2-4F78-90EC-28B2FD2B1F58}"/>
                </c:ext>
              </c:extLst>
            </c:dLbl>
            <c:dLbl>
              <c:idx val="7"/>
              <c:layout>
                <c:manualLayout>
                  <c:x val="-2.7472527472528481E-3"/>
                  <c:y val="2.1774632553075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C2-4F78-90EC-28B2FD2B1F5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2019</c:v>
                </c:pt>
                <c:pt idx="1">
                  <c:v>2020</c:v>
                </c:pt>
                <c:pt idx="2">
                  <c:v>2021</c:v>
                </c:pt>
                <c:pt idx="3">
                  <c:v>2022</c:v>
                </c:pt>
                <c:pt idx="4">
                  <c:v>2023</c:v>
                </c:pt>
                <c:pt idx="5">
                  <c:v>2024</c:v>
                </c:pt>
              </c:numCache>
            </c:numRef>
          </c:cat>
          <c:val>
            <c:numRef>
              <c:f>Sheet1!$B$2:$B$7</c:f>
              <c:numCache>
                <c:formatCode>0.0</c:formatCode>
                <c:ptCount val="6"/>
                <c:pt idx="0">
                  <c:v>15.815598431976859</c:v>
                </c:pt>
                <c:pt idx="1">
                  <c:v>17.77392125201067</c:v>
                </c:pt>
                <c:pt idx="2">
                  <c:v>21.203941864399638</c:v>
                </c:pt>
                <c:pt idx="3">
                  <c:v>20.265859806852617</c:v>
                </c:pt>
                <c:pt idx="4">
                  <c:v>21.893836238313177</c:v>
                </c:pt>
                <c:pt idx="5">
                  <c:v>22.868098280256682</c:v>
                </c:pt>
              </c:numCache>
            </c:numRef>
          </c:val>
          <c:smooth val="0"/>
          <c:extLst>
            <c:ext xmlns:c16="http://schemas.microsoft.com/office/drawing/2014/chart" uri="{C3380CC4-5D6E-409C-BE32-E72D297353CC}">
              <c16:uniqueId val="{00000008-F8C2-4F78-90EC-28B2FD2B1F58}"/>
            </c:ext>
          </c:extLst>
        </c:ser>
        <c:ser>
          <c:idx val="1"/>
          <c:order val="1"/>
          <c:tx>
            <c:strRef>
              <c:f>Sheet1!$C$1</c:f>
              <c:strCache>
                <c:ptCount val="1"/>
                <c:pt idx="0">
                  <c:v>Ապրանքների և ծառայությունների արտահանում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5182859268610973E-17"/>
                  <c:y val="2.17746325530756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8C2-4F78-90EC-28B2FD2B1F58}"/>
                </c:ext>
              </c:extLst>
            </c:dLbl>
            <c:dLbl>
              <c:idx val="1"/>
              <c:layout>
                <c:manualLayout>
                  <c:x val="0"/>
                  <c:y val="1.6330974414806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8C2-4F78-90EC-28B2FD2B1F58}"/>
                </c:ext>
              </c:extLst>
            </c:dLbl>
            <c:dLbl>
              <c:idx val="2"/>
              <c:layout>
                <c:manualLayout>
                  <c:x val="-2.7472527472527475E-3"/>
                  <c:y val="1.08873162765378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8C2-4F78-90EC-28B2FD2B1F58}"/>
                </c:ext>
              </c:extLst>
            </c:dLbl>
            <c:dLbl>
              <c:idx val="3"/>
              <c:layout>
                <c:manualLayout>
                  <c:x val="-1.0073143707444389E-16"/>
                  <c:y val="2.17746325530756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8C2-4F78-90EC-28B2FD2B1F58}"/>
                </c:ext>
              </c:extLst>
            </c:dLbl>
            <c:dLbl>
              <c:idx val="4"/>
              <c:layout>
                <c:manualLayout>
                  <c:x val="0"/>
                  <c:y val="1.63309744148067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F8C2-4F78-90EC-28B2FD2B1F58}"/>
                </c:ext>
              </c:extLst>
            </c:dLbl>
            <c:dLbl>
              <c:idx val="5"/>
              <c:layout>
                <c:manualLayout>
                  <c:x val="0"/>
                  <c:y val="1.08873162765378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F8C2-4F78-90EC-28B2FD2B1F58}"/>
                </c:ext>
              </c:extLst>
            </c:dLbl>
            <c:dLbl>
              <c:idx val="6"/>
              <c:layout>
                <c:manualLayout>
                  <c:x val="0"/>
                  <c:y val="1.633097441480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8C2-4F78-90EC-28B2FD2B1F58}"/>
                </c:ext>
              </c:extLst>
            </c:dLbl>
            <c:dLbl>
              <c:idx val="7"/>
              <c:layout>
                <c:manualLayout>
                  <c:x val="-2.7472527472528481E-3"/>
                  <c:y val="2.1774632553075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8C2-4F78-90EC-28B2FD2B1F5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2019</c:v>
                </c:pt>
                <c:pt idx="1">
                  <c:v>2020</c:v>
                </c:pt>
                <c:pt idx="2">
                  <c:v>2021</c:v>
                </c:pt>
                <c:pt idx="3">
                  <c:v>2022</c:v>
                </c:pt>
                <c:pt idx="4">
                  <c:v>2023</c:v>
                </c:pt>
                <c:pt idx="5">
                  <c:v>2024</c:v>
                </c:pt>
              </c:numCache>
            </c:numRef>
          </c:cat>
          <c:val>
            <c:numRef>
              <c:f>Sheet1!$C$2:$C$7</c:f>
              <c:numCache>
                <c:formatCode>0.0</c:formatCode>
                <c:ptCount val="6"/>
                <c:pt idx="0">
                  <c:v>41.35080136208493</c:v>
                </c:pt>
                <c:pt idx="1">
                  <c:v>29.764986915193397</c:v>
                </c:pt>
                <c:pt idx="2">
                  <c:v>35.906439990126685</c:v>
                </c:pt>
                <c:pt idx="3">
                  <c:v>50.013647695145139</c:v>
                </c:pt>
                <c:pt idx="4">
                  <c:v>53.433856797049117</c:v>
                </c:pt>
                <c:pt idx="5">
                  <c:v>54.805375041924599</c:v>
                </c:pt>
              </c:numCache>
            </c:numRef>
          </c:val>
          <c:smooth val="0"/>
          <c:extLst>
            <c:ext xmlns:c16="http://schemas.microsoft.com/office/drawing/2014/chart" uri="{C3380CC4-5D6E-409C-BE32-E72D297353CC}">
              <c16:uniqueId val="{00000011-F8C2-4F78-90EC-28B2FD2B1F58}"/>
            </c:ext>
          </c:extLst>
        </c:ser>
        <c:dLbls>
          <c:showLegendKey val="0"/>
          <c:showVal val="0"/>
          <c:showCatName val="0"/>
          <c:showSerName val="0"/>
          <c:showPercent val="0"/>
          <c:showBubbleSize val="0"/>
        </c:dLbls>
        <c:marker val="1"/>
        <c:smooth val="0"/>
        <c:axId val="622927792"/>
        <c:axId val="622928120"/>
      </c:lineChart>
      <c:catAx>
        <c:axId val="62292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22928120"/>
        <c:crosses val="autoZero"/>
        <c:auto val="1"/>
        <c:lblAlgn val="ctr"/>
        <c:lblOffset val="100"/>
        <c:noMultiLvlLbl val="0"/>
      </c:catAx>
      <c:valAx>
        <c:axId val="622928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22927792"/>
        <c:crosses val="autoZero"/>
        <c:crossBetween val="between"/>
      </c:valAx>
      <c:spPr>
        <a:noFill/>
        <a:ln>
          <a:noFill/>
        </a:ln>
        <a:effectLst/>
      </c:spPr>
    </c:plotArea>
    <c:legend>
      <c:legendPos val="b"/>
      <c:layout>
        <c:manualLayout>
          <c:xMode val="edge"/>
          <c:yMode val="edge"/>
          <c:x val="2.7813601637951518E-2"/>
          <c:y val="0.80367128311088765"/>
          <c:w val="0.97218639836204845"/>
          <c:h val="0.1763276930809180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userShapes r:id="rId5"/>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53434608552719"/>
          <c:y val="8.6783342365605115E-2"/>
          <c:w val="0.79438558816511551"/>
          <c:h val="0.57478912301954166"/>
        </c:manualLayout>
      </c:layout>
      <c:barChart>
        <c:barDir val="col"/>
        <c:grouping val="clustered"/>
        <c:varyColors val="0"/>
        <c:ser>
          <c:idx val="0"/>
          <c:order val="0"/>
          <c:tx>
            <c:strRef>
              <c:f>Лист1!$B$1</c:f>
              <c:strCache>
                <c:ptCount val="1"/>
                <c:pt idx="0">
                  <c:v>Գործազուրկներ, հազ. մարդ</c:v>
                </c:pt>
              </c:strCache>
            </c:strRef>
          </c:tx>
          <c:spPr>
            <a:solidFill>
              <a:srgbClr val="ED7D31">
                <a:lumMod val="60000"/>
                <a:lumOff val="40000"/>
              </a:srgbClr>
            </a:solidFill>
            <a:ln>
              <a:noFill/>
            </a:ln>
            <a:effectLst/>
          </c:spPr>
          <c:invertIfNegative val="0"/>
          <c:cat>
            <c:strRef>
              <c:f>Лист1!$A$2:$A$6</c:f>
              <c:strCache>
                <c:ptCount val="5"/>
                <c:pt idx="0">
                  <c:v>2022-I</c:v>
                </c:pt>
                <c:pt idx="1">
                  <c:v>2022-II</c:v>
                </c:pt>
                <c:pt idx="2">
                  <c:v>2022-III</c:v>
                </c:pt>
                <c:pt idx="3">
                  <c:v>2022-IV</c:v>
                </c:pt>
                <c:pt idx="4">
                  <c:v>2023-I</c:v>
                </c:pt>
              </c:strCache>
            </c:strRef>
          </c:cat>
          <c:val>
            <c:numRef>
              <c:f>Лист1!$B$2:$B$6</c:f>
              <c:numCache>
                <c:formatCode>0.0</c:formatCode>
                <c:ptCount val="5"/>
                <c:pt idx="0">
                  <c:v>186.4</c:v>
                </c:pt>
                <c:pt idx="1">
                  <c:v>170</c:v>
                </c:pt>
                <c:pt idx="2">
                  <c:v>158</c:v>
                </c:pt>
                <c:pt idx="3">
                  <c:v>165.8</c:v>
                </c:pt>
                <c:pt idx="4">
                  <c:v>179.6</c:v>
                </c:pt>
              </c:numCache>
            </c:numRef>
          </c:val>
          <c:extLst>
            <c:ext xmlns:c16="http://schemas.microsoft.com/office/drawing/2014/chart" uri="{C3380CC4-5D6E-409C-BE32-E72D297353CC}">
              <c16:uniqueId val="{00000000-A89A-4B1A-80F8-FD9A2BD42416}"/>
            </c:ext>
          </c:extLst>
        </c:ser>
        <c:ser>
          <c:idx val="1"/>
          <c:order val="1"/>
          <c:tx>
            <c:strRef>
              <c:f>Лист1!$C$1</c:f>
              <c:strCache>
                <c:ptCount val="1"/>
                <c:pt idx="0">
                  <c:v>Զբաղվածներ, հազ. մարդ</c:v>
                </c:pt>
              </c:strCache>
            </c:strRef>
          </c:tx>
          <c:spPr>
            <a:solidFill>
              <a:sysClr val="window" lastClr="FFFFFF">
                <a:lumMod val="65000"/>
              </a:sysClr>
            </a:solidFill>
            <a:ln>
              <a:noFill/>
            </a:ln>
            <a:effectLst/>
          </c:spPr>
          <c:invertIfNegative val="0"/>
          <c:cat>
            <c:strRef>
              <c:f>Лист1!$A$2:$A$6</c:f>
              <c:strCache>
                <c:ptCount val="5"/>
                <c:pt idx="0">
                  <c:v>2022-I</c:v>
                </c:pt>
                <c:pt idx="1">
                  <c:v>2022-II</c:v>
                </c:pt>
                <c:pt idx="2">
                  <c:v>2022-III</c:v>
                </c:pt>
                <c:pt idx="3">
                  <c:v>2022-IV</c:v>
                </c:pt>
                <c:pt idx="4">
                  <c:v>2023-I</c:v>
                </c:pt>
              </c:strCache>
            </c:strRef>
          </c:cat>
          <c:val>
            <c:numRef>
              <c:f>Лист1!$C$2:$C$6</c:f>
              <c:numCache>
                <c:formatCode>General</c:formatCode>
                <c:ptCount val="5"/>
                <c:pt idx="0">
                  <c:v>1070.5</c:v>
                </c:pt>
                <c:pt idx="1">
                  <c:v>1142.4000000000001</c:v>
                </c:pt>
                <c:pt idx="2">
                  <c:v>1202.4000000000001</c:v>
                </c:pt>
                <c:pt idx="3">
                  <c:v>1141.2</c:v>
                </c:pt>
                <c:pt idx="4">
                  <c:v>1129.7</c:v>
                </c:pt>
              </c:numCache>
            </c:numRef>
          </c:val>
          <c:extLst>
            <c:ext xmlns:c16="http://schemas.microsoft.com/office/drawing/2014/chart" uri="{C3380CC4-5D6E-409C-BE32-E72D297353CC}">
              <c16:uniqueId val="{00000001-A89A-4B1A-80F8-FD9A2BD42416}"/>
            </c:ext>
          </c:extLst>
        </c:ser>
        <c:ser>
          <c:idx val="2"/>
          <c:order val="2"/>
          <c:tx>
            <c:strRef>
              <c:f>Лист1!$D$1</c:f>
              <c:strCache>
                <c:ptCount val="1"/>
                <c:pt idx="0">
                  <c:v>Վարձու աշխատողներ, հազ. մարդ</c:v>
                </c:pt>
              </c:strCache>
            </c:strRef>
          </c:tx>
          <c:spPr>
            <a:solidFill>
              <a:srgbClr val="4472C4">
                <a:lumMod val="75000"/>
              </a:srgbClr>
            </a:solidFill>
            <a:ln w="28575" cap="rnd">
              <a:noFill/>
              <a:round/>
            </a:ln>
            <a:effectLst/>
          </c:spPr>
          <c:invertIfNegative val="0"/>
          <c:dPt>
            <c:idx val="0"/>
            <c:invertIfNegative val="0"/>
            <c:bubble3D val="0"/>
            <c:extLst>
              <c:ext xmlns:c16="http://schemas.microsoft.com/office/drawing/2014/chart" uri="{C3380CC4-5D6E-409C-BE32-E72D297353CC}">
                <c16:uniqueId val="{00000002-A89A-4B1A-80F8-FD9A2BD42416}"/>
              </c:ext>
            </c:extLst>
          </c:dPt>
          <c:dPt>
            <c:idx val="1"/>
            <c:invertIfNegative val="0"/>
            <c:bubble3D val="0"/>
            <c:extLst>
              <c:ext xmlns:c16="http://schemas.microsoft.com/office/drawing/2014/chart" uri="{C3380CC4-5D6E-409C-BE32-E72D297353CC}">
                <c16:uniqueId val="{00000003-A89A-4B1A-80F8-FD9A2BD42416}"/>
              </c:ext>
            </c:extLst>
          </c:dPt>
          <c:dPt>
            <c:idx val="2"/>
            <c:invertIfNegative val="0"/>
            <c:bubble3D val="0"/>
            <c:extLst>
              <c:ext xmlns:c16="http://schemas.microsoft.com/office/drawing/2014/chart" uri="{C3380CC4-5D6E-409C-BE32-E72D297353CC}">
                <c16:uniqueId val="{00000004-A89A-4B1A-80F8-FD9A2BD42416}"/>
              </c:ext>
            </c:extLst>
          </c:dPt>
          <c:cat>
            <c:strRef>
              <c:f>Лист1!$A$2:$A$6</c:f>
              <c:strCache>
                <c:ptCount val="5"/>
                <c:pt idx="0">
                  <c:v>2022-I</c:v>
                </c:pt>
                <c:pt idx="1">
                  <c:v>2022-II</c:v>
                </c:pt>
                <c:pt idx="2">
                  <c:v>2022-III</c:v>
                </c:pt>
                <c:pt idx="3">
                  <c:v>2022-IV</c:v>
                </c:pt>
                <c:pt idx="4">
                  <c:v>2023-I</c:v>
                </c:pt>
              </c:strCache>
            </c:strRef>
          </c:cat>
          <c:val>
            <c:numRef>
              <c:f>Лист1!$D$2:$D$6</c:f>
              <c:numCache>
                <c:formatCode>0.0</c:formatCode>
                <c:ptCount val="5"/>
                <c:pt idx="0">
                  <c:v>659.03700000000003</c:v>
                </c:pt>
                <c:pt idx="1">
                  <c:v>671.90499999999997</c:v>
                </c:pt>
                <c:pt idx="2">
                  <c:v>677.56200000000001</c:v>
                </c:pt>
                <c:pt idx="3">
                  <c:v>684.78300000000002</c:v>
                </c:pt>
                <c:pt idx="4">
                  <c:v>699.23900000000003</c:v>
                </c:pt>
              </c:numCache>
            </c:numRef>
          </c:val>
          <c:extLst>
            <c:ext xmlns:c16="http://schemas.microsoft.com/office/drawing/2014/chart" uri="{C3380CC4-5D6E-409C-BE32-E72D297353CC}">
              <c16:uniqueId val="{00000005-A89A-4B1A-80F8-FD9A2BD42416}"/>
            </c:ext>
          </c:extLst>
        </c:ser>
        <c:dLbls>
          <c:showLegendKey val="0"/>
          <c:showVal val="0"/>
          <c:showCatName val="0"/>
          <c:showSerName val="0"/>
          <c:showPercent val="0"/>
          <c:showBubbleSize val="0"/>
        </c:dLbls>
        <c:gapWidth val="150"/>
        <c:axId val="345051520"/>
        <c:axId val="345053056"/>
      </c:barChart>
      <c:lineChart>
        <c:grouping val="standard"/>
        <c:varyColors val="0"/>
        <c:ser>
          <c:idx val="3"/>
          <c:order val="3"/>
          <c:tx>
            <c:strRef>
              <c:f>Лист1!$E$1</c:f>
              <c:strCache>
                <c:ptCount val="1"/>
                <c:pt idx="0">
                  <c:v>Գործազրկության մակարդակ, %, աջ առանցք</c:v>
                </c:pt>
              </c:strCache>
            </c:strRef>
          </c:tx>
          <c:spPr>
            <a:ln>
              <a:solidFill>
                <a:srgbClr val="4472C4">
                  <a:lumMod val="50000"/>
                </a:srgbClr>
              </a:solidFill>
            </a:ln>
          </c:spPr>
          <c:marker>
            <c:symbol val="none"/>
          </c:marker>
          <c:dLbls>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Лист1!$A$2:$A$6</c:f>
              <c:strCache>
                <c:ptCount val="5"/>
                <c:pt idx="0">
                  <c:v>2022-I</c:v>
                </c:pt>
                <c:pt idx="1">
                  <c:v>2022-II</c:v>
                </c:pt>
                <c:pt idx="2">
                  <c:v>2022-III</c:v>
                </c:pt>
                <c:pt idx="3">
                  <c:v>2022-IV</c:v>
                </c:pt>
                <c:pt idx="4">
                  <c:v>2023-I</c:v>
                </c:pt>
              </c:strCache>
            </c:strRef>
          </c:cat>
          <c:val>
            <c:numRef>
              <c:f>Лист1!$E$2:$E$6</c:f>
              <c:numCache>
                <c:formatCode>0.0</c:formatCode>
                <c:ptCount val="5"/>
                <c:pt idx="0">
                  <c:v>14.830137640225951</c:v>
                </c:pt>
                <c:pt idx="1">
                  <c:v>12.953367875647666</c:v>
                </c:pt>
                <c:pt idx="2">
                  <c:v>11.614231108497499</c:v>
                </c:pt>
                <c:pt idx="3">
                  <c:v>12.685539403213467</c:v>
                </c:pt>
                <c:pt idx="4">
                  <c:v>13.71725349423356</c:v>
                </c:pt>
              </c:numCache>
            </c:numRef>
          </c:val>
          <c:smooth val="0"/>
          <c:extLst>
            <c:ext xmlns:c16="http://schemas.microsoft.com/office/drawing/2014/chart" uri="{C3380CC4-5D6E-409C-BE32-E72D297353CC}">
              <c16:uniqueId val="{00000006-A89A-4B1A-80F8-FD9A2BD42416}"/>
            </c:ext>
          </c:extLst>
        </c:ser>
        <c:dLbls>
          <c:showLegendKey val="0"/>
          <c:showVal val="0"/>
          <c:showCatName val="0"/>
          <c:showSerName val="0"/>
          <c:showPercent val="0"/>
          <c:showBubbleSize val="0"/>
        </c:dLbls>
        <c:marker val="1"/>
        <c:smooth val="0"/>
        <c:axId val="345056384"/>
        <c:axId val="345054592"/>
      </c:lineChart>
      <c:catAx>
        <c:axId val="34505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5053056"/>
        <c:crosses val="autoZero"/>
        <c:auto val="1"/>
        <c:lblAlgn val="ctr"/>
        <c:lblOffset val="100"/>
        <c:noMultiLvlLbl val="0"/>
      </c:catAx>
      <c:valAx>
        <c:axId val="345053056"/>
        <c:scaling>
          <c:orientation val="minMax"/>
          <c:max val="1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5051520"/>
        <c:crosses val="autoZero"/>
        <c:crossBetween val="between"/>
        <c:majorUnit val="200"/>
      </c:valAx>
      <c:valAx>
        <c:axId val="345054592"/>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5056384"/>
        <c:crosses val="max"/>
        <c:crossBetween val="between"/>
      </c:valAx>
      <c:catAx>
        <c:axId val="345056384"/>
        <c:scaling>
          <c:orientation val="minMax"/>
        </c:scaling>
        <c:delete val="1"/>
        <c:axPos val="b"/>
        <c:numFmt formatCode="General" sourceLinked="1"/>
        <c:majorTickMark val="none"/>
        <c:minorTickMark val="none"/>
        <c:tickLblPos val="none"/>
        <c:crossAx val="345054592"/>
        <c:crosses val="autoZero"/>
        <c:auto val="1"/>
        <c:lblAlgn val="ctr"/>
        <c:lblOffset val="100"/>
        <c:noMultiLvlLbl val="0"/>
      </c:catAx>
      <c:spPr>
        <a:noFill/>
        <a:ln>
          <a:noFill/>
        </a:ln>
        <a:effectLst/>
      </c:spPr>
    </c:plotArea>
    <c:legend>
      <c:legendPos val="b"/>
      <c:legendEntry>
        <c:idx val="2"/>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4.5954204155937317E-2"/>
          <c:y val="0.74246804169721703"/>
          <c:w val="0.89591749033089796"/>
          <c:h val="0.2575319583027829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a:p>
            <a:pPr>
              <a:defRPr sz="1400" b="0" i="0" u="none" strike="noStrike" kern="1200" spc="0" baseline="0">
                <a:solidFill>
                  <a:schemeClr val="tx1">
                    <a:lumMod val="65000"/>
                    <a:lumOff val="35000"/>
                  </a:schemeClr>
                </a:solidFill>
                <a:latin typeface="+mn-lt"/>
                <a:ea typeface="+mn-ea"/>
                <a:cs typeface="+mn-cs"/>
              </a:defRPr>
            </a:pPr>
            <a:endParaRPr lang="ru-RU"/>
          </a:p>
        </c:rich>
      </c:tx>
      <c:layout>
        <c:manualLayout>
          <c:xMode val="edge"/>
          <c:yMode val="edge"/>
          <c:x val="9.3106574844288706E-2"/>
          <c:y val="0"/>
        </c:manualLayout>
      </c:layout>
      <c:overlay val="0"/>
      <c:spPr>
        <a:noFill/>
        <a:ln>
          <a:noFill/>
        </a:ln>
        <a:effectLst/>
      </c:spPr>
    </c:title>
    <c:autoTitleDeleted val="0"/>
    <c:plotArea>
      <c:layout>
        <c:manualLayout>
          <c:layoutTarget val="inner"/>
          <c:xMode val="edge"/>
          <c:yMode val="edge"/>
          <c:x val="0.11873917014291722"/>
          <c:y val="7.0087221630047492E-2"/>
          <c:w val="0.80804307316570445"/>
          <c:h val="0.61867847769029127"/>
        </c:manualLayout>
      </c:layout>
      <c:barChart>
        <c:barDir val="col"/>
        <c:grouping val="clustered"/>
        <c:varyColors val="0"/>
        <c:ser>
          <c:idx val="0"/>
          <c:order val="0"/>
          <c:tx>
            <c:strRef>
              <c:f>Лист1!$B$1</c:f>
              <c:strCache>
                <c:ptCount val="1"/>
                <c:pt idx="0">
                  <c:v>Աշխատուժի մասնակցության մակարդակ, %</c:v>
                </c:pt>
              </c:strCache>
            </c:strRef>
          </c:tx>
          <c:spPr>
            <a:solidFill>
              <a:srgbClr val="4472C4">
                <a:lumMod val="75000"/>
              </a:srgbClr>
            </a:solidFill>
            <a:ln>
              <a:noFill/>
            </a:ln>
            <a:effectLst/>
          </c:spPr>
          <c:invertIfNegative val="0"/>
          <c:cat>
            <c:strRef>
              <c:f>Лист1!$A$2:$A$6</c:f>
              <c:strCache>
                <c:ptCount val="5"/>
                <c:pt idx="0">
                  <c:v>2022-I</c:v>
                </c:pt>
                <c:pt idx="1">
                  <c:v>2022-II</c:v>
                </c:pt>
                <c:pt idx="2">
                  <c:v>2022-III</c:v>
                </c:pt>
                <c:pt idx="3">
                  <c:v>2022-IV</c:v>
                </c:pt>
                <c:pt idx="4">
                  <c:v>2023-I</c:v>
                </c:pt>
              </c:strCache>
            </c:strRef>
          </c:cat>
          <c:val>
            <c:numRef>
              <c:f>Лист1!$B$2:$B$6</c:f>
              <c:numCache>
                <c:formatCode>0.0</c:formatCode>
                <c:ptCount val="5"/>
                <c:pt idx="0">
                  <c:v>56.8</c:v>
                </c:pt>
                <c:pt idx="1">
                  <c:v>58.8</c:v>
                </c:pt>
                <c:pt idx="2">
                  <c:v>60.9</c:v>
                </c:pt>
                <c:pt idx="3">
                  <c:v>58.5</c:v>
                </c:pt>
                <c:pt idx="4">
                  <c:v>59</c:v>
                </c:pt>
              </c:numCache>
            </c:numRef>
          </c:val>
          <c:extLst>
            <c:ext xmlns:c16="http://schemas.microsoft.com/office/drawing/2014/chart" uri="{C3380CC4-5D6E-409C-BE32-E72D297353CC}">
              <c16:uniqueId val="{00000000-B38F-489F-B407-6B5E788DA72B}"/>
            </c:ext>
          </c:extLst>
        </c:ser>
        <c:dLbls>
          <c:showLegendKey val="0"/>
          <c:showVal val="0"/>
          <c:showCatName val="0"/>
          <c:showSerName val="0"/>
          <c:showPercent val="0"/>
          <c:showBubbleSize val="0"/>
        </c:dLbls>
        <c:gapWidth val="219"/>
        <c:overlap val="-27"/>
        <c:axId val="345270528"/>
        <c:axId val="345272320"/>
      </c:barChart>
      <c:lineChart>
        <c:grouping val="standard"/>
        <c:varyColors val="0"/>
        <c:ser>
          <c:idx val="1"/>
          <c:order val="1"/>
          <c:tx>
            <c:strRef>
              <c:f>Лист1!$C$1</c:f>
              <c:strCache>
                <c:ptCount val="1"/>
                <c:pt idx="0">
                  <c:v>Իրական աշխատավարձի փոփոխություն, % (աջ առանցք)</c:v>
                </c:pt>
              </c:strCache>
            </c:strRef>
          </c:tx>
          <c:spPr>
            <a:ln w="28575" cap="rnd">
              <a:solidFill>
                <a:srgbClr val="ED7D31">
                  <a:lumMod val="60000"/>
                  <a:lumOff val="40000"/>
                </a:srgbClr>
              </a:solidFill>
              <a:round/>
            </a:ln>
            <a:effectLst/>
          </c:spPr>
          <c:marker>
            <c:symbol val="none"/>
          </c:marker>
          <c:dLbls>
            <c:dLbl>
              <c:idx val="1"/>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6="http://schemas.microsoft.com/office/drawing/2014/chart" uri="{C3380CC4-5D6E-409C-BE32-E72D297353CC}">
                  <c16:uniqueId val="{00000001-B38F-489F-B407-6B5E788DA72B}"/>
                </c:ext>
              </c:extLst>
            </c:dLbl>
            <c:spPr>
              <a:noFill/>
              <a:ln>
                <a:noFill/>
              </a:ln>
              <a:effectLst/>
            </c:spPr>
            <c:txPr>
              <a:bodyPr/>
              <a:lstStyle/>
              <a:p>
                <a:pPr>
                  <a:defRPr b="1"/>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Лист1!$A$2:$A$6</c:f>
              <c:strCache>
                <c:ptCount val="5"/>
                <c:pt idx="0">
                  <c:v>2022-I</c:v>
                </c:pt>
                <c:pt idx="1">
                  <c:v>2022-II</c:v>
                </c:pt>
                <c:pt idx="2">
                  <c:v>2022-III</c:v>
                </c:pt>
                <c:pt idx="3">
                  <c:v>2022-IV</c:v>
                </c:pt>
                <c:pt idx="4">
                  <c:v>2023-I</c:v>
                </c:pt>
              </c:strCache>
            </c:strRef>
          </c:cat>
          <c:val>
            <c:numRef>
              <c:f>Лист1!$C$2:$C$6</c:f>
              <c:numCache>
                <c:formatCode>0.0</c:formatCode>
                <c:ptCount val="5"/>
                <c:pt idx="0">
                  <c:v>2.4346780252902533</c:v>
                </c:pt>
                <c:pt idx="1">
                  <c:v>2.9426608849344404</c:v>
                </c:pt>
                <c:pt idx="2">
                  <c:v>4.4551420845944563</c:v>
                </c:pt>
                <c:pt idx="3">
                  <c:v>6.3135414103774963</c:v>
                </c:pt>
                <c:pt idx="4">
                  <c:v>14.673843183135602</c:v>
                </c:pt>
              </c:numCache>
            </c:numRef>
          </c:val>
          <c:smooth val="0"/>
          <c:extLst>
            <c:ext xmlns:c16="http://schemas.microsoft.com/office/drawing/2014/chart" uri="{C3380CC4-5D6E-409C-BE32-E72D297353CC}">
              <c16:uniqueId val="{00000002-B38F-489F-B407-6B5E788DA72B}"/>
            </c:ext>
          </c:extLst>
        </c:ser>
        <c:dLbls>
          <c:showLegendKey val="0"/>
          <c:showVal val="0"/>
          <c:showCatName val="0"/>
          <c:showSerName val="0"/>
          <c:showPercent val="0"/>
          <c:showBubbleSize val="0"/>
        </c:dLbls>
        <c:marker val="1"/>
        <c:smooth val="0"/>
        <c:axId val="345275392"/>
        <c:axId val="345273856"/>
      </c:lineChart>
      <c:catAx>
        <c:axId val="34527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5272320"/>
        <c:crosses val="autoZero"/>
        <c:auto val="1"/>
        <c:lblAlgn val="ctr"/>
        <c:lblOffset val="100"/>
        <c:noMultiLvlLbl val="0"/>
      </c:catAx>
      <c:valAx>
        <c:axId val="345272320"/>
        <c:scaling>
          <c:orientation val="minMax"/>
          <c:max val="61"/>
          <c:min val="5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5270528"/>
        <c:crosses val="autoZero"/>
        <c:crossBetween val="between"/>
        <c:majorUnit val="1"/>
      </c:valAx>
      <c:valAx>
        <c:axId val="345273856"/>
        <c:scaling>
          <c:orientation val="minMax"/>
          <c:max val="17"/>
          <c:min val="0"/>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5275392"/>
        <c:crosses val="max"/>
        <c:crossBetween val="between"/>
        <c:majorUnit val="1"/>
      </c:valAx>
      <c:catAx>
        <c:axId val="345275392"/>
        <c:scaling>
          <c:orientation val="minMax"/>
        </c:scaling>
        <c:delete val="1"/>
        <c:axPos val="b"/>
        <c:numFmt formatCode="General" sourceLinked="1"/>
        <c:majorTickMark val="none"/>
        <c:minorTickMark val="none"/>
        <c:tickLblPos val="none"/>
        <c:crossAx val="345273856"/>
        <c:crosses val="autoZero"/>
        <c:auto val="1"/>
        <c:lblAlgn val="ctr"/>
        <c:lblOffset val="100"/>
        <c:noMultiLvlLbl val="0"/>
      </c:catAx>
      <c:spPr>
        <a:noFill/>
        <a:ln>
          <a:noFill/>
        </a:ln>
        <a:effectLst/>
      </c:spPr>
    </c:plotArea>
    <c:legend>
      <c:legendPos val="b"/>
      <c:layout>
        <c:manualLayout>
          <c:xMode val="edge"/>
          <c:yMode val="edge"/>
          <c:x val="5.8843537414965986E-2"/>
          <c:y val="0.80372399534053762"/>
          <c:w val="0.82704081632653315"/>
          <c:h val="0.158440211999607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06870088154332E-2"/>
          <c:y val="5.2830294608895816E-2"/>
          <c:w val="0.86605542312949757"/>
          <c:h val="0.53536449004193654"/>
        </c:manualLayout>
      </c:layout>
      <c:barChart>
        <c:barDir val="col"/>
        <c:grouping val="stacked"/>
        <c:varyColors val="0"/>
        <c:ser>
          <c:idx val="1"/>
          <c:order val="0"/>
          <c:tx>
            <c:strRef>
              <c:f>Sheet1!$A$2</c:f>
              <c:strCache>
                <c:ptCount val="1"/>
                <c:pt idx="0">
                  <c:v>Ապրանքների հաշվեկշիռ</c:v>
                </c:pt>
              </c:strCache>
            </c:strRef>
          </c:tx>
          <c:spPr>
            <a:solidFill>
              <a:sysClr val="window" lastClr="FFFFFF">
                <a:lumMod val="75000"/>
              </a:sysClr>
            </a:solidFill>
            <a:ln>
              <a:noFill/>
            </a:ln>
            <a:effectLst/>
          </c:spPr>
          <c:invertIfNegative val="0"/>
          <c:cat>
            <c:numRef>
              <c:f>Sheet1!$B$1:$G$1</c:f>
              <c:numCache>
                <c:formatCode>General</c:formatCode>
                <c:ptCount val="6"/>
                <c:pt idx="0">
                  <c:v>2019</c:v>
                </c:pt>
                <c:pt idx="1">
                  <c:v>2020</c:v>
                </c:pt>
                <c:pt idx="2">
                  <c:v>2021</c:v>
                </c:pt>
                <c:pt idx="3">
                  <c:v>2022</c:v>
                </c:pt>
                <c:pt idx="4">
                  <c:v>2023</c:v>
                </c:pt>
                <c:pt idx="5">
                  <c:v>2024</c:v>
                </c:pt>
              </c:numCache>
            </c:numRef>
          </c:cat>
          <c:val>
            <c:numRef>
              <c:f>Sheet1!$B$2:$G$2</c:f>
              <c:numCache>
                <c:formatCode>0.0</c:formatCode>
                <c:ptCount val="6"/>
                <c:pt idx="0">
                  <c:v>-12.644612396588299</c:v>
                </c:pt>
                <c:pt idx="1">
                  <c:v>-10.933296134402209</c:v>
                </c:pt>
                <c:pt idx="2">
                  <c:v>-10.842128104811581</c:v>
                </c:pt>
                <c:pt idx="3">
                  <c:v>-9.527983628329844</c:v>
                </c:pt>
                <c:pt idx="4">
                  <c:v>-11.378108945977559</c:v>
                </c:pt>
                <c:pt idx="5">
                  <c:v>-12.019741685351981</c:v>
                </c:pt>
              </c:numCache>
            </c:numRef>
          </c:val>
          <c:extLst>
            <c:ext xmlns:c16="http://schemas.microsoft.com/office/drawing/2014/chart" uri="{C3380CC4-5D6E-409C-BE32-E72D297353CC}">
              <c16:uniqueId val="{00000000-19E9-47AA-AA45-52EF996F3C41}"/>
            </c:ext>
          </c:extLst>
        </c:ser>
        <c:ser>
          <c:idx val="2"/>
          <c:order val="2"/>
          <c:tx>
            <c:strRef>
              <c:f>Sheet1!$A$4</c:f>
              <c:strCache>
                <c:ptCount val="1"/>
                <c:pt idx="0">
                  <c:v>Ծառայությունների հաշվեկշիռ</c:v>
                </c:pt>
              </c:strCache>
            </c:strRef>
          </c:tx>
          <c:spPr>
            <a:solidFill>
              <a:schemeClr val="accent1">
                <a:lumMod val="60000"/>
                <a:lumOff val="40000"/>
              </a:schemeClr>
            </a:solidFill>
            <a:ln>
              <a:noFill/>
            </a:ln>
            <a:effectLst/>
          </c:spPr>
          <c:invertIfNegative val="0"/>
          <c:cat>
            <c:numRef>
              <c:f>Sheet1!$B$1:$G$1</c:f>
              <c:numCache>
                <c:formatCode>General</c:formatCode>
                <c:ptCount val="6"/>
                <c:pt idx="0">
                  <c:v>2019</c:v>
                </c:pt>
                <c:pt idx="1">
                  <c:v>2020</c:v>
                </c:pt>
                <c:pt idx="2">
                  <c:v>2021</c:v>
                </c:pt>
                <c:pt idx="3">
                  <c:v>2022</c:v>
                </c:pt>
                <c:pt idx="4">
                  <c:v>2023</c:v>
                </c:pt>
                <c:pt idx="5">
                  <c:v>2024</c:v>
                </c:pt>
              </c:numCache>
            </c:numRef>
          </c:cat>
          <c:val>
            <c:numRef>
              <c:f>Sheet1!$B$4:$G$4</c:f>
              <c:numCache>
                <c:formatCode>0.0</c:formatCode>
                <c:ptCount val="6"/>
                <c:pt idx="0">
                  <c:v>-0.63789499938145677</c:v>
                </c:pt>
                <c:pt idx="1">
                  <c:v>0.93379329835219815</c:v>
                </c:pt>
                <c:pt idx="2">
                  <c:v>2.8597827856411508</c:v>
                </c:pt>
                <c:pt idx="3">
                  <c:v>8.7684973387890182</c:v>
                </c:pt>
                <c:pt idx="4">
                  <c:v>9.1489349925554109</c:v>
                </c:pt>
                <c:pt idx="5">
                  <c:v>9.5387041915222852</c:v>
                </c:pt>
              </c:numCache>
            </c:numRef>
          </c:val>
          <c:extLst>
            <c:ext xmlns:c16="http://schemas.microsoft.com/office/drawing/2014/chart" uri="{C3380CC4-5D6E-409C-BE32-E72D297353CC}">
              <c16:uniqueId val="{00000001-19E9-47AA-AA45-52EF996F3C41}"/>
            </c:ext>
          </c:extLst>
        </c:ser>
        <c:ser>
          <c:idx val="5"/>
          <c:order val="5"/>
          <c:tx>
            <c:strRef>
              <c:f>Sheet1!$A$7</c:f>
              <c:strCache>
                <c:ptCount val="1"/>
                <c:pt idx="0">
                  <c:v>Զուտ դրամական փոխանցումներ</c:v>
                </c:pt>
              </c:strCache>
            </c:strRef>
          </c:tx>
          <c:spPr>
            <a:solidFill>
              <a:srgbClr val="5B9BD5">
                <a:lumMod val="75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Sheet1!$B$1:$G$1</c:f>
              <c:numCache>
                <c:formatCode>General</c:formatCode>
                <c:ptCount val="6"/>
                <c:pt idx="0">
                  <c:v>2019</c:v>
                </c:pt>
                <c:pt idx="1">
                  <c:v>2020</c:v>
                </c:pt>
                <c:pt idx="2">
                  <c:v>2021</c:v>
                </c:pt>
                <c:pt idx="3">
                  <c:v>2022</c:v>
                </c:pt>
                <c:pt idx="4">
                  <c:v>2023</c:v>
                </c:pt>
                <c:pt idx="5">
                  <c:v>2024</c:v>
                </c:pt>
              </c:numCache>
            </c:numRef>
          </c:cat>
          <c:val>
            <c:numRef>
              <c:f>Sheet1!$B$7:$G$7</c:f>
              <c:numCache>
                <c:formatCode>0.0</c:formatCode>
                <c:ptCount val="6"/>
                <c:pt idx="0">
                  <c:v>8.7604602101862969</c:v>
                </c:pt>
                <c:pt idx="1">
                  <c:v>8.4809481790095216</c:v>
                </c:pt>
                <c:pt idx="2">
                  <c:v>9.179540974594449</c:v>
                </c:pt>
                <c:pt idx="3">
                  <c:v>7.8832993771070337</c:v>
                </c:pt>
                <c:pt idx="4">
                  <c:v>5.0868056794721923</c:v>
                </c:pt>
                <c:pt idx="5">
                  <c:v>4.9979734689135205</c:v>
                </c:pt>
              </c:numCache>
            </c:numRef>
          </c:val>
          <c:extLst>
            <c:ext xmlns:c16="http://schemas.microsoft.com/office/drawing/2014/chart" uri="{C3380CC4-5D6E-409C-BE32-E72D297353CC}">
              <c16:uniqueId val="{00000002-19E9-47AA-AA45-52EF996F3C41}"/>
            </c:ext>
          </c:extLst>
        </c:ser>
        <c:dLbls>
          <c:showLegendKey val="0"/>
          <c:showVal val="0"/>
          <c:showCatName val="0"/>
          <c:showSerName val="0"/>
          <c:showPercent val="0"/>
          <c:showBubbleSize val="0"/>
        </c:dLbls>
        <c:gapWidth val="150"/>
        <c:overlap val="100"/>
        <c:axId val="612018784"/>
        <c:axId val="1"/>
      </c:barChart>
      <c:barChart>
        <c:barDir val="col"/>
        <c:grouping val="stacked"/>
        <c:varyColors val="0"/>
        <c:ser>
          <c:idx val="3"/>
          <c:order val="3"/>
          <c:tx>
            <c:strRef>
              <c:f>Sheet1!$A$5</c:f>
              <c:strCache>
                <c:ptCount val="1"/>
                <c:pt idx="0">
                  <c:v>Սկզբնական եկամուտներ</c:v>
                </c:pt>
              </c:strCache>
            </c:strRef>
          </c:tx>
          <c:spPr>
            <a:solidFill>
              <a:srgbClr val="4F81BD"/>
            </a:solidFill>
            <a:ln w="25375">
              <a:noFill/>
            </a:ln>
          </c:spPr>
          <c:invertIfNegative val="0"/>
          <c:cat>
            <c:numRef>
              <c:f>Sheet1!$B$1:$G$1</c:f>
              <c:numCache>
                <c:formatCode>General</c:formatCode>
                <c:ptCount val="6"/>
                <c:pt idx="0">
                  <c:v>2019</c:v>
                </c:pt>
                <c:pt idx="1">
                  <c:v>2020</c:v>
                </c:pt>
                <c:pt idx="2">
                  <c:v>2021</c:v>
                </c:pt>
                <c:pt idx="3">
                  <c:v>2022</c:v>
                </c:pt>
                <c:pt idx="4">
                  <c:v>2023</c:v>
                </c:pt>
                <c:pt idx="5">
                  <c:v>2024</c:v>
                </c:pt>
              </c:numCache>
            </c:numRef>
          </c:cat>
          <c:val>
            <c:numRef>
              <c:f>Sheet1!$B$5:$G$5</c:f>
            </c:numRef>
          </c:val>
          <c:extLst>
            <c:ext xmlns:c16="http://schemas.microsoft.com/office/drawing/2014/chart" uri="{C3380CC4-5D6E-409C-BE32-E72D297353CC}">
              <c16:uniqueId val="{00000003-19E9-47AA-AA45-52EF996F3C41}"/>
            </c:ext>
          </c:extLst>
        </c:ser>
        <c:ser>
          <c:idx val="4"/>
          <c:order val="4"/>
          <c:tx>
            <c:strRef>
              <c:f>Sheet1!$A$6</c:f>
              <c:strCache>
                <c:ptCount val="1"/>
                <c:pt idx="0">
                  <c:v>Երկրորդային եկամուտներ</c:v>
                </c:pt>
              </c:strCache>
            </c:strRef>
          </c:tx>
          <c:spPr>
            <a:solidFill>
              <a:srgbClr val="1F497D"/>
            </a:solidFill>
            <a:ln w="25375">
              <a:noFill/>
            </a:ln>
          </c:spPr>
          <c:invertIfNegative val="0"/>
          <c:cat>
            <c:numRef>
              <c:f>Sheet1!$B$1:$G$1</c:f>
              <c:numCache>
                <c:formatCode>General</c:formatCode>
                <c:ptCount val="6"/>
                <c:pt idx="0">
                  <c:v>2019</c:v>
                </c:pt>
                <c:pt idx="1">
                  <c:v>2020</c:v>
                </c:pt>
                <c:pt idx="2">
                  <c:v>2021</c:v>
                </c:pt>
                <c:pt idx="3">
                  <c:v>2022</c:v>
                </c:pt>
                <c:pt idx="4">
                  <c:v>2023</c:v>
                </c:pt>
                <c:pt idx="5">
                  <c:v>2024</c:v>
                </c:pt>
              </c:numCache>
            </c:numRef>
          </c:cat>
          <c:val>
            <c:numRef>
              <c:f>Sheet1!$B$6:$G$6</c:f>
            </c:numRef>
          </c:val>
          <c:extLst>
            <c:ext xmlns:c16="http://schemas.microsoft.com/office/drawing/2014/chart" uri="{C3380CC4-5D6E-409C-BE32-E72D297353CC}">
              <c16:uniqueId val="{00000004-19E9-47AA-AA45-52EF996F3C41}"/>
            </c:ext>
          </c:extLst>
        </c:ser>
        <c:dLbls>
          <c:showLegendKey val="0"/>
          <c:showVal val="0"/>
          <c:showCatName val="0"/>
          <c:showSerName val="0"/>
          <c:showPercent val="0"/>
          <c:showBubbleSize val="0"/>
        </c:dLbls>
        <c:gapWidth val="150"/>
        <c:overlap val="100"/>
        <c:axId val="612018784"/>
        <c:axId val="1"/>
      </c:barChart>
      <c:lineChart>
        <c:grouping val="standard"/>
        <c:varyColors val="0"/>
        <c:ser>
          <c:idx val="0"/>
          <c:order val="1"/>
          <c:tx>
            <c:strRef>
              <c:f>Sheet1!$A$3</c:f>
              <c:strCache>
                <c:ptCount val="1"/>
                <c:pt idx="0">
                  <c:v>Ընթացիկ հաշիվ</c:v>
                </c:pt>
              </c:strCache>
            </c:strRef>
          </c:tx>
          <c:spPr>
            <a:ln w="28547" cap="rnd">
              <a:solidFill>
                <a:schemeClr val="accent1"/>
              </a:solidFill>
              <a:round/>
            </a:ln>
            <a:effectLst/>
          </c:spPr>
          <c:marker>
            <c:symbol val="circle"/>
            <c:size val="4"/>
            <c:spPr>
              <a:solidFill>
                <a:schemeClr val="accent1"/>
              </a:solidFill>
              <a:ln w="9516">
                <a:solidFill>
                  <a:schemeClr val="accent1"/>
                </a:solidFill>
              </a:ln>
              <a:effectLst/>
            </c:spPr>
          </c:marker>
          <c:dLbls>
            <c:spPr>
              <a:noFill/>
              <a:ln w="25375">
                <a:noFill/>
              </a:ln>
            </c:spPr>
            <c:txPr>
              <a:bodyPr rot="0" spcFirstLastPara="1" vertOverflow="ellipsis" vert="horz" wrap="square" anchor="ctr" anchorCtr="1"/>
              <a:lstStyle/>
              <a:p>
                <a:pPr>
                  <a:defRPr sz="899"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Sheet1!$B$1:$G$1</c:f>
              <c:numCache>
                <c:formatCode>General</c:formatCode>
                <c:ptCount val="6"/>
                <c:pt idx="0">
                  <c:v>2019</c:v>
                </c:pt>
                <c:pt idx="1">
                  <c:v>2020</c:v>
                </c:pt>
                <c:pt idx="2">
                  <c:v>2021</c:v>
                </c:pt>
                <c:pt idx="3">
                  <c:v>2022</c:v>
                </c:pt>
                <c:pt idx="4">
                  <c:v>2023</c:v>
                </c:pt>
                <c:pt idx="5">
                  <c:v>2024</c:v>
                </c:pt>
              </c:numCache>
            </c:numRef>
          </c:cat>
          <c:val>
            <c:numRef>
              <c:f>Sheet1!$B$3:$G$3</c:f>
              <c:numCache>
                <c:formatCode>0.0</c:formatCode>
                <c:ptCount val="6"/>
                <c:pt idx="0">
                  <c:v>-7.0569126434064833</c:v>
                </c:pt>
                <c:pt idx="1">
                  <c:v>-3.9977734586450908</c:v>
                </c:pt>
                <c:pt idx="2">
                  <c:v>-3.4799761215677063</c:v>
                </c:pt>
                <c:pt idx="3">
                  <c:v>0.77379197026214319</c:v>
                </c:pt>
                <c:pt idx="4">
                  <c:v>-4.0216509977654917</c:v>
                </c:pt>
                <c:pt idx="5">
                  <c:v>-4.8402687487429867</c:v>
                </c:pt>
              </c:numCache>
            </c:numRef>
          </c:val>
          <c:smooth val="0"/>
          <c:extLst>
            <c:ext xmlns:c16="http://schemas.microsoft.com/office/drawing/2014/chart" uri="{C3380CC4-5D6E-409C-BE32-E72D297353CC}">
              <c16:uniqueId val="{00000005-19E9-47AA-AA45-52EF996F3C41}"/>
            </c:ext>
          </c:extLst>
        </c:ser>
        <c:dLbls>
          <c:showLegendKey val="0"/>
          <c:showVal val="0"/>
          <c:showCatName val="0"/>
          <c:showSerName val="0"/>
          <c:showPercent val="0"/>
          <c:showBubbleSize val="0"/>
        </c:dLbls>
        <c:marker val="1"/>
        <c:smooth val="0"/>
        <c:axId val="612018784"/>
        <c:axId val="1"/>
      </c:lineChart>
      <c:catAx>
        <c:axId val="612018784"/>
        <c:scaling>
          <c:orientation val="minMax"/>
        </c:scaling>
        <c:delete val="0"/>
        <c:axPos val="b"/>
        <c:numFmt formatCode="General" sourceLinked="1"/>
        <c:majorTickMark val="none"/>
        <c:minorTickMark val="none"/>
        <c:tickLblPos val="low"/>
        <c:spPr>
          <a:noFill/>
          <a:ln w="9516" cap="flat" cmpd="sng" algn="ctr">
            <a:solidFill>
              <a:schemeClr val="tx1">
                <a:lumMod val="15000"/>
                <a:lumOff val="85000"/>
              </a:schemeClr>
            </a:solidFill>
            <a:round/>
          </a:ln>
          <a:effectLst/>
        </c:spPr>
        <c:txPr>
          <a:bodyPr rot="0" spcFirstLastPara="1" vertOverflow="ellipsis"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100"/>
        <c:noMultiLvlLbl val="0"/>
      </c:catAx>
      <c:valAx>
        <c:axId val="1"/>
        <c:scaling>
          <c:orientation val="minMax"/>
        </c:scaling>
        <c:delete val="0"/>
        <c:axPos val="l"/>
        <c:majorGridlines>
          <c:spPr>
            <a:ln w="9516" cap="flat" cmpd="sng" algn="ctr">
              <a:solidFill>
                <a:schemeClr val="tx1">
                  <a:lumMod val="15000"/>
                  <a:lumOff val="85000"/>
                </a:schemeClr>
              </a:solidFill>
              <a:round/>
            </a:ln>
            <a:effectLst/>
          </c:spPr>
        </c:majorGridlines>
        <c:numFmt formatCode="0.0" sourceLinked="1"/>
        <c:majorTickMark val="none"/>
        <c:minorTickMark val="none"/>
        <c:tickLblPos val="nextTo"/>
        <c:spPr>
          <a:ln w="9516">
            <a:noFill/>
          </a:ln>
        </c:spPr>
        <c:txPr>
          <a:bodyPr rot="0" spcFirstLastPara="1" vertOverflow="ellipsis"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784"/>
        <c:crosses val="autoZero"/>
        <c:crossBetween val="between"/>
        <c:majorUnit val="5"/>
      </c:valAx>
      <c:spPr>
        <a:noFill/>
        <a:ln w="25375">
          <a:noFill/>
        </a:ln>
      </c:spPr>
    </c:plotArea>
    <c:legend>
      <c:legendPos val="b"/>
      <c:layout>
        <c:manualLayout>
          <c:xMode val="edge"/>
          <c:yMode val="edge"/>
          <c:x val="0"/>
          <c:y val="0.76396347216206117"/>
          <c:w val="0.99335345057915647"/>
          <c:h val="0.23333496621010014"/>
        </c:manualLayout>
      </c:layout>
      <c:overlay val="0"/>
      <c:spPr>
        <a:noFill/>
        <a:ln w="25375">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Դրամավարկային քաղաքականության տոկոսադրույքները</a:t>
            </a:r>
            <a:r>
              <a:rPr lang="en-US" sz="1000"/>
              <a:t> </a:t>
            </a:r>
          </a:p>
        </c:rich>
      </c:tx>
      <c:layout>
        <c:manualLayout>
          <c:xMode val="edge"/>
          <c:yMode val="edge"/>
          <c:x val="0.15867606737171955"/>
          <c:y val="6.9374588088383226E-6"/>
        </c:manualLayout>
      </c:layout>
      <c:overlay val="0"/>
      <c:spPr>
        <a:noFill/>
        <a:ln w="25400">
          <a:noFill/>
        </a:ln>
      </c:spPr>
    </c:title>
    <c:autoTitleDeleted val="0"/>
    <c:plotArea>
      <c:layout>
        <c:manualLayout>
          <c:layoutTarget val="inner"/>
          <c:xMode val="edge"/>
          <c:yMode val="edge"/>
          <c:x val="9.6437897522516872E-2"/>
          <c:y val="0.18716063288539592"/>
          <c:w val="0.86044163321087097"/>
          <c:h val="0.52389368914258139"/>
        </c:manualLayout>
      </c:layout>
      <c:lineChart>
        <c:grouping val="standard"/>
        <c:varyColors val="0"/>
        <c:ser>
          <c:idx val="0"/>
          <c:order val="0"/>
          <c:tx>
            <c:strRef>
              <c:f>Sheet1!$D$1</c:f>
              <c:strCache>
                <c:ptCount val="1"/>
                <c:pt idx="0">
                  <c:v>ԵԳ</c:v>
                </c:pt>
              </c:strCache>
            </c:strRef>
          </c:tx>
          <c:spPr>
            <a:ln w="28575" cap="rnd">
              <a:solidFill>
                <a:schemeClr val="accent1"/>
              </a:solidFill>
              <a:round/>
            </a:ln>
            <a:effectLst/>
          </c:spPr>
          <c:marker>
            <c:symbol val="none"/>
          </c:marker>
          <c:cat>
            <c:multiLvlStrRef>
              <c:f>Sheet1!$A$14:$B$69</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Sheet1!$D$2:$D$69</c:f>
              <c:numCache>
                <c:formatCode>General</c:formatCode>
                <c:ptCount val="5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0.5</c:v>
                </c:pt>
                <c:pt idx="43">
                  <c:v>0.5</c:v>
                </c:pt>
                <c:pt idx="44" formatCode="0.0">
                  <c:v>1.3</c:v>
                </c:pt>
                <c:pt idx="45" formatCode="0.0">
                  <c:v>1.3</c:v>
                </c:pt>
                <c:pt idx="46">
                  <c:v>2</c:v>
                </c:pt>
                <c:pt idx="47">
                  <c:v>2.5</c:v>
                </c:pt>
                <c:pt idx="48" formatCode="0.00">
                  <c:v>2.5</c:v>
                </c:pt>
                <c:pt idx="49" formatCode="0.00">
                  <c:v>3</c:v>
                </c:pt>
                <c:pt idx="50" formatCode="0.00">
                  <c:v>3.5</c:v>
                </c:pt>
                <c:pt idx="51" formatCode="0.00">
                  <c:v>3.75</c:v>
                </c:pt>
                <c:pt idx="52" formatCode="0.00">
                  <c:v>3.75</c:v>
                </c:pt>
                <c:pt idx="53" formatCode="0.00">
                  <c:v>4</c:v>
                </c:pt>
                <c:pt idx="54" formatCode="0.00">
                  <c:v>4.25</c:v>
                </c:pt>
                <c:pt idx="55" formatCode="0.00">
                  <c:v>4.25</c:v>
                </c:pt>
              </c:numCache>
            </c:numRef>
          </c:val>
          <c:smooth val="0"/>
          <c:extLst>
            <c:ext xmlns:c16="http://schemas.microsoft.com/office/drawing/2014/chart" uri="{C3380CC4-5D6E-409C-BE32-E72D297353CC}">
              <c16:uniqueId val="{00000000-230A-4A4D-B58D-999D8CF528DC}"/>
            </c:ext>
          </c:extLst>
        </c:ser>
        <c:ser>
          <c:idx val="1"/>
          <c:order val="1"/>
          <c:tx>
            <c:strRef>
              <c:f>Sheet1!$E$1</c:f>
              <c:strCache>
                <c:ptCount val="1"/>
                <c:pt idx="0">
                  <c:v>Չինաստան</c:v>
                </c:pt>
              </c:strCache>
            </c:strRef>
          </c:tx>
          <c:spPr>
            <a:ln w="28575" cap="rnd">
              <a:solidFill>
                <a:schemeClr val="bg1">
                  <a:lumMod val="65000"/>
                </a:schemeClr>
              </a:solidFill>
              <a:round/>
            </a:ln>
            <a:effectLst/>
          </c:spPr>
          <c:marker>
            <c:symbol val="none"/>
          </c:marker>
          <c:cat>
            <c:multiLvlStrRef>
              <c:f>Sheet1!$A$14:$B$69</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Sheet1!$E$2:$E$69</c:f>
              <c:numCache>
                <c:formatCode>General</c:formatCode>
                <c:ptCount val="56"/>
                <c:pt idx="0">
                  <c:v>4.25</c:v>
                </c:pt>
                <c:pt idx="1">
                  <c:v>4.25</c:v>
                </c:pt>
                <c:pt idx="2">
                  <c:v>4.25</c:v>
                </c:pt>
                <c:pt idx="3">
                  <c:v>4.25</c:v>
                </c:pt>
                <c:pt idx="4">
                  <c:v>4.25</c:v>
                </c:pt>
                <c:pt idx="5">
                  <c:v>4.25</c:v>
                </c:pt>
                <c:pt idx="6">
                  <c:v>4.25</c:v>
                </c:pt>
                <c:pt idx="7">
                  <c:v>4.25</c:v>
                </c:pt>
                <c:pt idx="8">
                  <c:v>4.2</c:v>
                </c:pt>
                <c:pt idx="9">
                  <c:v>4.2</c:v>
                </c:pt>
                <c:pt idx="10">
                  <c:v>4.1500000000000004</c:v>
                </c:pt>
                <c:pt idx="11">
                  <c:v>4.1500000000000004</c:v>
                </c:pt>
                <c:pt idx="12">
                  <c:v>4.1500000000000004</c:v>
                </c:pt>
                <c:pt idx="13">
                  <c:v>4.05</c:v>
                </c:pt>
                <c:pt idx="14">
                  <c:v>4.05</c:v>
                </c:pt>
                <c:pt idx="15">
                  <c:v>3.85</c:v>
                </c:pt>
                <c:pt idx="16">
                  <c:v>3.85</c:v>
                </c:pt>
                <c:pt idx="17">
                  <c:v>3.85</c:v>
                </c:pt>
                <c:pt idx="18">
                  <c:v>3.85</c:v>
                </c:pt>
                <c:pt idx="19">
                  <c:v>3.85</c:v>
                </c:pt>
                <c:pt idx="20">
                  <c:v>3.85</c:v>
                </c:pt>
                <c:pt idx="21">
                  <c:v>3.85</c:v>
                </c:pt>
                <c:pt idx="22">
                  <c:v>3.85</c:v>
                </c:pt>
                <c:pt idx="23">
                  <c:v>3.85</c:v>
                </c:pt>
                <c:pt idx="24">
                  <c:v>3.85</c:v>
                </c:pt>
                <c:pt idx="25">
                  <c:v>3.85</c:v>
                </c:pt>
                <c:pt idx="26">
                  <c:v>3.85</c:v>
                </c:pt>
                <c:pt idx="27">
                  <c:v>3.85</c:v>
                </c:pt>
                <c:pt idx="28">
                  <c:v>3.85</c:v>
                </c:pt>
                <c:pt idx="29">
                  <c:v>3.85</c:v>
                </c:pt>
                <c:pt idx="30">
                  <c:v>3.85</c:v>
                </c:pt>
                <c:pt idx="31">
                  <c:v>3.85</c:v>
                </c:pt>
                <c:pt idx="32">
                  <c:v>3.85</c:v>
                </c:pt>
                <c:pt idx="33">
                  <c:v>3.85</c:v>
                </c:pt>
                <c:pt idx="34">
                  <c:v>3.85</c:v>
                </c:pt>
                <c:pt idx="35">
                  <c:v>3.8</c:v>
                </c:pt>
                <c:pt idx="36">
                  <c:v>3.8</c:v>
                </c:pt>
                <c:pt idx="37">
                  <c:v>3.7</c:v>
                </c:pt>
                <c:pt idx="38">
                  <c:v>3.7</c:v>
                </c:pt>
                <c:pt idx="39">
                  <c:v>3.7</c:v>
                </c:pt>
                <c:pt idx="40">
                  <c:v>3.7</c:v>
                </c:pt>
                <c:pt idx="41">
                  <c:v>3.7</c:v>
                </c:pt>
                <c:pt idx="42">
                  <c:v>3.7</c:v>
                </c:pt>
                <c:pt idx="43">
                  <c:v>3.7</c:v>
                </c:pt>
                <c:pt idx="44" formatCode="0.00">
                  <c:v>3.65</c:v>
                </c:pt>
                <c:pt idx="45" formatCode="0.00">
                  <c:v>3.65</c:v>
                </c:pt>
                <c:pt idx="46" formatCode="0.00">
                  <c:v>3.65</c:v>
                </c:pt>
                <c:pt idx="47" formatCode="0.00">
                  <c:v>3.65</c:v>
                </c:pt>
                <c:pt idx="48" formatCode="0.00">
                  <c:v>3.65</c:v>
                </c:pt>
                <c:pt idx="49" formatCode="0.00">
                  <c:v>3.65</c:v>
                </c:pt>
                <c:pt idx="50" formatCode="0.00">
                  <c:v>3.65</c:v>
                </c:pt>
                <c:pt idx="51" formatCode="0.00">
                  <c:v>3.65</c:v>
                </c:pt>
                <c:pt idx="52" formatCode="0.00">
                  <c:v>3.65</c:v>
                </c:pt>
                <c:pt idx="53" formatCode="0.00">
                  <c:v>3.55</c:v>
                </c:pt>
                <c:pt idx="54" formatCode="0.00">
                  <c:v>3.55</c:v>
                </c:pt>
                <c:pt idx="55" formatCode="0.00">
                  <c:v>3.45</c:v>
                </c:pt>
              </c:numCache>
            </c:numRef>
          </c:val>
          <c:smooth val="0"/>
          <c:extLst>
            <c:ext xmlns:c16="http://schemas.microsoft.com/office/drawing/2014/chart" uri="{C3380CC4-5D6E-409C-BE32-E72D297353CC}">
              <c16:uniqueId val="{00000001-230A-4A4D-B58D-999D8CF528DC}"/>
            </c:ext>
          </c:extLst>
        </c:ser>
        <c:ser>
          <c:idx val="2"/>
          <c:order val="2"/>
          <c:tx>
            <c:strRef>
              <c:f>Sheet1!$F$1</c:f>
              <c:strCache>
                <c:ptCount val="1"/>
                <c:pt idx="0">
                  <c:v>ՌԴ</c:v>
                </c:pt>
              </c:strCache>
            </c:strRef>
          </c:tx>
          <c:spPr>
            <a:ln w="28575" cap="rnd">
              <a:solidFill>
                <a:schemeClr val="accent6">
                  <a:lumMod val="60000"/>
                  <a:lumOff val="40000"/>
                </a:schemeClr>
              </a:solidFill>
              <a:round/>
            </a:ln>
            <a:effectLst/>
          </c:spPr>
          <c:marker>
            <c:symbol val="none"/>
          </c:marker>
          <c:cat>
            <c:multiLvlStrRef>
              <c:f>Sheet1!$A$14:$B$69</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Sheet1!$F$2:$F$69</c:f>
              <c:numCache>
                <c:formatCode>General</c:formatCode>
                <c:ptCount val="56"/>
                <c:pt idx="0">
                  <c:v>7.75</c:v>
                </c:pt>
                <c:pt idx="1">
                  <c:v>7.75</c:v>
                </c:pt>
                <c:pt idx="2">
                  <c:v>7.75</c:v>
                </c:pt>
                <c:pt idx="3">
                  <c:v>7.75</c:v>
                </c:pt>
                <c:pt idx="4">
                  <c:v>7.75</c:v>
                </c:pt>
                <c:pt idx="5">
                  <c:v>7.5</c:v>
                </c:pt>
                <c:pt idx="6">
                  <c:v>7.5</c:v>
                </c:pt>
                <c:pt idx="7">
                  <c:v>7.25</c:v>
                </c:pt>
                <c:pt idx="8">
                  <c:v>7</c:v>
                </c:pt>
                <c:pt idx="9">
                  <c:v>7</c:v>
                </c:pt>
                <c:pt idx="10">
                  <c:v>6.5</c:v>
                </c:pt>
                <c:pt idx="11">
                  <c:v>6.25</c:v>
                </c:pt>
                <c:pt idx="12">
                  <c:v>6.25</c:v>
                </c:pt>
                <c:pt idx="13">
                  <c:v>6</c:v>
                </c:pt>
                <c:pt idx="14">
                  <c:v>6</c:v>
                </c:pt>
                <c:pt idx="15">
                  <c:v>6</c:v>
                </c:pt>
                <c:pt idx="16">
                  <c:v>5.5</c:v>
                </c:pt>
                <c:pt idx="17">
                  <c:v>5.5</c:v>
                </c:pt>
                <c:pt idx="18">
                  <c:v>4.5</c:v>
                </c:pt>
                <c:pt idx="19">
                  <c:v>4.25</c:v>
                </c:pt>
                <c:pt idx="20">
                  <c:v>4.25</c:v>
                </c:pt>
                <c:pt idx="21">
                  <c:v>4.25</c:v>
                </c:pt>
                <c:pt idx="22">
                  <c:v>4.25</c:v>
                </c:pt>
                <c:pt idx="23">
                  <c:v>4.25</c:v>
                </c:pt>
                <c:pt idx="24">
                  <c:v>4.25</c:v>
                </c:pt>
                <c:pt idx="25">
                  <c:v>4.25</c:v>
                </c:pt>
                <c:pt idx="26">
                  <c:v>4.25</c:v>
                </c:pt>
                <c:pt idx="27">
                  <c:v>4.5</c:v>
                </c:pt>
                <c:pt idx="28">
                  <c:v>5</c:v>
                </c:pt>
                <c:pt idx="29">
                  <c:v>5.5</c:v>
                </c:pt>
                <c:pt idx="30">
                  <c:v>5.5</c:v>
                </c:pt>
                <c:pt idx="31">
                  <c:v>6.5</c:v>
                </c:pt>
                <c:pt idx="32">
                  <c:v>6.75</c:v>
                </c:pt>
                <c:pt idx="33">
                  <c:v>6.75</c:v>
                </c:pt>
                <c:pt idx="34">
                  <c:v>7.5</c:v>
                </c:pt>
                <c:pt idx="35">
                  <c:v>8.5</c:v>
                </c:pt>
                <c:pt idx="36" formatCode="0.0">
                  <c:v>8.5</c:v>
                </c:pt>
                <c:pt idx="37" formatCode="0.0">
                  <c:v>9.5</c:v>
                </c:pt>
                <c:pt idx="38" formatCode="0.0">
                  <c:v>20</c:v>
                </c:pt>
                <c:pt idx="39" formatCode="0.0">
                  <c:v>17</c:v>
                </c:pt>
                <c:pt idx="40" formatCode="0.0">
                  <c:v>14</c:v>
                </c:pt>
                <c:pt idx="41" formatCode="0.0">
                  <c:v>11</c:v>
                </c:pt>
                <c:pt idx="42" formatCode="0.0">
                  <c:v>9.5</c:v>
                </c:pt>
                <c:pt idx="43" formatCode="0.0">
                  <c:v>8</c:v>
                </c:pt>
                <c:pt idx="44" formatCode="0.0">
                  <c:v>7.5</c:v>
                </c:pt>
                <c:pt idx="45" formatCode="0.0">
                  <c:v>7.5</c:v>
                </c:pt>
                <c:pt idx="46" formatCode="0.0">
                  <c:v>7.5</c:v>
                </c:pt>
                <c:pt idx="47" formatCode="0.0">
                  <c:v>7.5</c:v>
                </c:pt>
                <c:pt idx="48" formatCode="0.00">
                  <c:v>7.5</c:v>
                </c:pt>
                <c:pt idx="49" formatCode="0.00">
                  <c:v>7.5</c:v>
                </c:pt>
                <c:pt idx="50" formatCode="0.00">
                  <c:v>7.5</c:v>
                </c:pt>
                <c:pt idx="51" formatCode="0.00">
                  <c:v>7.5</c:v>
                </c:pt>
                <c:pt idx="52" formatCode="0.00">
                  <c:v>7.5</c:v>
                </c:pt>
                <c:pt idx="53" formatCode="0.00">
                  <c:v>7.5</c:v>
                </c:pt>
                <c:pt idx="54" formatCode="0.00">
                  <c:v>8.5</c:v>
                </c:pt>
                <c:pt idx="55" formatCode="0.00">
                  <c:v>12</c:v>
                </c:pt>
              </c:numCache>
            </c:numRef>
          </c:val>
          <c:smooth val="0"/>
          <c:extLst>
            <c:ext xmlns:c16="http://schemas.microsoft.com/office/drawing/2014/chart" uri="{C3380CC4-5D6E-409C-BE32-E72D297353CC}">
              <c16:uniqueId val="{00000002-230A-4A4D-B58D-999D8CF528DC}"/>
            </c:ext>
          </c:extLst>
        </c:ser>
        <c:ser>
          <c:idx val="3"/>
          <c:order val="3"/>
          <c:tx>
            <c:strRef>
              <c:f>Sheet1!$C$1</c:f>
              <c:strCache>
                <c:ptCount val="1"/>
                <c:pt idx="0">
                  <c:v>ԱՄՆ</c:v>
                </c:pt>
              </c:strCache>
            </c:strRef>
          </c:tx>
          <c:spPr>
            <a:ln w="28575" cap="rnd">
              <a:solidFill>
                <a:schemeClr val="tx2"/>
              </a:solidFill>
              <a:round/>
            </a:ln>
            <a:effectLst/>
          </c:spPr>
          <c:marker>
            <c:symbol val="none"/>
          </c:marker>
          <c:cat>
            <c:multiLvlStrRef>
              <c:f>Sheet1!$A$14:$B$69</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Sheet1!$C$14:$C$69</c:f>
              <c:numCache>
                <c:formatCode>General</c:formatCode>
                <c:ptCount val="56"/>
                <c:pt idx="0">
                  <c:v>2.4</c:v>
                </c:pt>
                <c:pt idx="1">
                  <c:v>2.4</c:v>
                </c:pt>
                <c:pt idx="2">
                  <c:v>2.4</c:v>
                </c:pt>
                <c:pt idx="3">
                  <c:v>2.4</c:v>
                </c:pt>
                <c:pt idx="4">
                  <c:v>2.4</c:v>
                </c:pt>
                <c:pt idx="5">
                  <c:v>2.4</c:v>
                </c:pt>
                <c:pt idx="6">
                  <c:v>2.4</c:v>
                </c:pt>
                <c:pt idx="7">
                  <c:v>2.1</c:v>
                </c:pt>
                <c:pt idx="8">
                  <c:v>1.9</c:v>
                </c:pt>
                <c:pt idx="9">
                  <c:v>1.9</c:v>
                </c:pt>
                <c:pt idx="10">
                  <c:v>1.6</c:v>
                </c:pt>
                <c:pt idx="11">
                  <c:v>1.6</c:v>
                </c:pt>
                <c:pt idx="12">
                  <c:v>1.6</c:v>
                </c:pt>
                <c:pt idx="13">
                  <c:v>1.6</c:v>
                </c:pt>
                <c:pt idx="14">
                  <c:v>1.1000000000000001</c:v>
                </c:pt>
                <c:pt idx="15">
                  <c:v>0.1</c:v>
                </c:pt>
                <c:pt idx="16">
                  <c:v>0.1</c:v>
                </c:pt>
                <c:pt idx="17">
                  <c:v>0.1</c:v>
                </c:pt>
                <c:pt idx="18">
                  <c:v>0.1</c:v>
                </c:pt>
                <c:pt idx="19">
                  <c:v>0.1</c:v>
                </c:pt>
                <c:pt idx="20">
                  <c:v>0.09</c:v>
                </c:pt>
                <c:pt idx="21">
                  <c:v>0.09</c:v>
                </c:pt>
                <c:pt idx="22">
                  <c:v>0.09</c:v>
                </c:pt>
                <c:pt idx="23">
                  <c:v>0.09</c:v>
                </c:pt>
                <c:pt idx="24">
                  <c:v>0.09</c:v>
                </c:pt>
                <c:pt idx="25">
                  <c:v>0.08</c:v>
                </c:pt>
                <c:pt idx="26">
                  <c:v>7.0000000000000007E-2</c:v>
                </c:pt>
                <c:pt idx="27">
                  <c:v>7.0000000000000007E-2</c:v>
                </c:pt>
                <c:pt idx="28">
                  <c:v>0.06</c:v>
                </c:pt>
                <c:pt idx="29">
                  <c:v>0.06</c:v>
                </c:pt>
                <c:pt idx="30">
                  <c:v>0.1</c:v>
                </c:pt>
                <c:pt idx="31">
                  <c:v>0.09</c:v>
                </c:pt>
                <c:pt idx="32">
                  <c:v>0.08</c:v>
                </c:pt>
                <c:pt idx="33">
                  <c:v>0.08</c:v>
                </c:pt>
                <c:pt idx="34">
                  <c:v>0.08</c:v>
                </c:pt>
                <c:pt idx="35">
                  <c:v>0.08</c:v>
                </c:pt>
                <c:pt idx="36">
                  <c:v>0.1</c:v>
                </c:pt>
                <c:pt idx="37">
                  <c:v>0.1</c:v>
                </c:pt>
                <c:pt idx="38">
                  <c:v>0.2</c:v>
                </c:pt>
                <c:pt idx="39">
                  <c:v>0.3</c:v>
                </c:pt>
                <c:pt idx="40">
                  <c:v>0.8</c:v>
                </c:pt>
                <c:pt idx="41">
                  <c:v>1.2</c:v>
                </c:pt>
                <c:pt idx="42">
                  <c:v>1.7</c:v>
                </c:pt>
                <c:pt idx="43">
                  <c:v>2.2999999999999998</c:v>
                </c:pt>
                <c:pt idx="44">
                  <c:v>2.6</c:v>
                </c:pt>
                <c:pt idx="45">
                  <c:v>3.1</c:v>
                </c:pt>
                <c:pt idx="46">
                  <c:v>3.8</c:v>
                </c:pt>
                <c:pt idx="47">
                  <c:v>4.0999999999999996</c:v>
                </c:pt>
                <c:pt idx="48" formatCode="0.00">
                  <c:v>4.3</c:v>
                </c:pt>
                <c:pt idx="49" formatCode="0.00">
                  <c:v>4.5999999999999996</c:v>
                </c:pt>
                <c:pt idx="50" formatCode="0.00">
                  <c:v>5</c:v>
                </c:pt>
                <c:pt idx="51" formatCode="0.00">
                  <c:v>5.25</c:v>
                </c:pt>
                <c:pt idx="52" formatCode="0.00">
                  <c:v>5.25</c:v>
                </c:pt>
                <c:pt idx="53" formatCode="0.00">
                  <c:v>5.25</c:v>
                </c:pt>
                <c:pt idx="54" formatCode="0.00">
                  <c:v>5.5</c:v>
                </c:pt>
                <c:pt idx="55" formatCode="0.00">
                  <c:v>5.5</c:v>
                </c:pt>
              </c:numCache>
            </c:numRef>
          </c:val>
          <c:smooth val="0"/>
          <c:extLst>
            <c:ext xmlns:c16="http://schemas.microsoft.com/office/drawing/2014/chart" uri="{C3380CC4-5D6E-409C-BE32-E72D297353CC}">
              <c16:uniqueId val="{00000003-230A-4A4D-B58D-999D8CF528DC}"/>
            </c:ext>
          </c:extLst>
        </c:ser>
        <c:dLbls>
          <c:showLegendKey val="0"/>
          <c:showVal val="0"/>
          <c:showCatName val="0"/>
          <c:showSerName val="0"/>
          <c:showPercent val="0"/>
          <c:showBubbleSize val="0"/>
        </c:dLbls>
        <c:smooth val="0"/>
        <c:axId val="1920271488"/>
        <c:axId val="1920275840"/>
      </c:lineChart>
      <c:catAx>
        <c:axId val="19202714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20275840"/>
        <c:crosses val="autoZero"/>
        <c:auto val="1"/>
        <c:lblAlgn val="ctr"/>
        <c:lblOffset val="100"/>
        <c:noMultiLvlLbl val="0"/>
      </c:catAx>
      <c:valAx>
        <c:axId val="1920275840"/>
        <c:scaling>
          <c:orientation val="minMax"/>
          <c:max val="2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2027148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06870088154332E-2"/>
          <c:y val="5.2830294608895816E-2"/>
          <c:w val="0.86605542312949757"/>
          <c:h val="0.64150943396226412"/>
        </c:manualLayout>
      </c:layout>
      <c:barChart>
        <c:barDir val="col"/>
        <c:grouping val="stacked"/>
        <c:varyColors val="0"/>
        <c:ser>
          <c:idx val="1"/>
          <c:order val="0"/>
          <c:tx>
            <c:strRef>
              <c:f>Sheet1!$A$2</c:f>
              <c:strCache>
                <c:ptCount val="1"/>
                <c:pt idx="0">
                  <c:v>Արտահանում</c:v>
                </c:pt>
              </c:strCache>
            </c:strRef>
          </c:tx>
          <c:spPr>
            <a:solidFill>
              <a:schemeClr val="accent1">
                <a:lumMod val="60000"/>
                <a:lumOff val="40000"/>
              </a:schemeClr>
            </a:solidFill>
            <a:ln>
              <a:noFill/>
            </a:ln>
            <a:effectLst/>
          </c:spPr>
          <c:invertIfNegative val="0"/>
          <c:cat>
            <c:numRef>
              <c:f>Sheet1!$B$1:$G$1</c:f>
              <c:numCache>
                <c:formatCode>General</c:formatCode>
                <c:ptCount val="6"/>
                <c:pt idx="0">
                  <c:v>2019</c:v>
                </c:pt>
                <c:pt idx="1">
                  <c:v>2020</c:v>
                </c:pt>
                <c:pt idx="2">
                  <c:v>2021</c:v>
                </c:pt>
                <c:pt idx="3">
                  <c:v>2022</c:v>
                </c:pt>
                <c:pt idx="4">
                  <c:v>2023</c:v>
                </c:pt>
                <c:pt idx="5">
                  <c:v>2024</c:v>
                </c:pt>
              </c:numCache>
            </c:numRef>
          </c:cat>
          <c:val>
            <c:numRef>
              <c:f>Sheet1!$B$2:$G$2</c:f>
              <c:numCache>
                <c:formatCode>0.0</c:formatCode>
                <c:ptCount val="6"/>
                <c:pt idx="0">
                  <c:v>2433.7090578842613</c:v>
                </c:pt>
                <c:pt idx="1">
                  <c:v>1099.3419549588284</c:v>
                </c:pt>
                <c:pt idx="2">
                  <c:v>1735.2489665453945</c:v>
                </c:pt>
                <c:pt idx="3">
                  <c:v>4320.3058123823403</c:v>
                </c:pt>
                <c:pt idx="4">
                  <c:v>6091.6311954590992</c:v>
                </c:pt>
                <c:pt idx="5">
                  <c:v>6761.7106269596006</c:v>
                </c:pt>
              </c:numCache>
            </c:numRef>
          </c:val>
          <c:extLst>
            <c:ext xmlns:c16="http://schemas.microsoft.com/office/drawing/2014/chart" uri="{C3380CC4-5D6E-409C-BE32-E72D297353CC}">
              <c16:uniqueId val="{00000000-46DB-40E6-8CF1-A87DB59AF8FF}"/>
            </c:ext>
          </c:extLst>
        </c:ser>
        <c:ser>
          <c:idx val="2"/>
          <c:order val="2"/>
          <c:tx>
            <c:strRef>
              <c:f>Sheet1!$A$4</c:f>
              <c:strCache>
                <c:ptCount val="1"/>
                <c:pt idx="0">
                  <c:v>Ներմուծում</c:v>
                </c:pt>
              </c:strCache>
            </c:strRef>
          </c:tx>
          <c:spPr>
            <a:solidFill>
              <a:srgbClr val="1F497D"/>
            </a:solidFill>
            <a:ln w="25392">
              <a:noFill/>
            </a:ln>
          </c:spPr>
          <c:invertIfNegative val="0"/>
          <c:cat>
            <c:numRef>
              <c:f>Sheet1!$B$1:$G$1</c:f>
              <c:numCache>
                <c:formatCode>General</c:formatCode>
                <c:ptCount val="6"/>
                <c:pt idx="0">
                  <c:v>2019</c:v>
                </c:pt>
                <c:pt idx="1">
                  <c:v>2020</c:v>
                </c:pt>
                <c:pt idx="2">
                  <c:v>2021</c:v>
                </c:pt>
                <c:pt idx="3">
                  <c:v>2022</c:v>
                </c:pt>
                <c:pt idx="4">
                  <c:v>2023</c:v>
                </c:pt>
                <c:pt idx="5">
                  <c:v>2024</c:v>
                </c:pt>
              </c:numCache>
            </c:numRef>
          </c:cat>
          <c:val>
            <c:numRef>
              <c:f>Sheet1!$B$4:$G$4</c:f>
              <c:numCache>
                <c:formatCode>0.0</c:formatCode>
                <c:ptCount val="6"/>
                <c:pt idx="0">
                  <c:v>-2520.5858545116312</c:v>
                </c:pt>
                <c:pt idx="1">
                  <c:v>-981.29469506194107</c:v>
                </c:pt>
                <c:pt idx="2">
                  <c:v>-1338.3423267401668</c:v>
                </c:pt>
                <c:pt idx="3">
                  <c:v>-2609.2673071458889</c:v>
                </c:pt>
                <c:pt idx="4">
                  <c:v>-3887.80828764737</c:v>
                </c:pt>
                <c:pt idx="5">
                  <c:v>-4331.9165082531299</c:v>
                </c:pt>
              </c:numCache>
            </c:numRef>
          </c:val>
          <c:extLst>
            <c:ext xmlns:c16="http://schemas.microsoft.com/office/drawing/2014/chart" uri="{C3380CC4-5D6E-409C-BE32-E72D297353CC}">
              <c16:uniqueId val="{00000001-46DB-40E6-8CF1-A87DB59AF8FF}"/>
            </c:ext>
          </c:extLst>
        </c:ser>
        <c:dLbls>
          <c:showLegendKey val="0"/>
          <c:showVal val="0"/>
          <c:showCatName val="0"/>
          <c:showSerName val="0"/>
          <c:showPercent val="0"/>
          <c:showBubbleSize val="0"/>
        </c:dLbls>
        <c:gapWidth val="150"/>
        <c:overlap val="100"/>
        <c:axId val="612019200"/>
        <c:axId val="1"/>
      </c:barChart>
      <c:lineChart>
        <c:grouping val="standard"/>
        <c:varyColors val="0"/>
        <c:ser>
          <c:idx val="0"/>
          <c:order val="1"/>
          <c:tx>
            <c:strRef>
              <c:f>Sheet1!$A$3</c:f>
              <c:strCache>
                <c:ptCount val="1"/>
                <c:pt idx="0">
                  <c:v>Ծառայությունների հաշվեկշիռ</c:v>
                </c:pt>
              </c:strCache>
            </c:strRef>
          </c:tx>
          <c:spPr>
            <a:ln w="28566" cap="rnd">
              <a:solidFill>
                <a:schemeClr val="accent1"/>
              </a:solidFill>
              <a:round/>
            </a:ln>
            <a:effectLst/>
          </c:spPr>
          <c:marker>
            <c:symbol val="circle"/>
            <c:size val="4"/>
            <c:spPr>
              <a:solidFill>
                <a:schemeClr val="accent1"/>
              </a:solidFill>
              <a:ln w="9522">
                <a:solidFill>
                  <a:schemeClr val="accent1"/>
                </a:solidFill>
              </a:ln>
              <a:effectLst/>
            </c:spPr>
          </c:marker>
          <c:dLbls>
            <c:spPr>
              <a:noFill/>
              <a:ln w="25392">
                <a:noFill/>
              </a:ln>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Sheet1!$B$1:$G$1</c:f>
              <c:numCache>
                <c:formatCode>General</c:formatCode>
                <c:ptCount val="6"/>
                <c:pt idx="0">
                  <c:v>2019</c:v>
                </c:pt>
                <c:pt idx="1">
                  <c:v>2020</c:v>
                </c:pt>
                <c:pt idx="2">
                  <c:v>2021</c:v>
                </c:pt>
                <c:pt idx="3">
                  <c:v>2022</c:v>
                </c:pt>
                <c:pt idx="4">
                  <c:v>2023</c:v>
                </c:pt>
                <c:pt idx="5">
                  <c:v>2024</c:v>
                </c:pt>
              </c:numCache>
            </c:numRef>
          </c:cat>
          <c:val>
            <c:numRef>
              <c:f>Sheet1!$B$3:$G$3</c:f>
              <c:numCache>
                <c:formatCode>0.0</c:formatCode>
                <c:ptCount val="6"/>
                <c:pt idx="0">
                  <c:v>-86.876796627369913</c:v>
                </c:pt>
                <c:pt idx="1">
                  <c:v>118.04725989688734</c:v>
                </c:pt>
                <c:pt idx="2">
                  <c:v>396.90663980522777</c:v>
                </c:pt>
                <c:pt idx="3">
                  <c:v>1711.0385052364513</c:v>
                </c:pt>
                <c:pt idx="4">
                  <c:v>2203.8229078117292</c:v>
                </c:pt>
                <c:pt idx="5">
                  <c:v>2429.7941187064707</c:v>
                </c:pt>
              </c:numCache>
            </c:numRef>
          </c:val>
          <c:smooth val="0"/>
          <c:extLst>
            <c:ext xmlns:c16="http://schemas.microsoft.com/office/drawing/2014/chart" uri="{C3380CC4-5D6E-409C-BE32-E72D297353CC}">
              <c16:uniqueId val="{00000002-46DB-40E6-8CF1-A87DB59AF8FF}"/>
            </c:ext>
          </c:extLst>
        </c:ser>
        <c:dLbls>
          <c:showLegendKey val="0"/>
          <c:showVal val="0"/>
          <c:showCatName val="0"/>
          <c:showSerName val="0"/>
          <c:showPercent val="0"/>
          <c:showBubbleSize val="0"/>
        </c:dLbls>
        <c:marker val="1"/>
        <c:smooth val="0"/>
        <c:axId val="612019200"/>
        <c:axId val="1"/>
      </c:lineChart>
      <c:catAx>
        <c:axId val="612019200"/>
        <c:scaling>
          <c:orientation val="minMax"/>
        </c:scaling>
        <c:delete val="0"/>
        <c:axPos val="b"/>
        <c:numFmt formatCode="General" sourceLinked="1"/>
        <c:majorTickMark val="none"/>
        <c:minorTickMark val="none"/>
        <c:tickLblPos val="low"/>
        <c:spPr>
          <a:noFill/>
          <a:ln w="9522"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100"/>
        <c:noMultiLvlLbl val="0"/>
      </c:catAx>
      <c:valAx>
        <c:axId val="1"/>
        <c:scaling>
          <c:orientation val="minMax"/>
          <c:max val="8000"/>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9522">
            <a:noFill/>
          </a:ln>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9200"/>
        <c:crosses val="autoZero"/>
        <c:crossBetween val="between"/>
      </c:valAx>
      <c:spPr>
        <a:noFill/>
        <a:ln w="25392">
          <a:noFill/>
        </a:ln>
      </c:spPr>
    </c:plotArea>
    <c:legend>
      <c:legendPos val="b"/>
      <c:layout>
        <c:manualLayout>
          <c:xMode val="edge"/>
          <c:yMode val="edge"/>
          <c:x val="2.6643914092781745E-2"/>
          <c:y val="0.78998287185932747"/>
          <c:w val="0.93878777536708835"/>
          <c:h val="0.17414266878612006"/>
        </c:manualLayout>
      </c:layout>
      <c:overlay val="0"/>
      <c:spPr>
        <a:noFill/>
        <a:ln w="2539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06870088154332E-2"/>
          <c:y val="5.2830294608895816E-2"/>
          <c:w val="0.86605542312949757"/>
          <c:h val="0.56034061083273679"/>
        </c:manualLayout>
      </c:layout>
      <c:barChart>
        <c:barDir val="col"/>
        <c:grouping val="stacked"/>
        <c:varyColors val="0"/>
        <c:ser>
          <c:idx val="1"/>
          <c:order val="0"/>
          <c:tx>
            <c:strRef>
              <c:f>Sheet1!$A$2</c:f>
              <c:strCache>
                <c:ptCount val="1"/>
                <c:pt idx="0">
                  <c:v>Արտահանում</c:v>
                </c:pt>
              </c:strCache>
            </c:strRef>
          </c:tx>
          <c:spPr>
            <a:solidFill>
              <a:srgbClr val="1F497D"/>
            </a:solidFill>
            <a:ln w="25392">
              <a:noFill/>
            </a:ln>
          </c:spPr>
          <c:invertIfNegative val="0"/>
          <c:cat>
            <c:numRef>
              <c:f>Sheet1!$B$1:$G$1</c:f>
              <c:numCache>
                <c:formatCode>General</c:formatCode>
                <c:ptCount val="6"/>
                <c:pt idx="0">
                  <c:v>2019</c:v>
                </c:pt>
                <c:pt idx="1">
                  <c:v>2020</c:v>
                </c:pt>
                <c:pt idx="2">
                  <c:v>2021</c:v>
                </c:pt>
                <c:pt idx="3">
                  <c:v>2022</c:v>
                </c:pt>
                <c:pt idx="4">
                  <c:v>2023</c:v>
                </c:pt>
                <c:pt idx="5">
                  <c:v>2024</c:v>
                </c:pt>
              </c:numCache>
            </c:numRef>
          </c:cat>
          <c:val>
            <c:numRef>
              <c:f>Sheet1!$B$2:$G$2</c:f>
              <c:numCache>
                <c:formatCode>0</c:formatCode>
                <c:ptCount val="6"/>
                <c:pt idx="0">
                  <c:v>3360.7164789775707</c:v>
                </c:pt>
                <c:pt idx="1">
                  <c:v>2718.8484999455832</c:v>
                </c:pt>
                <c:pt idx="2">
                  <c:v>3276.6246861539385</c:v>
                </c:pt>
                <c:pt idx="3">
                  <c:v>5717.869650665647</c:v>
                </c:pt>
                <c:pt idx="4">
                  <c:v>7147.3370633320592</c:v>
                </c:pt>
                <c:pt idx="5">
                  <c:v>7597.6192983219789</c:v>
                </c:pt>
              </c:numCache>
            </c:numRef>
          </c:val>
          <c:extLst>
            <c:ext xmlns:c16="http://schemas.microsoft.com/office/drawing/2014/chart" uri="{C3380CC4-5D6E-409C-BE32-E72D297353CC}">
              <c16:uniqueId val="{00000000-ED46-4E1E-9BF5-EB046EB3F938}"/>
            </c:ext>
          </c:extLst>
        </c:ser>
        <c:ser>
          <c:idx val="2"/>
          <c:order val="2"/>
          <c:tx>
            <c:strRef>
              <c:f>Sheet1!$A$4</c:f>
              <c:strCache>
                <c:ptCount val="1"/>
                <c:pt idx="0">
                  <c:v>Ներմուծում</c:v>
                </c:pt>
              </c:strCache>
            </c:strRef>
          </c:tx>
          <c:spPr>
            <a:solidFill>
              <a:schemeClr val="accent1">
                <a:lumMod val="60000"/>
                <a:lumOff val="40000"/>
              </a:schemeClr>
            </a:solidFill>
            <a:ln>
              <a:noFill/>
            </a:ln>
            <a:effectLst/>
          </c:spPr>
          <c:invertIfNegative val="0"/>
          <c:cat>
            <c:numRef>
              <c:f>Sheet1!$B$1:$G$1</c:f>
              <c:numCache>
                <c:formatCode>General</c:formatCode>
                <c:ptCount val="6"/>
                <c:pt idx="0">
                  <c:v>2019</c:v>
                </c:pt>
                <c:pt idx="1">
                  <c:v>2020</c:v>
                </c:pt>
                <c:pt idx="2">
                  <c:v>2021</c:v>
                </c:pt>
                <c:pt idx="3">
                  <c:v>2022</c:v>
                </c:pt>
                <c:pt idx="4">
                  <c:v>2023</c:v>
                </c:pt>
                <c:pt idx="5">
                  <c:v>2024</c:v>
                </c:pt>
              </c:numCache>
            </c:numRef>
          </c:cat>
          <c:val>
            <c:numRef>
              <c:f>Sheet1!$B$4:$G$4</c:f>
              <c:numCache>
                <c:formatCode>0</c:formatCode>
                <c:ptCount val="6"/>
                <c:pt idx="0">
                  <c:v>-5082.8234412135489</c:v>
                </c:pt>
                <c:pt idx="1">
                  <c:v>-4101.0019728661173</c:v>
                </c:pt>
                <c:pt idx="2">
                  <c:v>-4781.3937392531243</c:v>
                </c:pt>
                <c:pt idx="3">
                  <c:v>-7577.1103204685287</c:v>
                </c:pt>
                <c:pt idx="4">
                  <c:v>-9888.1289682114293</c:v>
                </c:pt>
                <c:pt idx="5">
                  <c:v>-10659.4030277319</c:v>
                </c:pt>
              </c:numCache>
            </c:numRef>
          </c:val>
          <c:extLst>
            <c:ext xmlns:c16="http://schemas.microsoft.com/office/drawing/2014/chart" uri="{C3380CC4-5D6E-409C-BE32-E72D297353CC}">
              <c16:uniqueId val="{00000001-ED46-4E1E-9BF5-EB046EB3F938}"/>
            </c:ext>
          </c:extLst>
        </c:ser>
        <c:dLbls>
          <c:showLegendKey val="0"/>
          <c:showVal val="0"/>
          <c:showCatName val="0"/>
          <c:showSerName val="0"/>
          <c:showPercent val="0"/>
          <c:showBubbleSize val="0"/>
        </c:dLbls>
        <c:gapWidth val="150"/>
        <c:overlap val="100"/>
        <c:axId val="612018784"/>
        <c:axId val="1"/>
      </c:barChart>
      <c:lineChart>
        <c:grouping val="standard"/>
        <c:varyColors val="0"/>
        <c:ser>
          <c:idx val="0"/>
          <c:order val="1"/>
          <c:tx>
            <c:strRef>
              <c:f>Sheet1!$A$3</c:f>
              <c:strCache>
                <c:ptCount val="1"/>
                <c:pt idx="0">
                  <c:v>Առևտրային հաշվեկշիռ</c:v>
                </c:pt>
              </c:strCache>
            </c:strRef>
          </c:tx>
          <c:spPr>
            <a:ln w="28566" cap="rnd">
              <a:solidFill>
                <a:schemeClr val="accent1"/>
              </a:solidFill>
              <a:round/>
            </a:ln>
            <a:effectLst/>
          </c:spPr>
          <c:marker>
            <c:symbol val="circle"/>
            <c:size val="4"/>
            <c:spPr>
              <a:solidFill>
                <a:schemeClr val="accent1"/>
              </a:solidFill>
              <a:ln w="9522">
                <a:solidFill>
                  <a:schemeClr val="accent1"/>
                </a:solidFill>
              </a:ln>
              <a:effectLst/>
            </c:spPr>
          </c:marker>
          <c:dLbls>
            <c:spPr>
              <a:noFill/>
              <a:ln w="25392">
                <a:noFill/>
              </a:ln>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Sheet1!$B$1:$G$1</c:f>
              <c:numCache>
                <c:formatCode>General</c:formatCode>
                <c:ptCount val="6"/>
                <c:pt idx="0">
                  <c:v>2019</c:v>
                </c:pt>
                <c:pt idx="1">
                  <c:v>2020</c:v>
                </c:pt>
                <c:pt idx="2">
                  <c:v>2021</c:v>
                </c:pt>
                <c:pt idx="3">
                  <c:v>2022</c:v>
                </c:pt>
                <c:pt idx="4">
                  <c:v>2023</c:v>
                </c:pt>
                <c:pt idx="5">
                  <c:v>2024</c:v>
                </c:pt>
              </c:numCache>
            </c:numRef>
          </c:cat>
          <c:val>
            <c:numRef>
              <c:f>Sheet1!$B$3:$G$3</c:f>
              <c:numCache>
                <c:formatCode>0</c:formatCode>
                <c:ptCount val="6"/>
                <c:pt idx="0">
                  <c:v>-1722.1069622359782</c:v>
                </c:pt>
                <c:pt idx="1">
                  <c:v>-1382.1534729205341</c:v>
                </c:pt>
                <c:pt idx="2">
                  <c:v>-1504.7690530991858</c:v>
                </c:pt>
                <c:pt idx="3">
                  <c:v>-1859.2406698028817</c:v>
                </c:pt>
                <c:pt idx="4">
                  <c:v>-2740.7919048793701</c:v>
                </c:pt>
                <c:pt idx="5">
                  <c:v>-3061.7837294099209</c:v>
                </c:pt>
              </c:numCache>
            </c:numRef>
          </c:val>
          <c:smooth val="0"/>
          <c:extLst>
            <c:ext xmlns:c16="http://schemas.microsoft.com/office/drawing/2014/chart" uri="{C3380CC4-5D6E-409C-BE32-E72D297353CC}">
              <c16:uniqueId val="{00000002-ED46-4E1E-9BF5-EB046EB3F938}"/>
            </c:ext>
          </c:extLst>
        </c:ser>
        <c:dLbls>
          <c:showLegendKey val="0"/>
          <c:showVal val="0"/>
          <c:showCatName val="0"/>
          <c:showSerName val="0"/>
          <c:showPercent val="0"/>
          <c:showBubbleSize val="0"/>
        </c:dLbls>
        <c:marker val="1"/>
        <c:smooth val="0"/>
        <c:axId val="612018784"/>
        <c:axId val="1"/>
      </c:lineChart>
      <c:catAx>
        <c:axId val="612018784"/>
        <c:scaling>
          <c:orientation val="minMax"/>
        </c:scaling>
        <c:delete val="0"/>
        <c:axPos val="b"/>
        <c:numFmt formatCode="General" sourceLinked="1"/>
        <c:majorTickMark val="none"/>
        <c:minorTickMark val="none"/>
        <c:tickLblPos val="low"/>
        <c:spPr>
          <a:noFill/>
          <a:ln w="9522"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100"/>
        <c:noMultiLvlLbl val="0"/>
      </c:catAx>
      <c:valAx>
        <c:axId val="1"/>
        <c:scaling>
          <c:orientation val="minMax"/>
        </c:scaling>
        <c:delete val="0"/>
        <c:axPos val="l"/>
        <c:majorGridlines>
          <c:spPr>
            <a:ln w="9522" cap="flat" cmpd="sng" algn="ctr">
              <a:solidFill>
                <a:schemeClr val="tx1">
                  <a:lumMod val="15000"/>
                  <a:lumOff val="85000"/>
                </a:schemeClr>
              </a:solidFill>
              <a:round/>
            </a:ln>
            <a:effectLst/>
          </c:spPr>
        </c:majorGridlines>
        <c:numFmt formatCode="0" sourceLinked="1"/>
        <c:majorTickMark val="none"/>
        <c:minorTickMark val="none"/>
        <c:tickLblPos val="nextTo"/>
        <c:spPr>
          <a:ln w="9522">
            <a:noFill/>
          </a:ln>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784"/>
        <c:crosses val="autoZero"/>
        <c:crossBetween val="between"/>
      </c:valAx>
      <c:spPr>
        <a:noFill/>
        <a:ln w="25392">
          <a:noFill/>
        </a:ln>
      </c:spPr>
    </c:plotArea>
    <c:legend>
      <c:legendPos val="b"/>
      <c:layout>
        <c:manualLayout>
          <c:xMode val="edge"/>
          <c:yMode val="edge"/>
          <c:x val="2.4415891338268408E-2"/>
          <c:y val="0.80762262671711493"/>
          <c:w val="0.95923456584490496"/>
          <c:h val="0.17773587960595835"/>
        </c:manualLayout>
      </c:layout>
      <c:overlay val="0"/>
      <c:spPr>
        <a:noFill/>
        <a:ln w="2539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06870088154332E-2"/>
          <c:y val="5.2830294608895816E-2"/>
          <c:w val="0.86605542312949757"/>
          <c:h val="0.64150943396226412"/>
        </c:manualLayout>
      </c:layout>
      <c:barChart>
        <c:barDir val="col"/>
        <c:grouping val="stacked"/>
        <c:varyColors val="0"/>
        <c:ser>
          <c:idx val="1"/>
          <c:order val="0"/>
          <c:tx>
            <c:strRef>
              <c:f>Sheet1!$A$2</c:f>
              <c:strCache>
                <c:ptCount val="1"/>
                <c:pt idx="0">
                  <c:v>Տրանսֆերտներ</c:v>
                </c:pt>
              </c:strCache>
            </c:strRef>
          </c:tx>
          <c:spPr>
            <a:solidFill>
              <a:srgbClr val="1F497D"/>
            </a:solidFill>
            <a:ln w="25379">
              <a:noFill/>
            </a:ln>
          </c:spPr>
          <c:invertIfNegative val="0"/>
          <c:cat>
            <c:numRef>
              <c:f>Sheet1!$B$1:$G$1</c:f>
              <c:numCache>
                <c:formatCode>General</c:formatCode>
                <c:ptCount val="6"/>
                <c:pt idx="0">
                  <c:v>2019</c:v>
                </c:pt>
                <c:pt idx="1">
                  <c:v>2020</c:v>
                </c:pt>
                <c:pt idx="2">
                  <c:v>2021</c:v>
                </c:pt>
                <c:pt idx="3">
                  <c:v>2022</c:v>
                </c:pt>
                <c:pt idx="4">
                  <c:v>2023</c:v>
                </c:pt>
                <c:pt idx="5">
                  <c:v>2024</c:v>
                </c:pt>
              </c:numCache>
            </c:numRef>
          </c:cat>
          <c:val>
            <c:numRef>
              <c:f>Sheet1!$B$2:$G$2</c:f>
              <c:numCache>
                <c:formatCode>0.0</c:formatCode>
                <c:ptCount val="6"/>
                <c:pt idx="0">
                  <c:v>517.70303101684067</c:v>
                </c:pt>
                <c:pt idx="1">
                  <c:v>785.74527935314973</c:v>
                </c:pt>
                <c:pt idx="2">
                  <c:v>954.48578574101248</c:v>
                </c:pt>
                <c:pt idx="3">
                  <c:v>1218.8690739532603</c:v>
                </c:pt>
                <c:pt idx="4">
                  <c:v>969.00091379284197</c:v>
                </c:pt>
                <c:pt idx="5">
                  <c:v>1006.7919494307628</c:v>
                </c:pt>
              </c:numCache>
            </c:numRef>
          </c:val>
          <c:extLst>
            <c:ext xmlns:c16="http://schemas.microsoft.com/office/drawing/2014/chart" uri="{C3380CC4-5D6E-409C-BE32-E72D297353CC}">
              <c16:uniqueId val="{00000000-A598-4531-AC29-D9B740EE1D81}"/>
            </c:ext>
          </c:extLst>
        </c:ser>
        <c:ser>
          <c:idx val="2"/>
          <c:order val="2"/>
          <c:tx>
            <c:strRef>
              <c:f>Sheet1!$A$4</c:f>
              <c:strCache>
                <c:ptCount val="1"/>
                <c:pt idx="0">
                  <c:v>Աշխատողների վարձատրություն</c:v>
                </c:pt>
              </c:strCache>
            </c:strRef>
          </c:tx>
          <c:spPr>
            <a:solidFill>
              <a:schemeClr val="accent1">
                <a:lumMod val="60000"/>
                <a:lumOff val="40000"/>
              </a:schemeClr>
            </a:solidFill>
            <a:ln>
              <a:noFill/>
            </a:ln>
            <a:effectLst/>
          </c:spPr>
          <c:invertIfNegative val="0"/>
          <c:cat>
            <c:numRef>
              <c:f>Sheet1!$B$1:$G$1</c:f>
              <c:numCache>
                <c:formatCode>General</c:formatCode>
                <c:ptCount val="6"/>
                <c:pt idx="0">
                  <c:v>2019</c:v>
                </c:pt>
                <c:pt idx="1">
                  <c:v>2020</c:v>
                </c:pt>
                <c:pt idx="2">
                  <c:v>2021</c:v>
                </c:pt>
                <c:pt idx="3">
                  <c:v>2022</c:v>
                </c:pt>
                <c:pt idx="4">
                  <c:v>2023</c:v>
                </c:pt>
                <c:pt idx="5">
                  <c:v>2024</c:v>
                </c:pt>
              </c:numCache>
            </c:numRef>
          </c:cat>
          <c:val>
            <c:numRef>
              <c:f>Sheet1!$B$4:$G$4</c:f>
              <c:numCache>
                <c:formatCode>0.0</c:formatCode>
                <c:ptCount val="6"/>
                <c:pt idx="0">
                  <c:v>675.4015659288516</c:v>
                </c:pt>
                <c:pt idx="1">
                  <c:v>286.39074659269698</c:v>
                </c:pt>
                <c:pt idx="2">
                  <c:v>319.53352658197639</c:v>
                </c:pt>
                <c:pt idx="3">
                  <c:v>319.43854999852084</c:v>
                </c:pt>
                <c:pt idx="4">
                  <c:v>253.95364724882407</c:v>
                </c:pt>
                <c:pt idx="5">
                  <c:v>263.85783949152818</c:v>
                </c:pt>
              </c:numCache>
            </c:numRef>
          </c:val>
          <c:extLst>
            <c:ext xmlns:c16="http://schemas.microsoft.com/office/drawing/2014/chart" uri="{C3380CC4-5D6E-409C-BE32-E72D297353CC}">
              <c16:uniqueId val="{00000001-A598-4531-AC29-D9B740EE1D81}"/>
            </c:ext>
          </c:extLst>
        </c:ser>
        <c:dLbls>
          <c:showLegendKey val="0"/>
          <c:showVal val="0"/>
          <c:showCatName val="0"/>
          <c:showSerName val="0"/>
          <c:showPercent val="0"/>
          <c:showBubbleSize val="0"/>
        </c:dLbls>
        <c:gapWidth val="150"/>
        <c:overlap val="100"/>
        <c:axId val="612018368"/>
        <c:axId val="1"/>
      </c:barChart>
      <c:lineChart>
        <c:grouping val="standard"/>
        <c:varyColors val="0"/>
        <c:ser>
          <c:idx val="0"/>
          <c:order val="1"/>
          <c:tx>
            <c:strRef>
              <c:f>Sheet1!$A$3</c:f>
              <c:strCache>
                <c:ptCount val="1"/>
                <c:pt idx="0">
                  <c:v>Դրամական փոխանցումներ</c:v>
                </c:pt>
              </c:strCache>
            </c:strRef>
          </c:tx>
          <c:spPr>
            <a:ln w="28552" cap="rnd">
              <a:solidFill>
                <a:schemeClr val="accent1"/>
              </a:solidFill>
              <a:round/>
            </a:ln>
            <a:effectLst/>
          </c:spPr>
          <c:marker>
            <c:symbol val="circle"/>
            <c:size val="4"/>
            <c:spPr>
              <a:solidFill>
                <a:schemeClr val="accent1"/>
              </a:solidFill>
              <a:ln w="9517">
                <a:solidFill>
                  <a:schemeClr val="accent1"/>
                </a:solidFill>
              </a:ln>
              <a:effectLst/>
            </c:spPr>
          </c:marker>
          <c:dLbls>
            <c:spPr>
              <a:noFill/>
              <a:ln w="25379">
                <a:noFill/>
              </a:ln>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Sheet1!$B$1:$G$1</c:f>
              <c:numCache>
                <c:formatCode>General</c:formatCode>
                <c:ptCount val="6"/>
                <c:pt idx="0">
                  <c:v>2019</c:v>
                </c:pt>
                <c:pt idx="1">
                  <c:v>2020</c:v>
                </c:pt>
                <c:pt idx="2">
                  <c:v>2021</c:v>
                </c:pt>
                <c:pt idx="3">
                  <c:v>2022</c:v>
                </c:pt>
                <c:pt idx="4">
                  <c:v>2023</c:v>
                </c:pt>
                <c:pt idx="5">
                  <c:v>2024</c:v>
                </c:pt>
              </c:numCache>
            </c:numRef>
          </c:cat>
          <c:val>
            <c:numRef>
              <c:f>Sheet1!$B$3:$G$3</c:f>
              <c:numCache>
                <c:formatCode>0.0</c:formatCode>
                <c:ptCount val="6"/>
                <c:pt idx="0">
                  <c:v>1193.1045969456923</c:v>
                </c:pt>
                <c:pt idx="1">
                  <c:v>1072.1360259458468</c:v>
                </c:pt>
                <c:pt idx="2">
                  <c:v>1274.0193123229888</c:v>
                </c:pt>
                <c:pt idx="3">
                  <c:v>1538.3076239517811</c:v>
                </c:pt>
                <c:pt idx="4">
                  <c:v>1222.954561041666</c:v>
                </c:pt>
                <c:pt idx="5">
                  <c:v>1270.649788922291</c:v>
                </c:pt>
              </c:numCache>
            </c:numRef>
          </c:val>
          <c:smooth val="0"/>
          <c:extLst>
            <c:ext xmlns:c16="http://schemas.microsoft.com/office/drawing/2014/chart" uri="{C3380CC4-5D6E-409C-BE32-E72D297353CC}">
              <c16:uniqueId val="{00000002-A598-4531-AC29-D9B740EE1D81}"/>
            </c:ext>
          </c:extLst>
        </c:ser>
        <c:dLbls>
          <c:showLegendKey val="0"/>
          <c:showVal val="0"/>
          <c:showCatName val="0"/>
          <c:showSerName val="0"/>
          <c:showPercent val="0"/>
          <c:showBubbleSize val="0"/>
        </c:dLbls>
        <c:marker val="1"/>
        <c:smooth val="0"/>
        <c:axId val="612018368"/>
        <c:axId val="1"/>
      </c:lineChart>
      <c:catAx>
        <c:axId val="612018368"/>
        <c:scaling>
          <c:orientation val="minMax"/>
        </c:scaling>
        <c:delete val="0"/>
        <c:axPos val="b"/>
        <c:numFmt formatCode="General" sourceLinked="1"/>
        <c:majorTickMark val="none"/>
        <c:minorTickMark val="none"/>
        <c:tickLblPos val="low"/>
        <c:spPr>
          <a:noFill/>
          <a:ln w="9517" cap="flat" cmpd="sng" algn="ctr">
            <a:solidFill>
              <a:schemeClr val="tx1">
                <a:lumMod val="15000"/>
                <a:lumOff val="85000"/>
              </a:schemeClr>
            </a:solidFill>
            <a:round/>
          </a:ln>
          <a:effectLst/>
        </c:spPr>
        <c:txPr>
          <a:bodyPr rot="0" spcFirstLastPara="1" vertOverflow="ellipsis"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100"/>
        <c:noMultiLvlLbl val="0"/>
      </c:catAx>
      <c:valAx>
        <c:axId val="1"/>
        <c:scaling>
          <c:orientation val="minMax"/>
        </c:scaling>
        <c:delete val="0"/>
        <c:axPos val="l"/>
        <c:majorGridlines>
          <c:spPr>
            <a:ln w="9517" cap="flat" cmpd="sng" algn="ctr">
              <a:solidFill>
                <a:schemeClr val="tx1">
                  <a:lumMod val="15000"/>
                  <a:lumOff val="85000"/>
                </a:schemeClr>
              </a:solidFill>
              <a:round/>
            </a:ln>
            <a:effectLst/>
          </c:spPr>
        </c:majorGridlines>
        <c:numFmt formatCode="0.0" sourceLinked="1"/>
        <c:majorTickMark val="none"/>
        <c:minorTickMark val="none"/>
        <c:tickLblPos val="nextTo"/>
        <c:spPr>
          <a:ln w="9517">
            <a:noFill/>
          </a:ln>
        </c:spPr>
        <c:txPr>
          <a:bodyPr rot="0" spcFirstLastPara="1" vertOverflow="ellipsis"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368"/>
        <c:crosses val="autoZero"/>
        <c:crossBetween val="between"/>
      </c:valAx>
      <c:spPr>
        <a:noFill/>
        <a:ln w="25379">
          <a:noFill/>
        </a:ln>
      </c:spPr>
    </c:plotArea>
    <c:legend>
      <c:legendPos val="b"/>
      <c:layout>
        <c:manualLayout>
          <c:xMode val="edge"/>
          <c:yMode val="edge"/>
          <c:x val="8.2198548710822918E-3"/>
          <c:y val="0.79954388476560057"/>
          <c:w val="0.92742579004249859"/>
          <c:h val="0.18230192517801302"/>
        </c:manualLayout>
      </c:layout>
      <c:overlay val="0"/>
      <c:spPr>
        <a:noFill/>
        <a:ln w="25379">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38663563281004"/>
          <c:y val="4.912280701754386E-2"/>
          <c:w val="0.8114917710757853"/>
          <c:h val="0.49285734988647889"/>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1F497D"/>
              </a:solidFill>
              <a:round/>
            </a:ln>
            <a:effectLst/>
          </c:spPr>
          <c:marker>
            <c:symbol val="circle"/>
            <c:size val="5"/>
            <c:spPr>
              <a:solidFill>
                <a:srgbClr val="1F497D"/>
              </a:solidFill>
              <a:ln w="9525">
                <a:solidFill>
                  <a:srgbClr val="1F497D"/>
                </a:solidFill>
              </a:ln>
              <a:effectLst/>
            </c:spPr>
          </c:marker>
          <c:cat>
            <c:strRef>
              <c:f>Sheet1!$B$1:$H$1</c:f>
              <c:strCache>
                <c:ptCount val="7"/>
                <c:pt idx="0">
                  <c:v>2023-1</c:v>
                </c:pt>
                <c:pt idx="1">
                  <c:v>2023-2</c:v>
                </c:pt>
                <c:pt idx="2">
                  <c:v>2023-3</c:v>
                </c:pt>
                <c:pt idx="3">
                  <c:v>2023-4</c:v>
                </c:pt>
                <c:pt idx="4">
                  <c:v>2023-5</c:v>
                </c:pt>
                <c:pt idx="5">
                  <c:v>2023-6</c:v>
                </c:pt>
                <c:pt idx="6">
                  <c:v>2023-7</c:v>
                </c:pt>
              </c:strCache>
            </c:strRef>
          </c:cat>
          <c:val>
            <c:numRef>
              <c:f>Sheet1!$B$2:$H$2</c:f>
              <c:numCache>
                <c:formatCode>0.0</c:formatCode>
                <c:ptCount val="7"/>
                <c:pt idx="0">
                  <c:v>28.566194634441928</c:v>
                </c:pt>
                <c:pt idx="1">
                  <c:v>39.355577872041039</c:v>
                </c:pt>
                <c:pt idx="2">
                  <c:v>54.458687399181827</c:v>
                </c:pt>
                <c:pt idx="3">
                  <c:v>50.095783286050391</c:v>
                </c:pt>
                <c:pt idx="4">
                  <c:v>42.977371177495655</c:v>
                </c:pt>
                <c:pt idx="5">
                  <c:v>27.078459955828208</c:v>
                </c:pt>
                <c:pt idx="6">
                  <c:v>20.407073651411338</c:v>
                </c:pt>
              </c:numCache>
            </c:numRef>
          </c:val>
          <c:smooth val="0"/>
          <c:extLst>
            <c:ext xmlns:c16="http://schemas.microsoft.com/office/drawing/2014/chart" uri="{C3380CC4-5D6E-409C-BE32-E72D297353CC}">
              <c16:uniqueId val="{00000000-7EC4-4298-8D89-F87F95FE1A8A}"/>
            </c:ext>
          </c:extLst>
        </c:ser>
        <c:ser>
          <c:idx val="1"/>
          <c:order val="1"/>
          <c:tx>
            <c:strRef>
              <c:f>Sheet1!$A$3</c:f>
              <c:strCache>
                <c:ptCount val="1"/>
                <c:pt idx="0">
                  <c:v>Գնային փոփոխություն (կուտակային)</c:v>
                </c:pt>
              </c:strCache>
            </c:strRef>
          </c:tx>
          <c:spPr>
            <a:ln>
              <a:solidFill>
                <a:srgbClr val="ED7D31">
                  <a:lumMod val="60000"/>
                  <a:lumOff val="40000"/>
                </a:srgbClr>
              </a:solidFill>
            </a:ln>
          </c:spPr>
          <c:marker>
            <c:spPr>
              <a:solidFill>
                <a:srgbClr val="ED7D31">
                  <a:lumMod val="60000"/>
                  <a:lumOff val="40000"/>
                </a:srgbClr>
              </a:solidFill>
              <a:ln>
                <a:solidFill>
                  <a:srgbClr val="ED7D31">
                    <a:lumMod val="60000"/>
                    <a:lumOff val="40000"/>
                  </a:srgbClr>
                </a:solidFill>
              </a:ln>
            </c:spPr>
          </c:marker>
          <c:cat>
            <c:strRef>
              <c:f>Sheet1!$B$1:$H$1</c:f>
              <c:strCache>
                <c:ptCount val="7"/>
                <c:pt idx="0">
                  <c:v>2023-1</c:v>
                </c:pt>
                <c:pt idx="1">
                  <c:v>2023-2</c:v>
                </c:pt>
                <c:pt idx="2">
                  <c:v>2023-3</c:v>
                </c:pt>
                <c:pt idx="3">
                  <c:v>2023-4</c:v>
                </c:pt>
                <c:pt idx="4">
                  <c:v>2023-5</c:v>
                </c:pt>
                <c:pt idx="5">
                  <c:v>2023-6</c:v>
                </c:pt>
                <c:pt idx="6">
                  <c:v>2023-7</c:v>
                </c:pt>
              </c:strCache>
            </c:strRef>
          </c:cat>
          <c:val>
            <c:numRef>
              <c:f>Sheet1!$B$3:$H$3</c:f>
              <c:numCache>
                <c:formatCode>0.0</c:formatCode>
                <c:ptCount val="7"/>
                <c:pt idx="0">
                  <c:v>15.124913855037533</c:v>
                </c:pt>
                <c:pt idx="1">
                  <c:v>16.560156378290145</c:v>
                </c:pt>
                <c:pt idx="2">
                  <c:v>15.235523223326268</c:v>
                </c:pt>
                <c:pt idx="3">
                  <c:v>13.188480905953895</c:v>
                </c:pt>
                <c:pt idx="4">
                  <c:v>13.470134015238727</c:v>
                </c:pt>
                <c:pt idx="5">
                  <c:v>13.911436262129698</c:v>
                </c:pt>
                <c:pt idx="6">
                  <c:v>13.911401112630017</c:v>
                </c:pt>
              </c:numCache>
            </c:numRef>
          </c:val>
          <c:smooth val="0"/>
          <c:extLst>
            <c:ext xmlns:c16="http://schemas.microsoft.com/office/drawing/2014/chart" uri="{C3380CC4-5D6E-409C-BE32-E72D297353CC}">
              <c16:uniqueId val="{00000001-7EC4-4298-8D89-F87F95FE1A8A}"/>
            </c:ext>
          </c:extLst>
        </c:ser>
        <c:ser>
          <c:idx val="2"/>
          <c:order val="2"/>
          <c:tx>
            <c:strRef>
              <c:f>Sheet1!$A$4</c:f>
              <c:strCache>
                <c:ptCount val="1"/>
                <c:pt idx="0">
                  <c:v>Փոխարժեքի փոփոխություն (կուտակային)</c:v>
                </c:pt>
              </c:strCache>
            </c:strRef>
          </c:tx>
          <c:cat>
            <c:strRef>
              <c:f>Sheet1!$B$1:$H$1</c:f>
              <c:strCache>
                <c:ptCount val="7"/>
                <c:pt idx="0">
                  <c:v>2023-1</c:v>
                </c:pt>
                <c:pt idx="1">
                  <c:v>2023-2</c:v>
                </c:pt>
                <c:pt idx="2">
                  <c:v>2023-3</c:v>
                </c:pt>
                <c:pt idx="3">
                  <c:v>2023-4</c:v>
                </c:pt>
                <c:pt idx="4">
                  <c:v>2023-5</c:v>
                </c:pt>
                <c:pt idx="5">
                  <c:v>2023-6</c:v>
                </c:pt>
                <c:pt idx="6">
                  <c:v>2023-7</c:v>
                </c:pt>
              </c:strCache>
            </c:strRef>
          </c:cat>
          <c:val>
            <c:numRef>
              <c:f>Sheet1!$B$4:$H$4</c:f>
              <c:numCache>
                <c:formatCode>0.0</c:formatCode>
                <c:ptCount val="7"/>
                <c:pt idx="0">
                  <c:v>21.748465482836153</c:v>
                </c:pt>
                <c:pt idx="1">
                  <c:v>21.903108926444887</c:v>
                </c:pt>
                <c:pt idx="2">
                  <c:v>23.893256805175866</c:v>
                </c:pt>
                <c:pt idx="3">
                  <c:v>23.293218866574691</c:v>
                </c:pt>
                <c:pt idx="4">
                  <c:v>22.265480922913</c:v>
                </c:pt>
                <c:pt idx="5">
                  <c:v>20.124425440940684</c:v>
                </c:pt>
                <c:pt idx="6">
                  <c:v>18.168708651189448</c:v>
                </c:pt>
              </c:numCache>
            </c:numRef>
          </c:val>
          <c:smooth val="0"/>
          <c:extLst>
            <c:ext xmlns:c16="http://schemas.microsoft.com/office/drawing/2014/chart" uri="{C3380CC4-5D6E-409C-BE32-E72D297353CC}">
              <c16:uniqueId val="{00000002-7EC4-4298-8D89-F87F95FE1A8A}"/>
            </c:ext>
          </c:extLst>
        </c:ser>
        <c:dLbls>
          <c:showLegendKey val="0"/>
          <c:showVal val="0"/>
          <c:showCatName val="0"/>
          <c:showSerName val="0"/>
          <c:showPercent val="0"/>
          <c:showBubbleSize val="0"/>
        </c:dLbls>
        <c:marker val="1"/>
        <c:smooth val="0"/>
        <c:axId val="213832832"/>
        <c:axId val="213834752"/>
      </c:lineChart>
      <c:catAx>
        <c:axId val="2138328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3834752"/>
        <c:crosses val="autoZero"/>
        <c:auto val="1"/>
        <c:lblAlgn val="ctr"/>
        <c:lblOffset val="100"/>
        <c:noMultiLvlLbl val="0"/>
      </c:catAx>
      <c:valAx>
        <c:axId val="213834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3832832"/>
        <c:crosses val="autoZero"/>
        <c:crossBetween val="between"/>
      </c:valAx>
      <c:spPr>
        <a:noFill/>
        <a:ln>
          <a:noFill/>
        </a:ln>
        <a:effectLst/>
      </c:spPr>
    </c:plotArea>
    <c:legend>
      <c:legendPos val="b"/>
      <c:layout>
        <c:manualLayout>
          <c:xMode val="edge"/>
          <c:yMode val="edge"/>
          <c:x val="1.2903481404447125E-2"/>
          <c:y val="0.64146079899521757"/>
          <c:w val="0.9346329024096246"/>
          <c:h val="0.3585392010047823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7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1"/>
          <c:y val="7.7192982456140549E-2"/>
          <c:w val="0.85358700104683449"/>
          <c:h val="0.53218566100289999"/>
        </c:manualLayout>
      </c:layout>
      <c:lineChart>
        <c:grouping val="standard"/>
        <c:varyColors val="0"/>
        <c:ser>
          <c:idx val="0"/>
          <c:order val="0"/>
          <c:tx>
            <c:strRef>
              <c:f>Sheet1!$A$2</c:f>
              <c:strCache>
                <c:ptCount val="1"/>
                <c:pt idx="0">
                  <c:v>Անվանական 12 ամսյա փոփոխություն </c:v>
                </c:pt>
              </c:strCache>
            </c:strRef>
          </c:tx>
          <c:spPr>
            <a:ln w="28575" cap="rnd">
              <a:solidFill>
                <a:srgbClr val="1F497D"/>
              </a:solidFill>
              <a:round/>
            </a:ln>
            <a:effectLst/>
          </c:spPr>
          <c:marker>
            <c:symbol val="circle"/>
            <c:size val="5"/>
            <c:spPr>
              <a:solidFill>
                <a:srgbClr val="1F497D"/>
              </a:solidFill>
              <a:ln w="9525">
                <a:solidFill>
                  <a:srgbClr val="1F497D"/>
                </a:solidFill>
              </a:ln>
              <a:effectLst/>
            </c:spPr>
          </c:marker>
          <c:cat>
            <c:strRef>
              <c:f>Sheet1!$B$1:$H$1</c:f>
              <c:strCache>
                <c:ptCount val="7"/>
                <c:pt idx="0">
                  <c:v>2023-1</c:v>
                </c:pt>
                <c:pt idx="1">
                  <c:v>2023-2</c:v>
                </c:pt>
                <c:pt idx="2">
                  <c:v>2023-3</c:v>
                </c:pt>
                <c:pt idx="3">
                  <c:v>2023-4</c:v>
                </c:pt>
                <c:pt idx="4">
                  <c:v>2023-5</c:v>
                </c:pt>
                <c:pt idx="5">
                  <c:v>2023-6</c:v>
                </c:pt>
                <c:pt idx="6">
                  <c:v>2023-7</c:v>
                </c:pt>
              </c:strCache>
            </c:strRef>
          </c:cat>
          <c:val>
            <c:numRef>
              <c:f>Sheet1!$B$2:$H$2</c:f>
              <c:numCache>
                <c:formatCode>0.0</c:formatCode>
                <c:ptCount val="7"/>
                <c:pt idx="0">
                  <c:v>80.199999999999989</c:v>
                </c:pt>
                <c:pt idx="1">
                  <c:v>120</c:v>
                </c:pt>
                <c:pt idx="2">
                  <c:v>167</c:v>
                </c:pt>
                <c:pt idx="3">
                  <c:v>82.139999999999986</c:v>
                </c:pt>
                <c:pt idx="4">
                  <c:v>66.240000000000009</c:v>
                </c:pt>
                <c:pt idx="5">
                  <c:v>5</c:v>
                </c:pt>
                <c:pt idx="6">
                  <c:v>15.64</c:v>
                </c:pt>
              </c:numCache>
            </c:numRef>
          </c:val>
          <c:smooth val="0"/>
          <c:extLst>
            <c:ext xmlns:c16="http://schemas.microsoft.com/office/drawing/2014/chart" uri="{C3380CC4-5D6E-409C-BE32-E72D297353CC}">
              <c16:uniqueId val="{00000000-B1B7-447C-9B4F-AC1E58C05FDE}"/>
            </c:ext>
          </c:extLst>
        </c:ser>
        <c:ser>
          <c:idx val="1"/>
          <c:order val="1"/>
          <c:tx>
            <c:strRef>
              <c:f>Sheet1!$A$3</c:f>
              <c:strCache>
                <c:ptCount val="1"/>
                <c:pt idx="0">
                  <c:v>Անվանական կուտակային փոփոխություն</c:v>
                </c:pt>
              </c:strCache>
            </c:strRef>
          </c:tx>
          <c:spPr>
            <a:ln>
              <a:solidFill>
                <a:srgbClr val="ED7D31">
                  <a:lumMod val="60000"/>
                  <a:lumOff val="40000"/>
                </a:srgbClr>
              </a:solidFill>
            </a:ln>
          </c:spPr>
          <c:marker>
            <c:spPr>
              <a:solidFill>
                <a:srgbClr val="ED7D31">
                  <a:lumMod val="60000"/>
                  <a:lumOff val="40000"/>
                </a:srgbClr>
              </a:solidFill>
              <a:ln>
                <a:solidFill>
                  <a:srgbClr val="ED7D31">
                    <a:lumMod val="60000"/>
                    <a:lumOff val="40000"/>
                  </a:srgbClr>
                </a:solidFill>
              </a:ln>
            </c:spPr>
          </c:marker>
          <c:cat>
            <c:strRef>
              <c:f>Sheet1!$B$1:$H$1</c:f>
              <c:strCache>
                <c:ptCount val="7"/>
                <c:pt idx="0">
                  <c:v>2023-1</c:v>
                </c:pt>
                <c:pt idx="1">
                  <c:v>2023-2</c:v>
                </c:pt>
                <c:pt idx="2">
                  <c:v>2023-3</c:v>
                </c:pt>
                <c:pt idx="3">
                  <c:v>2023-4</c:v>
                </c:pt>
                <c:pt idx="4">
                  <c:v>2023-5</c:v>
                </c:pt>
                <c:pt idx="5">
                  <c:v>2023-6</c:v>
                </c:pt>
                <c:pt idx="6">
                  <c:v>2023-7</c:v>
                </c:pt>
              </c:strCache>
            </c:strRef>
          </c:cat>
          <c:val>
            <c:numRef>
              <c:f>Sheet1!$B$3:$H$3</c:f>
              <c:numCache>
                <c:formatCode>0.0</c:formatCode>
                <c:ptCount val="7"/>
                <c:pt idx="0">
                  <c:v>80.199999999999989</c:v>
                </c:pt>
                <c:pt idx="1">
                  <c:v>100.25465972157784</c:v>
                </c:pt>
                <c:pt idx="2">
                  <c:v>121.31492257843965</c:v>
                </c:pt>
                <c:pt idx="3">
                  <c:v>110.04175419470155</c:v>
                </c:pt>
                <c:pt idx="4">
                  <c:v>98.785957183398295</c:v>
                </c:pt>
                <c:pt idx="5">
                  <c:v>73.856307695660831</c:v>
                </c:pt>
                <c:pt idx="6">
                  <c:v>62.055147325395069</c:v>
                </c:pt>
              </c:numCache>
            </c:numRef>
          </c:val>
          <c:smooth val="0"/>
          <c:extLst>
            <c:ext xmlns:c16="http://schemas.microsoft.com/office/drawing/2014/chart" uri="{C3380CC4-5D6E-409C-BE32-E72D297353CC}">
              <c16:uniqueId val="{00000001-B1B7-447C-9B4F-AC1E58C05FDE}"/>
            </c:ext>
          </c:extLst>
        </c:ser>
        <c:dLbls>
          <c:showLegendKey val="0"/>
          <c:showVal val="0"/>
          <c:showCatName val="0"/>
          <c:showSerName val="0"/>
          <c:showPercent val="0"/>
          <c:showBubbleSize val="0"/>
        </c:dLbls>
        <c:marker val="1"/>
        <c:smooth val="0"/>
        <c:axId val="214255872"/>
        <c:axId val="214269952"/>
      </c:lineChart>
      <c:catAx>
        <c:axId val="2142558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4269952"/>
        <c:crosses val="autoZero"/>
        <c:auto val="1"/>
        <c:lblAlgn val="ctr"/>
        <c:lblOffset val="100"/>
        <c:noMultiLvlLbl val="0"/>
      </c:catAx>
      <c:valAx>
        <c:axId val="2142699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4255872"/>
        <c:crosses val="autoZero"/>
        <c:crossBetween val="between"/>
      </c:valAx>
      <c:spPr>
        <a:noFill/>
        <a:ln>
          <a:noFill/>
        </a:ln>
        <a:effectLst/>
      </c:spPr>
    </c:plotArea>
    <c:legend>
      <c:legendPos val="b"/>
      <c:layout>
        <c:manualLayout>
          <c:xMode val="edge"/>
          <c:yMode val="edge"/>
          <c:x val="1.7440690881381768E-2"/>
          <c:y val="0.73505069761016884"/>
          <c:w val="0.97802150537634414"/>
          <c:h val="0.2228440392319382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7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2018</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Sheet1!$B$2:$B$4</c:f>
            </c:numRef>
          </c:val>
          <c:extLst>
            <c:ext xmlns:c16="http://schemas.microsoft.com/office/drawing/2014/chart" uri="{C3380CC4-5D6E-409C-BE32-E72D297353CC}">
              <c16:uniqueId val="{00000000-41BD-434B-9DB0-0279B33CDE06}"/>
            </c:ext>
          </c:extLst>
        </c:ser>
        <c:ser>
          <c:idx val="1"/>
          <c:order val="1"/>
          <c:tx>
            <c:strRef>
              <c:f>Sheet1!$C$1</c:f>
              <c:strCache>
                <c:ptCount val="1"/>
                <c:pt idx="0">
                  <c:v>2019</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Sheet1!$C$2:$C$4</c:f>
              <c:numCache>
                <c:formatCode>0</c:formatCode>
                <c:ptCount val="3"/>
                <c:pt idx="0">
                  <c:v>770.05499999999995</c:v>
                </c:pt>
                <c:pt idx="1">
                  <c:v>182.50303500000001</c:v>
                </c:pt>
                <c:pt idx="2">
                  <c:v>587.55196499999988</c:v>
                </c:pt>
              </c:numCache>
            </c:numRef>
          </c:val>
          <c:extLst>
            <c:ext xmlns:c16="http://schemas.microsoft.com/office/drawing/2014/chart" uri="{C3380CC4-5D6E-409C-BE32-E72D297353CC}">
              <c16:uniqueId val="{00000001-41BD-434B-9DB0-0279B33CDE06}"/>
            </c:ext>
          </c:extLst>
        </c:ser>
        <c:ser>
          <c:idx val="2"/>
          <c:order val="2"/>
          <c:tx>
            <c:strRef>
              <c:f>Sheet1!$D$1</c:f>
              <c:strCache>
                <c:ptCount val="1"/>
                <c:pt idx="0">
                  <c:v>2020</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Sheet1!$D$2:$D$4</c:f>
              <c:numCache>
                <c:formatCode>0</c:formatCode>
                <c:ptCount val="3"/>
                <c:pt idx="0">
                  <c:v>307.58999999999997</c:v>
                </c:pt>
                <c:pt idx="1">
                  <c:v>121.093</c:v>
                </c:pt>
                <c:pt idx="2">
                  <c:v>186.49699999999996</c:v>
                </c:pt>
              </c:numCache>
            </c:numRef>
          </c:val>
          <c:extLst>
            <c:ext xmlns:c16="http://schemas.microsoft.com/office/drawing/2014/chart" uri="{C3380CC4-5D6E-409C-BE32-E72D297353CC}">
              <c16:uniqueId val="{00000002-41BD-434B-9DB0-0279B33CDE06}"/>
            </c:ext>
          </c:extLst>
        </c:ser>
        <c:ser>
          <c:idx val="3"/>
          <c:order val="3"/>
          <c:tx>
            <c:strRef>
              <c:f>Sheet1!$E$1</c:f>
              <c:strCache>
                <c:ptCount val="1"/>
                <c:pt idx="0">
                  <c:v>2021</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Sheet1!$E$2:$E$4</c:f>
              <c:numCache>
                <c:formatCode>0</c:formatCode>
                <c:ptCount val="3"/>
                <c:pt idx="0">
                  <c:v>243.07599999999999</c:v>
                </c:pt>
                <c:pt idx="1">
                  <c:v>95.03</c:v>
                </c:pt>
                <c:pt idx="2">
                  <c:v>148.04599999999999</c:v>
                </c:pt>
              </c:numCache>
            </c:numRef>
          </c:val>
          <c:extLst>
            <c:ext xmlns:c16="http://schemas.microsoft.com/office/drawing/2014/chart" uri="{C3380CC4-5D6E-409C-BE32-E72D297353CC}">
              <c16:uniqueId val="{00000003-41BD-434B-9DB0-0279B33CDE06}"/>
            </c:ext>
          </c:extLst>
        </c:ser>
        <c:ser>
          <c:idx val="4"/>
          <c:order val="4"/>
          <c:tx>
            <c:strRef>
              <c:f>Sheet1!$F$1</c:f>
              <c:strCache>
                <c:ptCount val="1"/>
                <c:pt idx="0">
                  <c:v>2022</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Sheet1!$F$2:$F$4</c:f>
              <c:numCache>
                <c:formatCode>0</c:formatCode>
                <c:ptCount val="3"/>
                <c:pt idx="0">
                  <c:v>588.73099999999999</c:v>
                </c:pt>
                <c:pt idx="1">
                  <c:v>251.035</c:v>
                </c:pt>
                <c:pt idx="2">
                  <c:v>337.69600000000003</c:v>
                </c:pt>
              </c:numCache>
            </c:numRef>
          </c:val>
          <c:extLst>
            <c:ext xmlns:c16="http://schemas.microsoft.com/office/drawing/2014/chart" uri="{C3380CC4-5D6E-409C-BE32-E72D297353CC}">
              <c16:uniqueId val="{00000004-41BD-434B-9DB0-0279B33CDE06}"/>
            </c:ext>
          </c:extLst>
        </c:ser>
        <c:ser>
          <c:idx val="5"/>
          <c:order val="5"/>
          <c:tx>
            <c:strRef>
              <c:f>Sheet1!$G$1</c:f>
              <c:strCache>
                <c:ptCount val="1"/>
                <c:pt idx="0">
                  <c:v>2023</c:v>
                </c:pt>
              </c:strCache>
            </c:strRef>
          </c:tx>
          <c:spPr>
            <a:solidFill>
              <a:srgbClr val="F796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Sheet1!$G$2:$G$4</c:f>
              <c:numCache>
                <c:formatCode>0</c:formatCode>
                <c:ptCount val="3"/>
                <c:pt idx="0">
                  <c:v>1002.878</c:v>
                </c:pt>
                <c:pt idx="1">
                  <c:v>518.02800000000002</c:v>
                </c:pt>
                <c:pt idx="2">
                  <c:v>484.85</c:v>
                </c:pt>
              </c:numCache>
            </c:numRef>
          </c:val>
          <c:extLst>
            <c:ext xmlns:c16="http://schemas.microsoft.com/office/drawing/2014/chart" uri="{C3380CC4-5D6E-409C-BE32-E72D297353CC}">
              <c16:uniqueId val="{00000005-41BD-434B-9DB0-0279B33CDE06}"/>
            </c:ext>
          </c:extLst>
        </c:ser>
        <c:dLbls>
          <c:dLblPos val="outEnd"/>
          <c:showLegendKey val="0"/>
          <c:showVal val="1"/>
          <c:showCatName val="0"/>
          <c:showSerName val="0"/>
          <c:showPercent val="0"/>
          <c:showBubbleSize val="0"/>
        </c:dLbls>
        <c:gapWidth val="219"/>
        <c:overlap val="-27"/>
        <c:axId val="679410424"/>
        <c:axId val="679415344"/>
      </c:barChart>
      <c:catAx>
        <c:axId val="67941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79415344"/>
        <c:crosses val="autoZero"/>
        <c:auto val="1"/>
        <c:lblAlgn val="ctr"/>
        <c:lblOffset val="100"/>
        <c:noMultiLvlLbl val="0"/>
      </c:catAx>
      <c:valAx>
        <c:axId val="679415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79410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21400231947778"/>
          <c:y val="6.636500754147813E-2"/>
          <c:w val="0.8241503387657938"/>
          <c:h val="0.65813850191802969"/>
        </c:manualLayout>
      </c:layout>
      <c:lineChart>
        <c:grouping val="standard"/>
        <c:varyColors val="0"/>
        <c:ser>
          <c:idx val="0"/>
          <c:order val="0"/>
          <c:tx>
            <c:strRef>
              <c:f>Sheet1!$A$2</c:f>
              <c:strCache>
                <c:ptCount val="1"/>
                <c:pt idx="0">
                  <c:v>Անվանական 12 ամսյա փոփոխություն</c:v>
                </c:pt>
              </c:strCache>
            </c:strRef>
          </c:tx>
          <c:spPr>
            <a:ln w="28575" cap="rnd">
              <a:solidFill>
                <a:srgbClr val="1F497D"/>
              </a:solidFill>
              <a:round/>
            </a:ln>
            <a:effectLst/>
          </c:spPr>
          <c:marker>
            <c:symbol val="circle"/>
            <c:size val="5"/>
            <c:spPr>
              <a:solidFill>
                <a:srgbClr val="1F497D"/>
              </a:solidFill>
              <a:ln w="9525">
                <a:solidFill>
                  <a:srgbClr val="1F497D"/>
                </a:solidFill>
              </a:ln>
              <a:effectLst/>
            </c:spPr>
          </c:marker>
          <c:cat>
            <c:strRef>
              <c:f>Sheet1!$B$1:$H$1</c:f>
              <c:strCache>
                <c:ptCount val="7"/>
                <c:pt idx="0">
                  <c:v>2023-1</c:v>
                </c:pt>
                <c:pt idx="1">
                  <c:v>2023-2</c:v>
                </c:pt>
                <c:pt idx="2">
                  <c:v>2023-3</c:v>
                </c:pt>
                <c:pt idx="3">
                  <c:v>2023-4</c:v>
                </c:pt>
                <c:pt idx="4">
                  <c:v>2023-5</c:v>
                </c:pt>
                <c:pt idx="5">
                  <c:v>2023-6</c:v>
                </c:pt>
                <c:pt idx="6">
                  <c:v>2023-7</c:v>
                </c:pt>
              </c:strCache>
            </c:strRef>
          </c:cat>
          <c:val>
            <c:numRef>
              <c:f>Sheet1!$B$2:$H$2</c:f>
              <c:numCache>
                <c:formatCode>0.0</c:formatCode>
                <c:ptCount val="7"/>
                <c:pt idx="0">
                  <c:v>77.5</c:v>
                </c:pt>
                <c:pt idx="1">
                  <c:v>70.800000000000011</c:v>
                </c:pt>
                <c:pt idx="2">
                  <c:v>147</c:v>
                </c:pt>
                <c:pt idx="3">
                  <c:v>85.5</c:v>
                </c:pt>
                <c:pt idx="4">
                  <c:v>55</c:v>
                </c:pt>
                <c:pt idx="5">
                  <c:v>33.740000000000009</c:v>
                </c:pt>
                <c:pt idx="6">
                  <c:v>19.700000000000003</c:v>
                </c:pt>
              </c:numCache>
            </c:numRef>
          </c:val>
          <c:smooth val="0"/>
          <c:extLst>
            <c:ext xmlns:c16="http://schemas.microsoft.com/office/drawing/2014/chart" uri="{C3380CC4-5D6E-409C-BE32-E72D297353CC}">
              <c16:uniqueId val="{00000000-5161-4C97-9AFD-85CE56C4C558}"/>
            </c:ext>
          </c:extLst>
        </c:ser>
        <c:ser>
          <c:idx val="1"/>
          <c:order val="1"/>
          <c:tx>
            <c:strRef>
              <c:f>Sheet1!$A$3</c:f>
              <c:strCache>
                <c:ptCount val="1"/>
                <c:pt idx="0">
                  <c:v>Անվանական կուտակային փոփոխություն</c:v>
                </c:pt>
              </c:strCache>
            </c:strRef>
          </c:tx>
          <c:spPr>
            <a:ln>
              <a:solidFill>
                <a:srgbClr val="ED7D31">
                  <a:lumMod val="60000"/>
                  <a:lumOff val="40000"/>
                </a:srgbClr>
              </a:solidFill>
            </a:ln>
          </c:spPr>
          <c:marker>
            <c:spPr>
              <a:solidFill>
                <a:srgbClr val="ED7D31">
                  <a:lumMod val="60000"/>
                  <a:lumOff val="40000"/>
                </a:srgbClr>
              </a:solidFill>
              <a:ln>
                <a:solidFill>
                  <a:srgbClr val="ED7D31">
                    <a:lumMod val="60000"/>
                    <a:lumOff val="40000"/>
                  </a:srgbClr>
                </a:solidFill>
              </a:ln>
            </c:spPr>
          </c:marker>
          <c:cat>
            <c:strRef>
              <c:f>Sheet1!$B$1:$H$1</c:f>
              <c:strCache>
                <c:ptCount val="7"/>
                <c:pt idx="0">
                  <c:v>2023-1</c:v>
                </c:pt>
                <c:pt idx="1">
                  <c:v>2023-2</c:v>
                </c:pt>
                <c:pt idx="2">
                  <c:v>2023-3</c:v>
                </c:pt>
                <c:pt idx="3">
                  <c:v>2023-4</c:v>
                </c:pt>
                <c:pt idx="4">
                  <c:v>2023-5</c:v>
                </c:pt>
                <c:pt idx="5">
                  <c:v>2023-6</c:v>
                </c:pt>
                <c:pt idx="6">
                  <c:v>2023-7</c:v>
                </c:pt>
              </c:strCache>
            </c:strRef>
          </c:cat>
          <c:val>
            <c:numRef>
              <c:f>Sheet1!$B$3:$H$3</c:f>
              <c:numCache>
                <c:formatCode>0.0</c:formatCode>
                <c:ptCount val="7"/>
                <c:pt idx="0">
                  <c:v>77.5</c:v>
                </c:pt>
                <c:pt idx="1">
                  <c:v>73.878738222040141</c:v>
                </c:pt>
                <c:pt idx="2">
                  <c:v>97.808190133019167</c:v>
                </c:pt>
                <c:pt idx="3">
                  <c:v>94.438476322474799</c:v>
                </c:pt>
                <c:pt idx="4">
                  <c:v>84.214619286273404</c:v>
                </c:pt>
                <c:pt idx="5">
                  <c:v>73.029397690659721</c:v>
                </c:pt>
                <c:pt idx="6">
                  <c:v>63.012812181550146</c:v>
                </c:pt>
              </c:numCache>
            </c:numRef>
          </c:val>
          <c:smooth val="0"/>
          <c:extLst>
            <c:ext xmlns:c16="http://schemas.microsoft.com/office/drawing/2014/chart" uri="{C3380CC4-5D6E-409C-BE32-E72D297353CC}">
              <c16:uniqueId val="{00000001-5161-4C97-9AFD-85CE56C4C558}"/>
            </c:ext>
          </c:extLst>
        </c:ser>
        <c:dLbls>
          <c:showLegendKey val="0"/>
          <c:showVal val="0"/>
          <c:showCatName val="0"/>
          <c:showSerName val="0"/>
          <c:showPercent val="0"/>
          <c:showBubbleSize val="0"/>
        </c:dLbls>
        <c:marker val="1"/>
        <c:smooth val="0"/>
        <c:axId val="214596608"/>
        <c:axId val="214614784"/>
      </c:lineChart>
      <c:catAx>
        <c:axId val="2145966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4614784"/>
        <c:crosses val="autoZero"/>
        <c:auto val="1"/>
        <c:lblAlgn val="ctr"/>
        <c:lblOffset val="100"/>
        <c:noMultiLvlLbl val="0"/>
      </c:catAx>
      <c:valAx>
        <c:axId val="2146147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459660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0"/>
          <c:y val="0.82552036199094858"/>
          <c:w val="1"/>
          <c:h val="0.1460488235430749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75000"/>
        </a:sysClr>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81438189791494"/>
          <c:y val="9.078014184397161E-2"/>
          <c:w val="0.8320738168598506"/>
          <c:h val="0.59535380289529627"/>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1F497D"/>
              </a:solidFill>
              <a:round/>
            </a:ln>
            <a:effectLst/>
          </c:spPr>
          <c:marker>
            <c:symbol val="circle"/>
            <c:size val="5"/>
            <c:spPr>
              <a:solidFill>
                <a:srgbClr val="1F497D"/>
              </a:solidFill>
              <a:ln w="9525">
                <a:solidFill>
                  <a:srgbClr val="1F497D"/>
                </a:solidFill>
              </a:ln>
              <a:effectLst/>
            </c:spPr>
          </c:marker>
          <c:cat>
            <c:strRef>
              <c:f>Sheet1!$B$1:$H$1</c:f>
              <c:strCache>
                <c:ptCount val="7"/>
                <c:pt idx="0">
                  <c:v>2023-1</c:v>
                </c:pt>
                <c:pt idx="1">
                  <c:v>2023-2</c:v>
                </c:pt>
                <c:pt idx="2">
                  <c:v>2023-3</c:v>
                </c:pt>
                <c:pt idx="3">
                  <c:v>2023-4</c:v>
                </c:pt>
                <c:pt idx="4">
                  <c:v>2023-5</c:v>
                </c:pt>
                <c:pt idx="5">
                  <c:v>2023-6</c:v>
                </c:pt>
                <c:pt idx="6">
                  <c:v>2023-7</c:v>
                </c:pt>
              </c:strCache>
            </c:strRef>
          </c:cat>
          <c:val>
            <c:numRef>
              <c:f>Sheet1!$B$2:$H$2</c:f>
              <c:numCache>
                <c:formatCode>0.0</c:formatCode>
                <c:ptCount val="7"/>
                <c:pt idx="0">
                  <c:v>52.044671192752958</c:v>
                </c:pt>
                <c:pt idx="1">
                  <c:v>47.299373091493067</c:v>
                </c:pt>
                <c:pt idx="2">
                  <c:v>70.852485924793797</c:v>
                </c:pt>
                <c:pt idx="3">
                  <c:v>71.784297777004781</c:v>
                </c:pt>
                <c:pt idx="4">
                  <c:v>66.907050144595331</c:v>
                </c:pt>
                <c:pt idx="5">
                  <c:v>60.586872073922251</c:v>
                </c:pt>
                <c:pt idx="6">
                  <c:v>54.45995730608891</c:v>
                </c:pt>
              </c:numCache>
            </c:numRef>
          </c:val>
          <c:smooth val="0"/>
          <c:extLst>
            <c:ext xmlns:c16="http://schemas.microsoft.com/office/drawing/2014/chart" uri="{C3380CC4-5D6E-409C-BE32-E72D297353CC}">
              <c16:uniqueId val="{00000000-06C9-4F25-95FD-86B8B70A8B98}"/>
            </c:ext>
          </c:extLst>
        </c:ser>
        <c:ser>
          <c:idx val="1"/>
          <c:order val="1"/>
          <c:tx>
            <c:strRef>
              <c:f>Sheet1!$A$3</c:f>
              <c:strCache>
                <c:ptCount val="1"/>
                <c:pt idx="0">
                  <c:v>Գնային փոփոխություն (կուտակային)</c:v>
                </c:pt>
              </c:strCache>
            </c:strRef>
          </c:tx>
          <c:spPr>
            <a:ln>
              <a:solidFill>
                <a:srgbClr val="ED7D31">
                  <a:lumMod val="60000"/>
                  <a:lumOff val="40000"/>
                </a:srgbClr>
              </a:solidFill>
            </a:ln>
          </c:spPr>
          <c:marker>
            <c:spPr>
              <a:solidFill>
                <a:srgbClr val="ED7D31">
                  <a:lumMod val="60000"/>
                  <a:lumOff val="40000"/>
                </a:srgbClr>
              </a:solidFill>
              <a:ln>
                <a:solidFill>
                  <a:srgbClr val="ED7D31">
                    <a:lumMod val="60000"/>
                    <a:lumOff val="40000"/>
                  </a:srgbClr>
                </a:solidFill>
              </a:ln>
            </c:spPr>
          </c:marker>
          <c:cat>
            <c:strRef>
              <c:f>Sheet1!$B$1:$H$1</c:f>
              <c:strCache>
                <c:ptCount val="7"/>
                <c:pt idx="0">
                  <c:v>2023-1</c:v>
                </c:pt>
                <c:pt idx="1">
                  <c:v>2023-2</c:v>
                </c:pt>
                <c:pt idx="2">
                  <c:v>2023-3</c:v>
                </c:pt>
                <c:pt idx="3">
                  <c:v>2023-4</c:v>
                </c:pt>
                <c:pt idx="4">
                  <c:v>2023-5</c:v>
                </c:pt>
                <c:pt idx="5">
                  <c:v>2023-6</c:v>
                </c:pt>
                <c:pt idx="6">
                  <c:v>2023-7</c:v>
                </c:pt>
              </c:strCache>
            </c:strRef>
          </c:cat>
          <c:val>
            <c:numRef>
              <c:f>Sheet1!$B$3:$H$3</c:f>
              <c:numCache>
                <c:formatCode>0.0</c:formatCode>
                <c:ptCount val="7"/>
                <c:pt idx="0">
                  <c:v>-4.0669682737892998</c:v>
                </c:pt>
                <c:pt idx="1">
                  <c:v>-3.1441826068433016</c:v>
                </c:pt>
                <c:pt idx="2">
                  <c:v>-6.6514165609049059</c:v>
                </c:pt>
                <c:pt idx="3">
                  <c:v>-8.2646489303157153</c:v>
                </c:pt>
                <c:pt idx="4">
                  <c:v>-9.771162992623502</c:v>
                </c:pt>
                <c:pt idx="5">
                  <c:v>-10.337633742003362</c:v>
                </c:pt>
                <c:pt idx="6">
                  <c:v>-10.721965214569394</c:v>
                </c:pt>
              </c:numCache>
            </c:numRef>
          </c:val>
          <c:smooth val="0"/>
          <c:extLst>
            <c:ext xmlns:c16="http://schemas.microsoft.com/office/drawing/2014/chart" uri="{C3380CC4-5D6E-409C-BE32-E72D297353CC}">
              <c16:uniqueId val="{00000001-06C9-4F25-95FD-86B8B70A8B98}"/>
            </c:ext>
          </c:extLst>
        </c:ser>
        <c:ser>
          <c:idx val="2"/>
          <c:order val="2"/>
          <c:tx>
            <c:strRef>
              <c:f>Sheet1!$A$4</c:f>
              <c:strCache>
                <c:ptCount val="1"/>
                <c:pt idx="0">
                  <c:v>Փոխարժեքի փոփոխություն (կուտակային)</c:v>
                </c:pt>
              </c:strCache>
            </c:strRef>
          </c:tx>
          <c:cat>
            <c:strRef>
              <c:f>Sheet1!$B$1:$H$1</c:f>
              <c:strCache>
                <c:ptCount val="7"/>
                <c:pt idx="0">
                  <c:v>2023-1</c:v>
                </c:pt>
                <c:pt idx="1">
                  <c:v>2023-2</c:v>
                </c:pt>
                <c:pt idx="2">
                  <c:v>2023-3</c:v>
                </c:pt>
                <c:pt idx="3">
                  <c:v>2023-4</c:v>
                </c:pt>
                <c:pt idx="4">
                  <c:v>2023-5</c:v>
                </c:pt>
                <c:pt idx="5">
                  <c:v>2023-6</c:v>
                </c:pt>
                <c:pt idx="6">
                  <c:v>2023-7</c:v>
                </c:pt>
              </c:strCache>
            </c:strRef>
          </c:cat>
          <c:val>
            <c:numRef>
              <c:f>Sheet1!$B$4:$H$4</c:f>
              <c:numCache>
                <c:formatCode>0.0</c:formatCode>
                <c:ptCount val="7"/>
                <c:pt idx="0">
                  <c:v>21.748465482836153</c:v>
                </c:pt>
                <c:pt idx="1">
                  <c:v>21.903108926444887</c:v>
                </c:pt>
                <c:pt idx="2">
                  <c:v>23.893256805175866</c:v>
                </c:pt>
                <c:pt idx="3">
                  <c:v>23.293218866574691</c:v>
                </c:pt>
                <c:pt idx="4">
                  <c:v>22.265480922913</c:v>
                </c:pt>
                <c:pt idx="5">
                  <c:v>20.124425440940684</c:v>
                </c:pt>
                <c:pt idx="6">
                  <c:v>18.168708651189448</c:v>
                </c:pt>
              </c:numCache>
            </c:numRef>
          </c:val>
          <c:smooth val="0"/>
          <c:extLst>
            <c:ext xmlns:c16="http://schemas.microsoft.com/office/drawing/2014/chart" uri="{C3380CC4-5D6E-409C-BE32-E72D297353CC}">
              <c16:uniqueId val="{00000002-06C9-4F25-95FD-86B8B70A8B98}"/>
            </c:ext>
          </c:extLst>
        </c:ser>
        <c:dLbls>
          <c:showLegendKey val="0"/>
          <c:showVal val="0"/>
          <c:showCatName val="0"/>
          <c:showSerName val="0"/>
          <c:showPercent val="0"/>
          <c:showBubbleSize val="0"/>
        </c:dLbls>
        <c:marker val="1"/>
        <c:smooth val="0"/>
        <c:axId val="214406656"/>
        <c:axId val="214408576"/>
      </c:lineChart>
      <c:catAx>
        <c:axId val="2144066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4408576"/>
        <c:crosses val="autoZero"/>
        <c:auto val="1"/>
        <c:lblAlgn val="ctr"/>
        <c:lblOffset val="100"/>
        <c:noMultiLvlLbl val="0"/>
      </c:catAx>
      <c:valAx>
        <c:axId val="2144085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4406656"/>
        <c:crosses val="autoZero"/>
        <c:crossBetween val="between"/>
      </c:valAx>
      <c:spPr>
        <a:noFill/>
        <a:ln>
          <a:noFill/>
        </a:ln>
        <a:effectLst/>
      </c:spPr>
    </c:plotArea>
    <c:legend>
      <c:legendPos val="b"/>
      <c:layout>
        <c:manualLayout>
          <c:xMode val="edge"/>
          <c:yMode val="edge"/>
          <c:x val="3.9658303581617572E-2"/>
          <c:y val="0.77058792802327436"/>
          <c:w val="0.90479532163742704"/>
          <c:h val="0.229412071976725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75000"/>
        </a:sysClr>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1"/>
          <c:tx>
            <c:strRef>
              <c:f>Sheet1!$D$1</c:f>
              <c:strCache>
                <c:ptCount val="1"/>
                <c:pt idx="0">
                  <c:v>ՌԴ</c:v>
                </c:pt>
              </c:strCache>
            </c:strRef>
          </c:tx>
          <c:spPr>
            <a:solidFill>
              <a:schemeClr val="accent1">
                <a:lumMod val="75000"/>
              </a:schemeClr>
            </a:solidFill>
            <a:ln>
              <a:noFill/>
            </a:ln>
            <a:effectLst/>
          </c:spPr>
          <c:invertIfNegative val="0"/>
          <c:cat>
            <c:multiLvlStrRef>
              <c:f>Sheet1!$A$6:$B$23</c:f>
              <c:multiLvlStrCache>
                <c:ptCount val="18"/>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lvl>
                <c:lvl>
                  <c:pt idx="0">
                    <c:v>2019</c:v>
                  </c:pt>
                  <c:pt idx="4">
                    <c:v>2020</c:v>
                  </c:pt>
                  <c:pt idx="8">
                    <c:v>2021</c:v>
                  </c:pt>
                  <c:pt idx="12">
                    <c:v>2022</c:v>
                  </c:pt>
                  <c:pt idx="16">
                    <c:v>2023</c:v>
                  </c:pt>
                </c:lvl>
              </c:multiLvlStrCache>
            </c:multiLvlStrRef>
          </c:cat>
          <c:val>
            <c:numRef>
              <c:f>Sheet1!$D$6:$D$23</c:f>
              <c:numCache>
                <c:formatCode>0.0</c:formatCode>
                <c:ptCount val="18"/>
                <c:pt idx="0">
                  <c:v>75.906300000000002</c:v>
                </c:pt>
                <c:pt idx="1">
                  <c:v>160.00910000000002</c:v>
                </c:pt>
                <c:pt idx="2">
                  <c:v>239.61420999999999</c:v>
                </c:pt>
                <c:pt idx="3">
                  <c:v>154.12681000000001</c:v>
                </c:pt>
                <c:pt idx="4">
                  <c:v>77.714060000000003</c:v>
                </c:pt>
                <c:pt idx="5">
                  <c:v>50.1432</c:v>
                </c:pt>
                <c:pt idx="6">
                  <c:v>114.17736000000001</c:v>
                </c:pt>
                <c:pt idx="7">
                  <c:v>122.73272</c:v>
                </c:pt>
                <c:pt idx="8">
                  <c:v>67.980919999999998</c:v>
                </c:pt>
                <c:pt idx="9">
                  <c:v>118.7869</c:v>
                </c:pt>
                <c:pt idx="10">
                  <c:v>158.30554999999998</c:v>
                </c:pt>
                <c:pt idx="11">
                  <c:v>118.69959999999998</c:v>
                </c:pt>
                <c:pt idx="12">
                  <c:v>118.26725</c:v>
                </c:pt>
                <c:pt idx="13">
                  <c:v>814.20412999999996</c:v>
                </c:pt>
                <c:pt idx="14">
                  <c:v>1090.5065999999999</c:v>
                </c:pt>
                <c:pt idx="15">
                  <c:v>1122.2293199999999</c:v>
                </c:pt>
                <c:pt idx="16">
                  <c:v>1079.4368400000001</c:v>
                </c:pt>
                <c:pt idx="17">
                  <c:v>709.71907999999996</c:v>
                </c:pt>
              </c:numCache>
            </c:numRef>
          </c:val>
          <c:extLst>
            <c:ext xmlns:c16="http://schemas.microsoft.com/office/drawing/2014/chart" uri="{C3380CC4-5D6E-409C-BE32-E72D297353CC}">
              <c16:uniqueId val="{00000000-C983-44FE-9169-A50A28E97123}"/>
            </c:ext>
          </c:extLst>
        </c:ser>
        <c:ser>
          <c:idx val="2"/>
          <c:order val="2"/>
          <c:tx>
            <c:strRef>
              <c:f>Sheet1!$E$1</c:f>
              <c:strCache>
                <c:ptCount val="1"/>
                <c:pt idx="0">
                  <c:v>Այլ</c:v>
                </c:pt>
              </c:strCache>
            </c:strRef>
          </c:tx>
          <c:spPr>
            <a:solidFill>
              <a:schemeClr val="accent3"/>
            </a:solidFill>
            <a:ln>
              <a:noFill/>
            </a:ln>
            <a:effectLst/>
          </c:spPr>
          <c:invertIfNegative val="0"/>
          <c:cat>
            <c:multiLvlStrRef>
              <c:f>Sheet1!$A$6:$B$23</c:f>
              <c:multiLvlStrCache>
                <c:ptCount val="18"/>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lvl>
                <c:lvl>
                  <c:pt idx="0">
                    <c:v>2019</c:v>
                  </c:pt>
                  <c:pt idx="4">
                    <c:v>2020</c:v>
                  </c:pt>
                  <c:pt idx="8">
                    <c:v>2021</c:v>
                  </c:pt>
                  <c:pt idx="12">
                    <c:v>2022</c:v>
                  </c:pt>
                  <c:pt idx="16">
                    <c:v>2023</c:v>
                  </c:pt>
                </c:lvl>
              </c:multiLvlStrCache>
            </c:multiLvlStrRef>
          </c:cat>
          <c:val>
            <c:numRef>
              <c:f>Sheet1!$E$6:$E$23</c:f>
              <c:numCache>
                <c:formatCode>0.0</c:formatCode>
                <c:ptCount val="18"/>
                <c:pt idx="0">
                  <c:v>28.937740000000005</c:v>
                </c:pt>
                <c:pt idx="1">
                  <c:v>-34.662960000000012</c:v>
                </c:pt>
                <c:pt idx="2">
                  <c:v>-135.3861</c:v>
                </c:pt>
                <c:pt idx="3">
                  <c:v>15.474779999999981</c:v>
                </c:pt>
                <c:pt idx="4">
                  <c:v>9.6641899999999907</c:v>
                </c:pt>
                <c:pt idx="5">
                  <c:v>55.252929999999999</c:v>
                </c:pt>
                <c:pt idx="6">
                  <c:v>122.69107999999999</c:v>
                </c:pt>
                <c:pt idx="7">
                  <c:v>21.96302</c:v>
                </c:pt>
                <c:pt idx="8">
                  <c:v>61.103229999999996</c:v>
                </c:pt>
                <c:pt idx="9">
                  <c:v>135.01109000000002</c:v>
                </c:pt>
                <c:pt idx="10">
                  <c:v>129.02368999999999</c:v>
                </c:pt>
                <c:pt idx="11">
                  <c:v>94.40330000000003</c:v>
                </c:pt>
                <c:pt idx="12">
                  <c:v>72.026169999999993</c:v>
                </c:pt>
                <c:pt idx="13">
                  <c:v>-10.573099999999954</c:v>
                </c:pt>
                <c:pt idx="14">
                  <c:v>-354.89396999999997</c:v>
                </c:pt>
                <c:pt idx="15">
                  <c:v>-268.12218999999993</c:v>
                </c:pt>
                <c:pt idx="16">
                  <c:v>-526.24767999999995</c:v>
                </c:pt>
                <c:pt idx="17">
                  <c:v>-365.22444000000002</c:v>
                </c:pt>
              </c:numCache>
            </c:numRef>
          </c:val>
          <c:extLst>
            <c:ext xmlns:c16="http://schemas.microsoft.com/office/drawing/2014/chart" uri="{C3380CC4-5D6E-409C-BE32-E72D297353CC}">
              <c16:uniqueId val="{00000001-C983-44FE-9169-A50A28E97123}"/>
            </c:ext>
          </c:extLst>
        </c:ser>
        <c:dLbls>
          <c:showLegendKey val="0"/>
          <c:showVal val="0"/>
          <c:showCatName val="0"/>
          <c:showSerName val="0"/>
          <c:showPercent val="0"/>
          <c:showBubbleSize val="0"/>
        </c:dLbls>
        <c:gapWidth val="80"/>
        <c:overlap val="100"/>
        <c:axId val="642403424"/>
        <c:axId val="642400544"/>
      </c:barChart>
      <c:lineChart>
        <c:grouping val="standard"/>
        <c:varyColors val="0"/>
        <c:ser>
          <c:idx val="0"/>
          <c:order val="0"/>
          <c:tx>
            <c:strRef>
              <c:f>Sheet1!$C$1</c:f>
              <c:strCache>
                <c:ptCount val="1"/>
                <c:pt idx="0">
                  <c:v>Ընդամենը</c:v>
                </c:pt>
              </c:strCache>
            </c:strRef>
          </c:tx>
          <c:spPr>
            <a:ln w="28575" cap="rnd">
              <a:solidFill>
                <a:schemeClr val="tx1"/>
              </a:solidFill>
              <a:round/>
            </a:ln>
            <a:effectLst/>
          </c:spPr>
          <c:marker>
            <c:symbol val="none"/>
          </c:marker>
          <c:cat>
            <c:multiLvlStrRef>
              <c:f>Sheet1!$A$6:$B$23</c:f>
              <c:multiLvlStrCache>
                <c:ptCount val="18"/>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lvl>
                <c:lvl>
                  <c:pt idx="0">
                    <c:v>2019</c:v>
                  </c:pt>
                  <c:pt idx="4">
                    <c:v>2020</c:v>
                  </c:pt>
                  <c:pt idx="8">
                    <c:v>2021</c:v>
                  </c:pt>
                  <c:pt idx="12">
                    <c:v>2022</c:v>
                  </c:pt>
                  <c:pt idx="16">
                    <c:v>2023</c:v>
                  </c:pt>
                </c:lvl>
              </c:multiLvlStrCache>
            </c:multiLvlStrRef>
          </c:cat>
          <c:val>
            <c:numRef>
              <c:f>Sheet1!$C$6:$C$23</c:f>
              <c:numCache>
                <c:formatCode>0.0</c:formatCode>
                <c:ptCount val="18"/>
                <c:pt idx="0">
                  <c:v>104.84404000000001</c:v>
                </c:pt>
                <c:pt idx="1">
                  <c:v>125.34614000000001</c:v>
                </c:pt>
                <c:pt idx="2">
                  <c:v>104.22811</c:v>
                </c:pt>
                <c:pt idx="3">
                  <c:v>169.60158999999999</c:v>
                </c:pt>
                <c:pt idx="4">
                  <c:v>87.378249999999994</c:v>
                </c:pt>
                <c:pt idx="5">
                  <c:v>105.39613</c:v>
                </c:pt>
                <c:pt idx="6">
                  <c:v>236.86843999999999</c:v>
                </c:pt>
                <c:pt idx="7">
                  <c:v>144.69574</c:v>
                </c:pt>
                <c:pt idx="8">
                  <c:v>129.08414999999999</c:v>
                </c:pt>
                <c:pt idx="9">
                  <c:v>253.79799000000003</c:v>
                </c:pt>
                <c:pt idx="10">
                  <c:v>287.32923999999997</c:v>
                </c:pt>
                <c:pt idx="11">
                  <c:v>213.10290000000001</c:v>
                </c:pt>
                <c:pt idx="12">
                  <c:v>190.29342</c:v>
                </c:pt>
                <c:pt idx="13">
                  <c:v>803.63103000000001</c:v>
                </c:pt>
                <c:pt idx="14">
                  <c:v>735.61262999999997</c:v>
                </c:pt>
                <c:pt idx="15">
                  <c:v>854.10712999999998</c:v>
                </c:pt>
                <c:pt idx="16">
                  <c:v>553.18916000000002</c:v>
                </c:pt>
                <c:pt idx="17">
                  <c:v>344.49464</c:v>
                </c:pt>
              </c:numCache>
            </c:numRef>
          </c:val>
          <c:smooth val="0"/>
          <c:extLst>
            <c:ext xmlns:c16="http://schemas.microsoft.com/office/drawing/2014/chart" uri="{C3380CC4-5D6E-409C-BE32-E72D297353CC}">
              <c16:uniqueId val="{00000002-C983-44FE-9169-A50A28E97123}"/>
            </c:ext>
          </c:extLst>
        </c:ser>
        <c:dLbls>
          <c:showLegendKey val="0"/>
          <c:showVal val="0"/>
          <c:showCatName val="0"/>
          <c:showSerName val="0"/>
          <c:showPercent val="0"/>
          <c:showBubbleSize val="0"/>
        </c:dLbls>
        <c:marker val="1"/>
        <c:smooth val="0"/>
        <c:axId val="642403424"/>
        <c:axId val="642400544"/>
      </c:lineChart>
      <c:catAx>
        <c:axId val="6424034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400544"/>
        <c:crosses val="autoZero"/>
        <c:auto val="1"/>
        <c:lblAlgn val="ctr"/>
        <c:lblOffset val="100"/>
        <c:noMultiLvlLbl val="0"/>
      </c:catAx>
      <c:valAx>
        <c:axId val="64240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hy-AM" b="1"/>
                  <a:t>մլն ԱՄՆ դոլար</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403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268531088786318E-2"/>
          <c:y val="3.176785222289203E-2"/>
          <c:w val="0.90591154553956621"/>
          <c:h val="0.59461103273692995"/>
        </c:manualLayout>
      </c:layout>
      <c:barChart>
        <c:barDir val="col"/>
        <c:grouping val="stacked"/>
        <c:varyColors val="0"/>
        <c:ser>
          <c:idx val="0"/>
          <c:order val="0"/>
          <c:tx>
            <c:strRef>
              <c:f>Sheet1!$B$1</c:f>
              <c:strCache>
                <c:ptCount val="1"/>
                <c:pt idx="0">
                  <c:v>Column1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Sheet1!$A$2:$B$23</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2018</c:v>
                  </c:pt>
                  <c:pt idx="4">
                    <c:v>2019</c:v>
                  </c:pt>
                  <c:pt idx="8">
                    <c:v>2020</c:v>
                  </c:pt>
                  <c:pt idx="12">
                    <c:v>2021</c:v>
                  </c:pt>
                  <c:pt idx="16">
                    <c:v>2022</c:v>
                  </c:pt>
                  <c:pt idx="20">
                    <c:v>2023</c:v>
                  </c:pt>
                </c:lvl>
              </c:multiLvlStrCache>
            </c:multiLvlStrRef>
          </c:cat>
          <c:val>
            <c:numRef>
              <c:f>Sheet1!$B$2:$B$23</c:f>
              <c:numCache>
                <c:formatCode>General</c:formatCode>
                <c:ptCount val="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extLst>
            <c:ext xmlns:c16="http://schemas.microsoft.com/office/drawing/2014/chart" uri="{C3380CC4-5D6E-409C-BE32-E72D297353CC}">
              <c16:uniqueId val="{00000000-A9A9-454C-A79B-4DD6C415EE8A}"/>
            </c:ext>
          </c:extLst>
        </c:ser>
        <c:ser>
          <c:idx val="1"/>
          <c:order val="1"/>
          <c:tx>
            <c:strRef>
              <c:f>Sheet1!$C$1</c:f>
              <c:strCache>
                <c:ptCount val="1"/>
                <c:pt idx="0">
                  <c:v>Դոլար</c:v>
                </c:pt>
              </c:strCache>
            </c:strRef>
          </c:tx>
          <c:spPr>
            <a:solidFill>
              <a:schemeClr val="bg1">
                <a:lumMod val="75000"/>
              </a:schemeClr>
            </a:solidFill>
            <a:ln>
              <a:noFill/>
            </a:ln>
            <a:effectLst>
              <a:outerShdw blurRad="40000" dist="23000" dir="5400000" rotWithShape="0">
                <a:srgbClr val="000000">
                  <a:alpha val="35000"/>
                </a:srgbClr>
              </a:outerShdw>
            </a:effectLst>
          </c:spPr>
          <c:invertIfNegative val="0"/>
          <c:cat>
            <c:multiLvlStrRef>
              <c:f>Sheet1!$A$2:$B$23</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2018</c:v>
                  </c:pt>
                  <c:pt idx="4">
                    <c:v>2019</c:v>
                  </c:pt>
                  <c:pt idx="8">
                    <c:v>2020</c:v>
                  </c:pt>
                  <c:pt idx="12">
                    <c:v>2021</c:v>
                  </c:pt>
                  <c:pt idx="16">
                    <c:v>2022</c:v>
                  </c:pt>
                  <c:pt idx="20">
                    <c:v>2023</c:v>
                  </c:pt>
                </c:lvl>
              </c:multiLvlStrCache>
            </c:multiLvlStrRef>
          </c:cat>
          <c:val>
            <c:numRef>
              <c:f>Sheet1!$C$2:$C$23</c:f>
              <c:numCache>
                <c:formatCode>0</c:formatCode>
                <c:ptCount val="22"/>
                <c:pt idx="0">
                  <c:v>3.9529299999999807</c:v>
                </c:pt>
                <c:pt idx="1">
                  <c:v>-19.975296600000092</c:v>
                </c:pt>
                <c:pt idx="2">
                  <c:v>-70.574313899999993</c:v>
                </c:pt>
                <c:pt idx="3">
                  <c:v>-66.549774700000057</c:v>
                </c:pt>
                <c:pt idx="4">
                  <c:v>-77.777560699999981</c:v>
                </c:pt>
                <c:pt idx="5">
                  <c:v>4.9017405000000736</c:v>
                </c:pt>
                <c:pt idx="6">
                  <c:v>-50.03285290000008</c:v>
                </c:pt>
                <c:pt idx="7">
                  <c:v>-21.708400500000153</c:v>
                </c:pt>
                <c:pt idx="8">
                  <c:v>-28.47810800000002</c:v>
                </c:pt>
                <c:pt idx="9">
                  <c:v>4.258640000000014</c:v>
                </c:pt>
                <c:pt idx="10">
                  <c:v>5.1264299999999139</c:v>
                </c:pt>
                <c:pt idx="11">
                  <c:v>-90.218759999999975</c:v>
                </c:pt>
                <c:pt idx="12">
                  <c:v>-44.764182000000119</c:v>
                </c:pt>
                <c:pt idx="13">
                  <c:v>-47.872495999999956</c:v>
                </c:pt>
                <c:pt idx="14">
                  <c:v>3.7606030000000601</c:v>
                </c:pt>
                <c:pt idx="15">
                  <c:v>22.342673000000104</c:v>
                </c:pt>
                <c:pt idx="16">
                  <c:v>82.827041122292712</c:v>
                </c:pt>
                <c:pt idx="17">
                  <c:v>-50.18449343652253</c:v>
                </c:pt>
                <c:pt idx="18">
                  <c:v>-228.23183459037773</c:v>
                </c:pt>
                <c:pt idx="19">
                  <c:v>-326.58099857808588</c:v>
                </c:pt>
                <c:pt idx="20">
                  <c:v>-198.4</c:v>
                </c:pt>
                <c:pt idx="21">
                  <c:v>-28.113131581315599</c:v>
                </c:pt>
              </c:numCache>
            </c:numRef>
          </c:val>
          <c:extLst>
            <c:ext xmlns:c16="http://schemas.microsoft.com/office/drawing/2014/chart" uri="{C3380CC4-5D6E-409C-BE32-E72D297353CC}">
              <c16:uniqueId val="{00000001-A9A9-454C-A79B-4DD6C415EE8A}"/>
            </c:ext>
          </c:extLst>
        </c:ser>
        <c:ser>
          <c:idx val="2"/>
          <c:order val="2"/>
          <c:tx>
            <c:strRef>
              <c:f>Sheet1!$D$1</c:f>
              <c:strCache>
                <c:ptCount val="1"/>
                <c:pt idx="0">
                  <c:v>Եվրո</c:v>
                </c:pt>
              </c:strCache>
            </c:strRef>
          </c:tx>
          <c:spPr>
            <a:solidFill>
              <a:schemeClr val="accent6">
                <a:lumMod val="60000"/>
                <a:lumOff val="40000"/>
              </a:schemeClr>
            </a:solidFill>
            <a:ln>
              <a:noFill/>
            </a:ln>
            <a:effectLst>
              <a:outerShdw blurRad="40000" dist="23000" dir="5400000" rotWithShape="0">
                <a:srgbClr val="000000">
                  <a:alpha val="35000"/>
                </a:srgbClr>
              </a:outerShdw>
            </a:effectLst>
          </c:spPr>
          <c:invertIfNegative val="0"/>
          <c:cat>
            <c:multiLvlStrRef>
              <c:f>Sheet1!$A$2:$B$23</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2018</c:v>
                  </c:pt>
                  <c:pt idx="4">
                    <c:v>2019</c:v>
                  </c:pt>
                  <c:pt idx="8">
                    <c:v>2020</c:v>
                  </c:pt>
                  <c:pt idx="12">
                    <c:v>2021</c:v>
                  </c:pt>
                  <c:pt idx="16">
                    <c:v>2022</c:v>
                  </c:pt>
                  <c:pt idx="20">
                    <c:v>2023</c:v>
                  </c:pt>
                </c:lvl>
              </c:multiLvlStrCache>
            </c:multiLvlStrRef>
          </c:cat>
          <c:val>
            <c:numRef>
              <c:f>Sheet1!$D$2:$D$23</c:f>
              <c:numCache>
                <c:formatCode>0</c:formatCode>
                <c:ptCount val="22"/>
                <c:pt idx="0">
                  <c:v>-44.000294599999989</c:v>
                </c:pt>
                <c:pt idx="1">
                  <c:v>-60.001685199999997</c:v>
                </c:pt>
                <c:pt idx="2">
                  <c:v>-41.839252899999991</c:v>
                </c:pt>
                <c:pt idx="3">
                  <c:v>-42.408268600000014</c:v>
                </c:pt>
                <c:pt idx="4">
                  <c:v>-48.851464199999981</c:v>
                </c:pt>
                <c:pt idx="5">
                  <c:v>-7.9430901000000347</c:v>
                </c:pt>
                <c:pt idx="6">
                  <c:v>-3.3764428000000066</c:v>
                </c:pt>
                <c:pt idx="7">
                  <c:v>-35.556790800000016</c:v>
                </c:pt>
                <c:pt idx="8">
                  <c:v>-57.345421500000015</c:v>
                </c:pt>
                <c:pt idx="9">
                  <c:v>-28.027285899999995</c:v>
                </c:pt>
                <c:pt idx="10">
                  <c:v>-27.659299799999985</c:v>
                </c:pt>
                <c:pt idx="11">
                  <c:v>-55.250605399999998</c:v>
                </c:pt>
                <c:pt idx="12">
                  <c:v>-37.588152999999977</c:v>
                </c:pt>
                <c:pt idx="13">
                  <c:v>-44.314930999999987</c:v>
                </c:pt>
                <c:pt idx="14">
                  <c:v>-30.467195000000004</c:v>
                </c:pt>
                <c:pt idx="15">
                  <c:v>-47.701574000000022</c:v>
                </c:pt>
                <c:pt idx="16">
                  <c:v>38.055483617751008</c:v>
                </c:pt>
                <c:pt idx="17">
                  <c:v>-116.10974062181617</c:v>
                </c:pt>
                <c:pt idx="18">
                  <c:v>-151.48745476086944</c:v>
                </c:pt>
                <c:pt idx="19">
                  <c:v>-157.53865432476798</c:v>
                </c:pt>
                <c:pt idx="20">
                  <c:v>-173.7</c:v>
                </c:pt>
                <c:pt idx="21">
                  <c:v>-140.58972851489443</c:v>
                </c:pt>
              </c:numCache>
            </c:numRef>
          </c:val>
          <c:extLst>
            <c:ext xmlns:c16="http://schemas.microsoft.com/office/drawing/2014/chart" uri="{C3380CC4-5D6E-409C-BE32-E72D297353CC}">
              <c16:uniqueId val="{00000002-A9A9-454C-A79B-4DD6C415EE8A}"/>
            </c:ext>
          </c:extLst>
        </c:ser>
        <c:ser>
          <c:idx val="3"/>
          <c:order val="3"/>
          <c:tx>
            <c:strRef>
              <c:f>Sheet1!$E$1</c:f>
              <c:strCache>
                <c:ptCount val="1"/>
                <c:pt idx="0">
                  <c:v>Ռուբլի</c:v>
                </c:pt>
              </c:strCache>
            </c:strRef>
          </c:tx>
          <c:spPr>
            <a:solidFill>
              <a:schemeClr val="accent1">
                <a:lumMod val="75000"/>
              </a:schemeClr>
            </a:solidFill>
            <a:ln>
              <a:noFill/>
            </a:ln>
            <a:effectLst>
              <a:outerShdw blurRad="40000" dist="23000" dir="5400000" rotWithShape="0">
                <a:srgbClr val="000000">
                  <a:alpha val="35000"/>
                </a:srgbClr>
              </a:outerShdw>
            </a:effectLst>
          </c:spPr>
          <c:invertIfNegative val="0"/>
          <c:cat>
            <c:multiLvlStrRef>
              <c:f>Sheet1!$A$2:$B$23</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2018</c:v>
                  </c:pt>
                  <c:pt idx="4">
                    <c:v>2019</c:v>
                  </c:pt>
                  <c:pt idx="8">
                    <c:v>2020</c:v>
                  </c:pt>
                  <c:pt idx="12">
                    <c:v>2021</c:v>
                  </c:pt>
                  <c:pt idx="16">
                    <c:v>2022</c:v>
                  </c:pt>
                  <c:pt idx="20">
                    <c:v>2023</c:v>
                  </c:pt>
                </c:lvl>
              </c:multiLvlStrCache>
            </c:multiLvlStrRef>
          </c:cat>
          <c:val>
            <c:numRef>
              <c:f>Sheet1!$E$2:$E$23</c:f>
              <c:numCache>
                <c:formatCode>0</c:formatCode>
                <c:ptCount val="22"/>
                <c:pt idx="0">
                  <c:v>0</c:v>
                </c:pt>
                <c:pt idx="1">
                  <c:v>0</c:v>
                </c:pt>
                <c:pt idx="2">
                  <c:v>0</c:v>
                </c:pt>
                <c:pt idx="3">
                  <c:v>0</c:v>
                </c:pt>
                <c:pt idx="4">
                  <c:v>0</c:v>
                </c:pt>
                <c:pt idx="5">
                  <c:v>0</c:v>
                </c:pt>
                <c:pt idx="6">
                  <c:v>0</c:v>
                </c:pt>
                <c:pt idx="7">
                  <c:v>0</c:v>
                </c:pt>
                <c:pt idx="8">
                  <c:v>0</c:v>
                </c:pt>
                <c:pt idx="9">
                  <c:v>0</c:v>
                </c:pt>
                <c:pt idx="10">
                  <c:v>0</c:v>
                </c:pt>
                <c:pt idx="11">
                  <c:v>0</c:v>
                </c:pt>
                <c:pt idx="12">
                  <c:v>5.1814139999999895</c:v>
                </c:pt>
                <c:pt idx="13">
                  <c:v>56.355378999999985</c:v>
                </c:pt>
                <c:pt idx="14">
                  <c:v>38.985996999999998</c:v>
                </c:pt>
                <c:pt idx="15">
                  <c:v>13.216617000000014</c:v>
                </c:pt>
                <c:pt idx="16">
                  <c:v>-31.598552698007609</c:v>
                </c:pt>
                <c:pt idx="17">
                  <c:v>190.46627119187261</c:v>
                </c:pt>
                <c:pt idx="18">
                  <c:v>423.24379297671146</c:v>
                </c:pt>
                <c:pt idx="19">
                  <c:v>550.39308050890099</c:v>
                </c:pt>
                <c:pt idx="20">
                  <c:v>428.1</c:v>
                </c:pt>
                <c:pt idx="21">
                  <c:v>376.39776191044848</c:v>
                </c:pt>
              </c:numCache>
            </c:numRef>
          </c:val>
          <c:extLst>
            <c:ext xmlns:c16="http://schemas.microsoft.com/office/drawing/2014/chart" uri="{C3380CC4-5D6E-409C-BE32-E72D297353CC}">
              <c16:uniqueId val="{00000003-A9A9-454C-A79B-4DD6C415EE8A}"/>
            </c:ext>
          </c:extLst>
        </c:ser>
        <c:dLbls>
          <c:showLegendKey val="0"/>
          <c:showVal val="0"/>
          <c:showCatName val="0"/>
          <c:showSerName val="0"/>
          <c:showPercent val="0"/>
          <c:showBubbleSize val="0"/>
        </c:dLbls>
        <c:gapWidth val="100"/>
        <c:overlap val="100"/>
        <c:axId val="505862432"/>
        <c:axId val="505864952"/>
      </c:barChart>
      <c:catAx>
        <c:axId val="505862432"/>
        <c:scaling>
          <c:orientation val="minMax"/>
        </c:scaling>
        <c:delete val="0"/>
        <c:axPos val="b"/>
        <c:numFmt formatCode="General" sourceLinked="1"/>
        <c:majorTickMark val="none"/>
        <c:minorTickMark val="none"/>
        <c:tickLblPos val="low"/>
        <c:spPr>
          <a:noFill/>
          <a:ln w="9525" cap="flat" cmpd="sng" algn="ctr">
            <a:solidFill>
              <a:sysClr val="window" lastClr="FFFFFF">
                <a:lumMod val="75000"/>
              </a:sys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alpha val="93000"/>
                  </a:schemeClr>
                </a:solidFill>
                <a:latin typeface="GHEA Grapalat" panose="02000506050000020003" pitchFamily="50" charset="0"/>
                <a:ea typeface="+mn-ea"/>
                <a:cs typeface="+mn-cs"/>
              </a:defRPr>
            </a:pPr>
            <a:endParaRPr lang="en-US"/>
          </a:p>
        </c:txPr>
        <c:crossAx val="505864952"/>
        <c:crosses val="autoZero"/>
        <c:auto val="0"/>
        <c:lblAlgn val="ctr"/>
        <c:lblOffset val="100"/>
        <c:noMultiLvlLbl val="0"/>
      </c:catAx>
      <c:valAx>
        <c:axId val="5058649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05862432"/>
        <c:crosses val="autoZero"/>
        <c:crossBetween val="between"/>
      </c:valAx>
      <c:spPr>
        <a:solidFill>
          <a:schemeClr val="bg1"/>
        </a:solidFill>
        <a:ln>
          <a:solidFill>
            <a:sysClr val="window" lastClr="FFFFFF">
              <a:lumMod val="75000"/>
            </a:sysClr>
          </a:solidFill>
        </a:ln>
        <a:effectLst/>
      </c:spPr>
    </c:plotArea>
    <c:legend>
      <c:legendPos val="b"/>
      <c:legendEntry>
        <c:idx val="0"/>
        <c:delete val="1"/>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0.15006727236018574"/>
          <c:y val="0.87922034607552513"/>
          <c:w val="0.71044554815263472"/>
          <c:h val="9.44707878366033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lumMod val="75000"/>
        </a:sys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Sheet1!$C$1</c:f>
              <c:strCache>
                <c:ptCount val="1"/>
                <c:pt idx="0">
                  <c:v>ԱՄՆ</c:v>
                </c:pt>
              </c:strCache>
            </c:strRef>
          </c:tx>
          <c:spPr>
            <a:ln w="28575" cap="rnd">
              <a:solidFill>
                <a:schemeClr val="tx2"/>
              </a:solidFill>
              <a:round/>
            </a:ln>
            <a:effectLst/>
          </c:spPr>
          <c:marker>
            <c:symbol val="none"/>
          </c:marker>
          <c:val>
            <c:numRef>
              <c:f>Sheet1!$C$2:$C$67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0-876F-4AF6-B019-EAD4821F9081}"/>
            </c:ext>
          </c:extLst>
        </c:ser>
        <c:ser>
          <c:idx val="1"/>
          <c:order val="1"/>
          <c:tx>
            <c:strRef>
              <c:f>Sheet1!$D$1</c:f>
              <c:strCache>
                <c:ptCount val="1"/>
                <c:pt idx="0">
                  <c:v>ԵԳ</c:v>
                </c:pt>
              </c:strCache>
            </c:strRef>
          </c:tx>
          <c:spPr>
            <a:ln w="28575" cap="rnd">
              <a:solidFill>
                <a:schemeClr val="accent1"/>
              </a:solidFill>
              <a:round/>
            </a:ln>
            <a:effectLst/>
          </c:spPr>
          <c:marker>
            <c:symbol val="none"/>
          </c:marker>
          <c:val>
            <c:numRef>
              <c:f>Sheet1!$D$2:$D$67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1-876F-4AF6-B019-EAD4821F9081}"/>
            </c:ext>
          </c:extLst>
        </c:ser>
        <c:ser>
          <c:idx val="2"/>
          <c:order val="2"/>
          <c:tx>
            <c:strRef>
              <c:f>Sheet1!$E$1</c:f>
              <c:strCache>
                <c:ptCount val="1"/>
                <c:pt idx="0">
                  <c:v>Չինաստան</c:v>
                </c:pt>
              </c:strCache>
            </c:strRef>
          </c:tx>
          <c:spPr>
            <a:ln w="28575" cap="rnd">
              <a:solidFill>
                <a:schemeClr val="bg1">
                  <a:lumMod val="65000"/>
                </a:schemeClr>
              </a:solidFill>
              <a:round/>
            </a:ln>
            <a:effectLst/>
          </c:spPr>
          <c:marker>
            <c:symbol val="none"/>
          </c:marker>
          <c:val>
            <c:numRef>
              <c:f>Sheet1!$E$2:$E$67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2-876F-4AF6-B019-EAD4821F9081}"/>
            </c:ext>
          </c:extLst>
        </c:ser>
        <c:ser>
          <c:idx val="3"/>
          <c:order val="3"/>
          <c:tx>
            <c:strRef>
              <c:f>Sheet1!$F$1</c:f>
              <c:strCache>
                <c:ptCount val="1"/>
                <c:pt idx="0">
                  <c:v>ՌԴ</c:v>
                </c:pt>
              </c:strCache>
            </c:strRef>
          </c:tx>
          <c:spPr>
            <a:ln w="28575" cap="rnd">
              <a:solidFill>
                <a:schemeClr val="accent6">
                  <a:lumMod val="60000"/>
                  <a:lumOff val="40000"/>
                </a:schemeClr>
              </a:solidFill>
              <a:round/>
            </a:ln>
            <a:effectLst/>
          </c:spPr>
          <c:marker>
            <c:symbol val="none"/>
          </c:marker>
          <c:val>
            <c:numRef>
              <c:f>Sheet1!$F$2:$F$67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3-876F-4AF6-B019-EAD4821F9081}"/>
            </c:ext>
          </c:extLst>
        </c:ser>
        <c:dLbls>
          <c:showLegendKey val="0"/>
          <c:showVal val="0"/>
          <c:showCatName val="0"/>
          <c:showSerName val="0"/>
          <c:showPercent val="0"/>
          <c:showBubbleSize val="0"/>
        </c:dLbls>
        <c:smooth val="0"/>
        <c:axId val="1691170544"/>
        <c:axId val="1691182512"/>
      </c:lineChart>
      <c:catAx>
        <c:axId val="1691170544"/>
        <c:scaling>
          <c:orientation val="minMax"/>
        </c:scaling>
        <c:delete val="1"/>
        <c:axPos val="b"/>
        <c:numFmt formatCode="General" sourceLinked="1"/>
        <c:majorTickMark val="none"/>
        <c:minorTickMark val="none"/>
        <c:tickLblPos val="low"/>
        <c:crossAx val="1691182512"/>
        <c:crosses val="autoZero"/>
        <c:auto val="1"/>
        <c:lblAlgn val="ctr"/>
        <c:lblOffset val="100"/>
        <c:noMultiLvlLbl val="0"/>
      </c:catAx>
      <c:valAx>
        <c:axId val="1691182512"/>
        <c:scaling>
          <c:orientation val="minMax"/>
          <c:max val="21"/>
        </c:scaling>
        <c:delete val="1"/>
        <c:axPos val="l"/>
        <c:numFmt formatCode="General" sourceLinked="1"/>
        <c:majorTickMark val="none"/>
        <c:minorTickMark val="none"/>
        <c:tickLblPos val="nextTo"/>
        <c:crossAx val="1691170544"/>
        <c:crosses val="autoZero"/>
        <c:crossBetween val="between"/>
      </c:valAx>
      <c:spPr>
        <a:noFill/>
        <a:ln w="25400">
          <a:noFill/>
        </a:ln>
      </c:spPr>
    </c:plotArea>
    <c:legend>
      <c:legendPos val="b"/>
      <c:layout>
        <c:manualLayout>
          <c:xMode val="edge"/>
          <c:yMode val="edge"/>
          <c:x val="5.2930199264204017E-2"/>
          <c:y val="0.20734332189667515"/>
          <c:w val="0.9237377436699904"/>
          <c:h val="0.60456890380865402"/>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29303715429006E-2"/>
          <c:y val="9.0331207537105523E-2"/>
          <c:w val="0.74256161161672973"/>
          <c:h val="0.52294092072846721"/>
        </c:manualLayout>
      </c:layout>
      <c:barChart>
        <c:barDir val="col"/>
        <c:grouping val="clustered"/>
        <c:varyColors val="0"/>
        <c:ser>
          <c:idx val="0"/>
          <c:order val="0"/>
          <c:tx>
            <c:strRef>
              <c:f>Sheet1!$C$1</c:f>
              <c:strCache>
                <c:ptCount val="1"/>
                <c:pt idx="0">
                  <c:v>ԿԲ միջամտություն (զուտ առք), մլն դոլար</c:v>
                </c:pt>
              </c:strCache>
            </c:strRef>
          </c:tx>
          <c:spPr>
            <a:solidFill>
              <a:srgbClr val="4F81BD">
                <a:lumMod val="75000"/>
              </a:srgbClr>
            </a:solidFill>
            <a:ln w="28575">
              <a:noFill/>
            </a:ln>
            <a:effectLst/>
          </c:spPr>
          <c:invertIfNegative val="0"/>
          <c:cat>
            <c:multiLvlStrRef>
              <c:f>Sheet1!$A$206:$B$271</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2018</c:v>
                  </c:pt>
                  <c:pt idx="12">
                    <c:v>2019</c:v>
                  </c:pt>
                  <c:pt idx="24">
                    <c:v>2020</c:v>
                  </c:pt>
                  <c:pt idx="36">
                    <c:v>2021</c:v>
                  </c:pt>
                  <c:pt idx="48">
                    <c:v>2022</c:v>
                  </c:pt>
                  <c:pt idx="60">
                    <c:v>2023</c:v>
                  </c:pt>
                </c:lvl>
              </c:multiLvlStrCache>
            </c:multiLvlStrRef>
          </c:cat>
          <c:val>
            <c:numRef>
              <c:f>Sheet1!$C$206:$C$271</c:f>
              <c:numCache>
                <c:formatCode>0</c:formatCode>
                <c:ptCount val="66"/>
                <c:pt idx="0">
                  <c:v>14</c:v>
                </c:pt>
                <c:pt idx="1">
                  <c:v>7</c:v>
                </c:pt>
                <c:pt idx="2">
                  <c:v>26</c:v>
                </c:pt>
                <c:pt idx="3">
                  <c:v>0</c:v>
                </c:pt>
                <c:pt idx="4">
                  <c:v>-10</c:v>
                </c:pt>
                <c:pt idx="5">
                  <c:v>0</c:v>
                </c:pt>
                <c:pt idx="6">
                  <c:v>7</c:v>
                </c:pt>
                <c:pt idx="7">
                  <c:v>0</c:v>
                </c:pt>
                <c:pt idx="8">
                  <c:v>0</c:v>
                </c:pt>
                <c:pt idx="9">
                  <c:v>0</c:v>
                </c:pt>
                <c:pt idx="10">
                  <c:v>0</c:v>
                </c:pt>
                <c:pt idx="11">
                  <c:v>0</c:v>
                </c:pt>
                <c:pt idx="12">
                  <c:v>0</c:v>
                </c:pt>
                <c:pt idx="13">
                  <c:v>0</c:v>
                </c:pt>
                <c:pt idx="14">
                  <c:v>5</c:v>
                </c:pt>
                <c:pt idx="15">
                  <c:v>56.65</c:v>
                </c:pt>
                <c:pt idx="16">
                  <c:v>27</c:v>
                </c:pt>
                <c:pt idx="17">
                  <c:v>96.6</c:v>
                </c:pt>
                <c:pt idx="18">
                  <c:v>94.9</c:v>
                </c:pt>
                <c:pt idx="19">
                  <c:v>29.6</c:v>
                </c:pt>
                <c:pt idx="20">
                  <c:v>123.25</c:v>
                </c:pt>
                <c:pt idx="21">
                  <c:v>61.7</c:v>
                </c:pt>
                <c:pt idx="22">
                  <c:v>27.1</c:v>
                </c:pt>
                <c:pt idx="23">
                  <c:v>43.8</c:v>
                </c:pt>
                <c:pt idx="24">
                  <c:v>37.799999999999997</c:v>
                </c:pt>
                <c:pt idx="25">
                  <c:v>20</c:v>
                </c:pt>
                <c:pt idx="26">
                  <c:v>-70</c:v>
                </c:pt>
                <c:pt idx="27">
                  <c:v>-23.9</c:v>
                </c:pt>
                <c:pt idx="28">
                  <c:v>0</c:v>
                </c:pt>
                <c:pt idx="29">
                  <c:v>0</c:v>
                </c:pt>
                <c:pt idx="30">
                  <c:v>0</c:v>
                </c:pt>
                <c:pt idx="31">
                  <c:v>0</c:v>
                </c:pt>
                <c:pt idx="32">
                  <c:v>0</c:v>
                </c:pt>
                <c:pt idx="33">
                  <c:v>0</c:v>
                </c:pt>
                <c:pt idx="34">
                  <c:v>-60</c:v>
                </c:pt>
                <c:pt idx="35">
                  <c:v>-50.85</c:v>
                </c:pt>
                <c:pt idx="36">
                  <c:v>-46.8</c:v>
                </c:pt>
                <c:pt idx="37">
                  <c:v>0</c:v>
                </c:pt>
                <c:pt idx="38">
                  <c:v>-34.799999999999997</c:v>
                </c:pt>
                <c:pt idx="39">
                  <c:v>-74.7</c:v>
                </c:pt>
                <c:pt idx="40">
                  <c:v>0</c:v>
                </c:pt>
                <c:pt idx="41">
                  <c:v>7</c:v>
                </c:pt>
                <c:pt idx="42">
                  <c:v>0</c:v>
                </c:pt>
                <c:pt idx="43">
                  <c:v>0</c:v>
                </c:pt>
                <c:pt idx="44">
                  <c:v>10</c:v>
                </c:pt>
                <c:pt idx="45">
                  <c:v>0</c:v>
                </c:pt>
                <c:pt idx="46">
                  <c:v>5</c:v>
                </c:pt>
                <c:pt idx="47">
                  <c:v>0</c:v>
                </c:pt>
                <c:pt idx="48">
                  <c:v>0</c:v>
                </c:pt>
                <c:pt idx="49">
                  <c:v>0</c:v>
                </c:pt>
                <c:pt idx="50">
                  <c:v>0</c:v>
                </c:pt>
                <c:pt idx="51">
                  <c:v>67</c:v>
                </c:pt>
                <c:pt idx="52">
                  <c:v>0</c:v>
                </c:pt>
                <c:pt idx="53">
                  <c:v>100</c:v>
                </c:pt>
                <c:pt idx="54">
                  <c:v>18.5</c:v>
                </c:pt>
                <c:pt idx="55">
                  <c:v>81.3</c:v>
                </c:pt>
                <c:pt idx="56">
                  <c:v>55</c:v>
                </c:pt>
                <c:pt idx="57">
                  <c:v>80</c:v>
                </c:pt>
                <c:pt idx="58">
                  <c:v>114</c:v>
                </c:pt>
                <c:pt idx="59">
                  <c:v>58</c:v>
                </c:pt>
                <c:pt idx="61" formatCode="_(* #,##0_);_(* \(#,##0\);_(* &quot;-&quot;??_);_(@_)">
                  <c:v>40</c:v>
                </c:pt>
                <c:pt idx="62" formatCode="_(* #,##0_);_(* \(#,##0\);_(* &quot;-&quot;??_);_(@_)">
                  <c:v>151.30000000000001</c:v>
                </c:pt>
                <c:pt idx="63" formatCode="_(* #,##0_);_(* \(#,##0\);_(* &quot;-&quot;??_);_(@_)">
                  <c:v>181.6</c:v>
                </c:pt>
                <c:pt idx="64" formatCode="_(* #,##0_);_(* \(#,##0\);_(* &quot;-&quot;??_);_(@_)">
                  <c:v>209.5</c:v>
                </c:pt>
                <c:pt idx="65" formatCode="_(* #,##0_);_(* \(#,##0\);_(* &quot;-&quot;??_);_(@_)">
                  <c:v>198.8</c:v>
                </c:pt>
              </c:numCache>
            </c:numRef>
          </c:val>
          <c:extLst>
            <c:ext xmlns:c16="http://schemas.microsoft.com/office/drawing/2014/chart" uri="{C3380CC4-5D6E-409C-BE32-E72D297353CC}">
              <c16:uniqueId val="{00000000-5460-4E56-83BD-A4BC5B48F64F}"/>
            </c:ext>
          </c:extLst>
        </c:ser>
        <c:dLbls>
          <c:showLegendKey val="0"/>
          <c:showVal val="0"/>
          <c:showCatName val="0"/>
          <c:showSerName val="0"/>
          <c:showPercent val="0"/>
          <c:showBubbleSize val="0"/>
        </c:dLbls>
        <c:gapWidth val="150"/>
        <c:axId val="175953408"/>
        <c:axId val="175954944"/>
      </c:barChart>
      <c:lineChart>
        <c:grouping val="standard"/>
        <c:varyColors val="0"/>
        <c:ser>
          <c:idx val="1"/>
          <c:order val="1"/>
          <c:tx>
            <c:strRef>
              <c:f>Sheet1!$D$1</c:f>
              <c:strCache>
                <c:ptCount val="1"/>
                <c:pt idx="0">
                  <c:v>Դրամ/դոլար (աջ առանցք)</c:v>
                </c:pt>
              </c:strCache>
            </c:strRef>
          </c:tx>
          <c:spPr>
            <a:ln w="28575" cap="rnd">
              <a:solidFill>
                <a:srgbClr val="1F497D">
                  <a:lumMod val="60000"/>
                  <a:lumOff val="40000"/>
                </a:srgbClr>
              </a:solidFill>
              <a:round/>
            </a:ln>
            <a:effectLst/>
          </c:spPr>
          <c:marker>
            <c:symbol val="none"/>
          </c:marker>
          <c:cat>
            <c:numRef>
              <c:f>Sheet1!$C$271</c:f>
              <c:numCache>
                <c:formatCode>_(* #,##0_);_(* \(#,##0\);_(* "-"??_);_(@_)</c:formatCode>
                <c:ptCount val="1"/>
                <c:pt idx="0">
                  <c:v>198.8</c:v>
                </c:pt>
              </c:numCache>
            </c:numRef>
          </c:cat>
          <c:val>
            <c:numRef>
              <c:f>Sheet1!$D$206:$D$271</c:f>
              <c:numCache>
                <c:formatCode>0</c:formatCode>
                <c:ptCount val="66"/>
                <c:pt idx="0">
                  <c:v>482.4</c:v>
                </c:pt>
                <c:pt idx="1">
                  <c:v>481.37</c:v>
                </c:pt>
                <c:pt idx="2">
                  <c:v>480.41</c:v>
                </c:pt>
                <c:pt idx="3">
                  <c:v>481.35</c:v>
                </c:pt>
                <c:pt idx="4">
                  <c:v>484.09</c:v>
                </c:pt>
                <c:pt idx="5">
                  <c:v>482.62</c:v>
                </c:pt>
                <c:pt idx="6">
                  <c:v>481.43</c:v>
                </c:pt>
                <c:pt idx="7">
                  <c:v>482.43</c:v>
                </c:pt>
                <c:pt idx="8">
                  <c:v>483.82</c:v>
                </c:pt>
                <c:pt idx="9">
                  <c:v>484.93</c:v>
                </c:pt>
                <c:pt idx="10">
                  <c:v>486.33</c:v>
                </c:pt>
                <c:pt idx="11">
                  <c:v>484.67</c:v>
                </c:pt>
                <c:pt idx="12">
                  <c:v>485.79</c:v>
                </c:pt>
                <c:pt idx="13">
                  <c:v>488.41</c:v>
                </c:pt>
                <c:pt idx="14">
                  <c:v>487.48</c:v>
                </c:pt>
                <c:pt idx="15">
                  <c:v>484.29</c:v>
                </c:pt>
                <c:pt idx="16">
                  <c:v>480.55</c:v>
                </c:pt>
                <c:pt idx="17">
                  <c:v>478.47</c:v>
                </c:pt>
                <c:pt idx="18">
                  <c:v>476.5</c:v>
                </c:pt>
                <c:pt idx="19">
                  <c:v>476</c:v>
                </c:pt>
                <c:pt idx="20">
                  <c:v>476.23</c:v>
                </c:pt>
                <c:pt idx="21">
                  <c:v>476.3</c:v>
                </c:pt>
                <c:pt idx="22">
                  <c:v>477.08</c:v>
                </c:pt>
                <c:pt idx="23">
                  <c:v>478.24</c:v>
                </c:pt>
                <c:pt idx="24">
                  <c:v>479.21</c:v>
                </c:pt>
                <c:pt idx="25">
                  <c:v>478.74</c:v>
                </c:pt>
                <c:pt idx="26">
                  <c:v>489.01</c:v>
                </c:pt>
                <c:pt idx="27">
                  <c:v>488.66</c:v>
                </c:pt>
                <c:pt idx="28">
                  <c:v>484.12</c:v>
                </c:pt>
                <c:pt idx="29">
                  <c:v>481.27</c:v>
                </c:pt>
                <c:pt idx="30">
                  <c:v>484.65</c:v>
                </c:pt>
                <c:pt idx="31">
                  <c:v>485.49</c:v>
                </c:pt>
                <c:pt idx="32">
                  <c:v>486.69</c:v>
                </c:pt>
                <c:pt idx="33">
                  <c:v>491.74</c:v>
                </c:pt>
                <c:pt idx="34">
                  <c:v>499.62</c:v>
                </c:pt>
                <c:pt idx="35">
                  <c:v>518.91</c:v>
                </c:pt>
                <c:pt idx="36">
                  <c:v>521.20000000000005</c:v>
                </c:pt>
                <c:pt idx="37">
                  <c:v>523.54</c:v>
                </c:pt>
                <c:pt idx="38">
                  <c:v>527.66999999999996</c:v>
                </c:pt>
                <c:pt idx="39">
                  <c:v>525.62</c:v>
                </c:pt>
                <c:pt idx="40">
                  <c:v>521.35</c:v>
                </c:pt>
                <c:pt idx="41">
                  <c:v>513.09</c:v>
                </c:pt>
                <c:pt idx="42">
                  <c:v>490.87</c:v>
                </c:pt>
                <c:pt idx="43">
                  <c:v>491.73</c:v>
                </c:pt>
                <c:pt idx="44">
                  <c:v>488.12</c:v>
                </c:pt>
                <c:pt idx="45">
                  <c:v>479.25</c:v>
                </c:pt>
                <c:pt idx="46">
                  <c:v>477.66</c:v>
                </c:pt>
                <c:pt idx="47">
                  <c:v>485.14</c:v>
                </c:pt>
                <c:pt idx="48">
                  <c:v>481.99</c:v>
                </c:pt>
                <c:pt idx="49">
                  <c:v>480.24</c:v>
                </c:pt>
                <c:pt idx="50">
                  <c:v>496.96</c:v>
                </c:pt>
                <c:pt idx="51">
                  <c:v>470.99</c:v>
                </c:pt>
                <c:pt idx="52">
                  <c:v>456.54</c:v>
                </c:pt>
                <c:pt idx="53">
                  <c:v>422.69</c:v>
                </c:pt>
                <c:pt idx="54">
                  <c:v>411.03</c:v>
                </c:pt>
                <c:pt idx="55">
                  <c:v>405.75</c:v>
                </c:pt>
                <c:pt idx="56">
                  <c:v>409.15</c:v>
                </c:pt>
                <c:pt idx="57">
                  <c:v>402.73</c:v>
                </c:pt>
                <c:pt idx="58">
                  <c:v>395.38</c:v>
                </c:pt>
                <c:pt idx="59">
                  <c:v>394.54</c:v>
                </c:pt>
                <c:pt idx="60">
                  <c:v>395.89</c:v>
                </c:pt>
                <c:pt idx="61">
                  <c:v>393.45</c:v>
                </c:pt>
                <c:pt idx="62">
                  <c:v>388.44</c:v>
                </c:pt>
                <c:pt idx="63">
                  <c:v>387.74</c:v>
                </c:pt>
                <c:pt idx="64">
                  <c:v>386.56</c:v>
                </c:pt>
                <c:pt idx="65">
                  <c:v>386.67</c:v>
                </c:pt>
              </c:numCache>
            </c:numRef>
          </c:val>
          <c:smooth val="0"/>
          <c:extLst>
            <c:ext xmlns:c16="http://schemas.microsoft.com/office/drawing/2014/chart" uri="{C3380CC4-5D6E-409C-BE32-E72D297353CC}">
              <c16:uniqueId val="{00000001-5460-4E56-83BD-A4BC5B48F64F}"/>
            </c:ext>
          </c:extLst>
        </c:ser>
        <c:dLbls>
          <c:showLegendKey val="0"/>
          <c:showVal val="0"/>
          <c:showCatName val="0"/>
          <c:showSerName val="0"/>
          <c:showPercent val="0"/>
          <c:showBubbleSize val="0"/>
        </c:dLbls>
        <c:marker val="1"/>
        <c:smooth val="0"/>
        <c:axId val="176032000"/>
        <c:axId val="176030464"/>
      </c:lineChart>
      <c:catAx>
        <c:axId val="175953408"/>
        <c:scaling>
          <c:orientation val="minMax"/>
        </c:scaling>
        <c:delete val="0"/>
        <c:axPos val="b"/>
        <c:numFmt formatCode="General" sourceLinked="1"/>
        <c:majorTickMark val="none"/>
        <c:minorTickMark val="none"/>
        <c:tickLblPos val="low"/>
        <c:spPr>
          <a:noFill/>
          <a:ln w="9525" cap="flat" cmpd="sng" algn="ctr">
            <a:solidFill>
              <a:sysClr val="window" lastClr="FFFFFF">
                <a:lumMod val="85000"/>
              </a:sys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100"/>
        <c:noMultiLvlLbl val="0"/>
      </c:catAx>
      <c:valAx>
        <c:axId val="175954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autoZero"/>
        <c:crossBetween val="between"/>
      </c:valAx>
      <c:valAx>
        <c:axId val="176030464"/>
        <c:scaling>
          <c:orientation val="minMax"/>
          <c:min val="38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6032000"/>
        <c:crosses val="max"/>
        <c:crossBetween val="between"/>
      </c:valAx>
      <c:catAx>
        <c:axId val="176032000"/>
        <c:scaling>
          <c:orientation val="minMax"/>
        </c:scaling>
        <c:delete val="1"/>
        <c:axPos val="b"/>
        <c:numFmt formatCode="_(* #,##0_);_(* \(#,##0\);_(* &quot;-&quot;??_);_(@_)" sourceLinked="1"/>
        <c:majorTickMark val="out"/>
        <c:minorTickMark val="none"/>
        <c:tickLblPos val="nextTo"/>
        <c:crossAx val="176030464"/>
        <c:crosses val="autoZero"/>
        <c:auto val="1"/>
        <c:lblAlgn val="ctr"/>
        <c:lblOffset val="100"/>
        <c:noMultiLvlLbl val="0"/>
      </c:catAx>
      <c:spPr>
        <a:noFill/>
        <a:ln>
          <a:noFill/>
        </a:ln>
        <a:effectLst/>
      </c:spPr>
    </c:plotArea>
    <c:legend>
      <c:legendPos val="b"/>
      <c:layout>
        <c:manualLayout>
          <c:xMode val="edge"/>
          <c:yMode val="edge"/>
          <c:x val="5.2159352564150954E-2"/>
          <c:y val="0.87008304878442866"/>
          <c:w val="0.9056316195769647"/>
          <c:h val="0.116580314601577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Sheet1!$D$1</c:f>
              <c:strCache>
                <c:ptCount val="1"/>
                <c:pt idx="0">
                  <c:v>Եվրո</c:v>
                </c:pt>
              </c:strCache>
            </c:strRef>
          </c:tx>
          <c:spPr>
            <a:ln w="28575" cap="rnd">
              <a:solidFill>
                <a:schemeClr val="accent2">
                  <a:lumMod val="60000"/>
                  <a:lumOff val="40000"/>
                </a:schemeClr>
              </a:solidFill>
              <a:round/>
            </a:ln>
            <a:effectLst/>
          </c:spPr>
          <c:marker>
            <c:symbol val="none"/>
          </c:marker>
          <c:cat>
            <c:multiLvlStrRef>
              <c:f>Sheet1!$A$2:$B$61</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Sheet1!$D$2:$D$57</c:f>
              <c:numCache>
                <c:formatCode>0</c:formatCode>
                <c:ptCount val="56"/>
                <c:pt idx="0" formatCode="General">
                  <c:v>100</c:v>
                </c:pt>
                <c:pt idx="1">
                  <c:v>100.10283796705576</c:v>
                </c:pt>
                <c:pt idx="2">
                  <c:v>100.62204167497869</c:v>
                </c:pt>
                <c:pt idx="3">
                  <c:v>101.9120915452859</c:v>
                </c:pt>
                <c:pt idx="4">
                  <c:v>103.23564982789097</c:v>
                </c:pt>
                <c:pt idx="5">
                  <c:v>102.7139101780888</c:v>
                </c:pt>
                <c:pt idx="6">
                  <c:v>103.79765779922926</c:v>
                </c:pt>
                <c:pt idx="7">
                  <c:v>104.78564683663834</c:v>
                </c:pt>
                <c:pt idx="8">
                  <c:v>105.81280036616066</c:v>
                </c:pt>
                <c:pt idx="9">
                  <c:v>105.40473793195162</c:v>
                </c:pt>
                <c:pt idx="10">
                  <c:v>105.20288206295035</c:v>
                </c:pt>
                <c:pt idx="11">
                  <c:v>104.45423396965251</c:v>
                </c:pt>
                <c:pt idx="12">
                  <c:v>104.40902504657424</c:v>
                </c:pt>
                <c:pt idx="13">
                  <c:v>106.17524924890446</c:v>
                </c:pt>
                <c:pt idx="14">
                  <c:v>102.54116690384225</c:v>
                </c:pt>
                <c:pt idx="15">
                  <c:v>104.41884974405301</c:v>
                </c:pt>
                <c:pt idx="16">
                  <c:v>105.37471037338096</c:v>
                </c:pt>
                <c:pt idx="17">
                  <c:v>102.41057255712653</c:v>
                </c:pt>
                <c:pt idx="18">
                  <c:v>99.926159387663233</c:v>
                </c:pt>
                <c:pt idx="19">
                  <c:v>96.593025887432347</c:v>
                </c:pt>
                <c:pt idx="20">
                  <c:v>96.670441676104204</c:v>
                </c:pt>
                <c:pt idx="21">
                  <c:v>95.881936163962223</c:v>
                </c:pt>
                <c:pt idx="22">
                  <c:v>93.83233836735387</c:v>
                </c:pt>
                <c:pt idx="23">
                  <c:v>87.899622952377953</c:v>
                </c:pt>
                <c:pt idx="24">
                  <c:v>87.649679315029573</c:v>
                </c:pt>
                <c:pt idx="25">
                  <c:v>87.594329197057277</c:v>
                </c:pt>
                <c:pt idx="26">
                  <c:v>88.346098116332058</c:v>
                </c:pt>
                <c:pt idx="27">
                  <c:v>88.288460314429415</c:v>
                </c:pt>
                <c:pt idx="28">
                  <c:v>87.623379289651183</c:v>
                </c:pt>
                <c:pt idx="29">
                  <c:v>89.718961223763841</c:v>
                </c:pt>
                <c:pt idx="30">
                  <c:v>95.614261834600001</c:v>
                </c:pt>
                <c:pt idx="31">
                  <c:v>95.858744665779838</c:v>
                </c:pt>
                <c:pt idx="32">
                  <c:v>96.524129292648169</c:v>
                </c:pt>
                <c:pt idx="33">
                  <c:v>99.816500557694425</c:v>
                </c:pt>
                <c:pt idx="34">
                  <c:v>101.77189185223236</c:v>
                </c:pt>
                <c:pt idx="35">
                  <c:v>101.20939056201095</c:v>
                </c:pt>
                <c:pt idx="36">
                  <c:v>101.57254004576663</c:v>
                </c:pt>
                <c:pt idx="37">
                  <c:v>101.90460447774903</c:v>
                </c:pt>
                <c:pt idx="38">
                  <c:v>101.28514056224904</c:v>
                </c:pt>
                <c:pt idx="39">
                  <c:v>108.8177610418138</c:v>
                </c:pt>
                <c:pt idx="40">
                  <c:v>114.87608439098122</c:v>
                </c:pt>
                <c:pt idx="41">
                  <c:v>124.12805655607511</c:v>
                </c:pt>
                <c:pt idx="42">
                  <c:v>132.62262166555121</c:v>
                </c:pt>
                <c:pt idx="43">
                  <c:v>135.01070663811566</c:v>
                </c:pt>
                <c:pt idx="44">
                  <c:v>136.85898226486768</c:v>
                </c:pt>
                <c:pt idx="45">
                  <c:v>140.18899388549195</c:v>
                </c:pt>
                <c:pt idx="46">
                  <c:v>137.62960758049314</c:v>
                </c:pt>
                <c:pt idx="47">
                  <c:v>132.82899619353142</c:v>
                </c:pt>
                <c:pt idx="48">
                  <c:v>129.85395993259692</c:v>
                </c:pt>
                <c:pt idx="49">
                  <c:v>131.57844811231269</c:v>
                </c:pt>
                <c:pt idx="50">
                  <c:v>133.34935589309751</c:v>
                </c:pt>
                <c:pt idx="51">
                  <c:v>130.52294808158274</c:v>
                </c:pt>
                <c:pt idx="52">
                  <c:v>132.16769890424013</c:v>
                </c:pt>
                <c:pt idx="53">
                  <c:v>132.37897549686258</c:v>
                </c:pt>
                <c:pt idx="54">
                  <c:v>129.69308805310772</c:v>
                </c:pt>
                <c:pt idx="55">
                  <c:v>131.69712793733683</c:v>
                </c:pt>
              </c:numCache>
            </c:numRef>
          </c:val>
          <c:smooth val="0"/>
          <c:extLst>
            <c:ext xmlns:c16="http://schemas.microsoft.com/office/drawing/2014/chart" uri="{C3380CC4-5D6E-409C-BE32-E72D297353CC}">
              <c16:uniqueId val="{00000000-5F2B-4A8C-927E-D7080F18BB69}"/>
            </c:ext>
          </c:extLst>
        </c:ser>
        <c:ser>
          <c:idx val="1"/>
          <c:order val="1"/>
          <c:tx>
            <c:strRef>
              <c:f>Sheet1!$E$1</c:f>
              <c:strCache>
                <c:ptCount val="1"/>
                <c:pt idx="0">
                  <c:v>Ռուբլի</c:v>
                </c:pt>
              </c:strCache>
            </c:strRef>
          </c:tx>
          <c:spPr>
            <a:ln w="28575" cap="rnd">
              <a:solidFill>
                <a:srgbClr val="4F81BD">
                  <a:lumMod val="60000"/>
                  <a:lumOff val="40000"/>
                </a:srgbClr>
              </a:solidFill>
              <a:round/>
            </a:ln>
            <a:effectLst/>
          </c:spPr>
          <c:marker>
            <c:symbol val="none"/>
          </c:marker>
          <c:cat>
            <c:multiLvlStrRef>
              <c:f>Sheet1!$A$2:$B$61</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Sheet1!$E$2:$E$57</c:f>
              <c:numCache>
                <c:formatCode>0</c:formatCode>
                <c:ptCount val="56"/>
                <c:pt idx="0" formatCode="General">
                  <c:v>100</c:v>
                </c:pt>
                <c:pt idx="1">
                  <c:v>98.382749326145543</c:v>
                </c:pt>
                <c:pt idx="2">
                  <c:v>97.463284379172222</c:v>
                </c:pt>
                <c:pt idx="3">
                  <c:v>97.333333333333329</c:v>
                </c:pt>
                <c:pt idx="4">
                  <c:v>98.648648648648631</c:v>
                </c:pt>
                <c:pt idx="5">
                  <c:v>97.855227882037525</c:v>
                </c:pt>
                <c:pt idx="6">
                  <c:v>96.816976127320956</c:v>
                </c:pt>
                <c:pt idx="7">
                  <c:v>100.82872928176795</c:v>
                </c:pt>
                <c:pt idx="8">
                  <c:v>99.4550408719346</c:v>
                </c:pt>
                <c:pt idx="9">
                  <c:v>98.515519568151134</c:v>
                </c:pt>
                <c:pt idx="10">
                  <c:v>97.724230254350729</c:v>
                </c:pt>
                <c:pt idx="11">
                  <c:v>95.926412614980279</c:v>
                </c:pt>
                <c:pt idx="12">
                  <c:v>94.193548387096769</c:v>
                </c:pt>
                <c:pt idx="13">
                  <c:v>97.724230254350729</c:v>
                </c:pt>
                <c:pt idx="14">
                  <c:v>110.43872919818456</c:v>
                </c:pt>
                <c:pt idx="15">
                  <c:v>112.13517665130568</c:v>
                </c:pt>
                <c:pt idx="16">
                  <c:v>109.77443609022556</c:v>
                </c:pt>
                <c:pt idx="17">
                  <c:v>105.03597122302159</c:v>
                </c:pt>
                <c:pt idx="18">
                  <c:v>107.66961651917406</c:v>
                </c:pt>
                <c:pt idx="19">
                  <c:v>110.94224924012158</c:v>
                </c:pt>
                <c:pt idx="20">
                  <c:v>113.8845553822153</c:v>
                </c:pt>
                <c:pt idx="21">
                  <c:v>115.32385466034756</c:v>
                </c:pt>
                <c:pt idx="22">
                  <c:v>112.30769230769232</c:v>
                </c:pt>
                <c:pt idx="23">
                  <c:v>104.28571428571431</c:v>
                </c:pt>
                <c:pt idx="24">
                  <c:v>104.13694721825966</c:v>
                </c:pt>
                <c:pt idx="25">
                  <c:v>103.69318181818186</c:v>
                </c:pt>
                <c:pt idx="26">
                  <c:v>102.96191819464038</c:v>
                </c:pt>
                <c:pt idx="27">
                  <c:v>105.64399421128802</c:v>
                </c:pt>
                <c:pt idx="28">
                  <c:v>103.69318181818186</c:v>
                </c:pt>
                <c:pt idx="29">
                  <c:v>103.25318246110329</c:v>
                </c:pt>
                <c:pt idx="30">
                  <c:v>109.93975903614464</c:v>
                </c:pt>
                <c:pt idx="31">
                  <c:v>109.28143712574855</c:v>
                </c:pt>
                <c:pt idx="32">
                  <c:v>108.95522388059706</c:v>
                </c:pt>
                <c:pt idx="33">
                  <c:v>108.79284649776459</c:v>
                </c:pt>
                <c:pt idx="34">
                  <c:v>111.28048780487812</c:v>
                </c:pt>
                <c:pt idx="35">
                  <c:v>110.94224924012164</c:v>
                </c:pt>
                <c:pt idx="36">
                  <c:v>115.50632911392411</c:v>
                </c:pt>
                <c:pt idx="37">
                  <c:v>118.50649350649357</c:v>
                </c:pt>
                <c:pt idx="38">
                  <c:v>151.13871635610775</c:v>
                </c:pt>
                <c:pt idx="39">
                  <c:v>119.67213114754107</c:v>
                </c:pt>
                <c:pt idx="40">
                  <c:v>101.81311018131109</c:v>
                </c:pt>
                <c:pt idx="41">
                  <c:v>97.593582887700592</c:v>
                </c:pt>
                <c:pt idx="42">
                  <c:v>103.69318181818188</c:v>
                </c:pt>
                <c:pt idx="43">
                  <c:v>108.63095238095245</c:v>
                </c:pt>
                <c:pt idx="44">
                  <c:v>105.79710144927542</c:v>
                </c:pt>
                <c:pt idx="45">
                  <c:v>111.28048780487812</c:v>
                </c:pt>
                <c:pt idx="46">
                  <c:v>112.30769230769238</c:v>
                </c:pt>
                <c:pt idx="47">
                  <c:v>121.86978297161943</c:v>
                </c:pt>
                <c:pt idx="48">
                  <c:v>127.84588441331006</c:v>
                </c:pt>
                <c:pt idx="49">
                  <c:v>135.94040968342654</c:v>
                </c:pt>
                <c:pt idx="50">
                  <c:v>143.13725490196089</c:v>
                </c:pt>
                <c:pt idx="51">
                  <c:v>152.71966527196662</c:v>
                </c:pt>
                <c:pt idx="52">
                  <c:v>149.59016393442633</c:v>
                </c:pt>
                <c:pt idx="53">
                  <c:v>157.66738660907137</c:v>
                </c:pt>
                <c:pt idx="54">
                  <c:v>170.96018735363009</c:v>
                </c:pt>
                <c:pt idx="55">
                  <c:v>180.69306930693079</c:v>
                </c:pt>
              </c:numCache>
            </c:numRef>
          </c:val>
          <c:smooth val="0"/>
          <c:extLst>
            <c:ext xmlns:c16="http://schemas.microsoft.com/office/drawing/2014/chart" uri="{C3380CC4-5D6E-409C-BE32-E72D297353CC}">
              <c16:uniqueId val="{00000001-5F2B-4A8C-927E-D7080F18BB69}"/>
            </c:ext>
          </c:extLst>
        </c:ser>
        <c:ser>
          <c:idx val="2"/>
          <c:order val="2"/>
          <c:tx>
            <c:strRef>
              <c:f>Sheet1!$C$1</c:f>
              <c:strCache>
                <c:ptCount val="1"/>
                <c:pt idx="0">
                  <c:v>Դոլար</c:v>
                </c:pt>
              </c:strCache>
            </c:strRef>
          </c:tx>
          <c:spPr>
            <a:ln w="28575" cap="rnd">
              <a:solidFill>
                <a:schemeClr val="accent1">
                  <a:lumMod val="75000"/>
                </a:schemeClr>
              </a:solidFill>
              <a:round/>
            </a:ln>
            <a:effectLst/>
          </c:spPr>
          <c:marker>
            <c:symbol val="none"/>
          </c:marker>
          <c:cat>
            <c:multiLvlStrRef>
              <c:f>Sheet1!$A$2:$B$61</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Sheet1!$C$2:$C$57</c:f>
              <c:numCache>
                <c:formatCode>0</c:formatCode>
                <c:ptCount val="56"/>
                <c:pt idx="0" formatCode="General">
                  <c:v>100</c:v>
                </c:pt>
                <c:pt idx="1">
                  <c:v>99.463565447062919</c:v>
                </c:pt>
                <c:pt idx="2">
                  <c:v>99.653319110527619</c:v>
                </c:pt>
                <c:pt idx="3">
                  <c:v>100.3097317722852</c:v>
                </c:pt>
                <c:pt idx="4">
                  <c:v>101.09041723025699</c:v>
                </c:pt>
                <c:pt idx="5">
                  <c:v>101.52987648128408</c:v>
                </c:pt>
                <c:pt idx="6">
                  <c:v>101.94963273871983</c:v>
                </c:pt>
                <c:pt idx="7">
                  <c:v>102.05672268907563</c:v>
                </c:pt>
                <c:pt idx="8">
                  <c:v>102.00743338302921</c:v>
                </c:pt>
                <c:pt idx="9">
                  <c:v>101.99244173840016</c:v>
                </c:pt>
                <c:pt idx="10">
                  <c:v>101.82568961180515</c:v>
                </c:pt>
                <c:pt idx="11">
                  <c:v>101.57870525259283</c:v>
                </c:pt>
                <c:pt idx="12">
                  <c:v>101.37309321591786</c:v>
                </c:pt>
                <c:pt idx="13">
                  <c:v>101.47261561599196</c:v>
                </c:pt>
                <c:pt idx="14">
                  <c:v>99.341526758143985</c:v>
                </c:pt>
                <c:pt idx="15">
                  <c:v>99.412679572709024</c:v>
                </c:pt>
                <c:pt idx="16">
                  <c:v>100.3449557960836</c:v>
                </c:pt>
                <c:pt idx="17">
                  <c:v>100.93918174829096</c:v>
                </c:pt>
                <c:pt idx="18">
                  <c:v>100.23522129371709</c:v>
                </c:pt>
                <c:pt idx="19">
                  <c:v>100.06179323981954</c:v>
                </c:pt>
                <c:pt idx="20">
                  <c:v>99.815077359304667</c:v>
                </c:pt>
                <c:pt idx="21">
                  <c:v>98.790010981412919</c:v>
                </c:pt>
                <c:pt idx="22">
                  <c:v>97.231896241143247</c:v>
                </c:pt>
                <c:pt idx="23">
                  <c:v>93.617390298895742</c:v>
                </c:pt>
                <c:pt idx="24">
                  <c:v>93.206062931696053</c:v>
                </c:pt>
                <c:pt idx="25">
                  <c:v>92.789471673606585</c:v>
                </c:pt>
                <c:pt idx="26">
                  <c:v>92.063221331514001</c:v>
                </c:pt>
                <c:pt idx="27">
                  <c:v>92.42228225714392</c:v>
                </c:pt>
                <c:pt idx="28">
                  <c:v>93.179246187781686</c:v>
                </c:pt>
                <c:pt idx="29">
                  <c:v>94.679296029936225</c:v>
                </c:pt>
                <c:pt idx="30">
                  <c:v>98.965102776702551</c:v>
                </c:pt>
                <c:pt idx="31">
                  <c:v>98.792020010981602</c:v>
                </c:pt>
                <c:pt idx="32">
                  <c:v>99.522658362697669</c:v>
                </c:pt>
                <c:pt idx="33">
                  <c:v>101.36463223787163</c:v>
                </c:pt>
                <c:pt idx="34">
                  <c:v>101.70204748147214</c:v>
                </c:pt>
                <c:pt idx="35">
                  <c:v>100.13398194335653</c:v>
                </c:pt>
                <c:pt idx="36">
                  <c:v>100.7883980995456</c:v>
                </c:pt>
                <c:pt idx="37">
                  <c:v>101.155672163918</c:v>
                </c:pt>
                <c:pt idx="38">
                  <c:v>97.752334191886632</c:v>
                </c:pt>
                <c:pt idx="39">
                  <c:v>103.14231724665062</c:v>
                </c:pt>
                <c:pt idx="40">
                  <c:v>106.40688658167954</c:v>
                </c:pt>
                <c:pt idx="41">
                  <c:v>114.92819797014356</c:v>
                </c:pt>
                <c:pt idx="42">
                  <c:v>118.18845339756218</c:v>
                </c:pt>
                <c:pt idx="43">
                  <c:v>119.72643253234745</c:v>
                </c:pt>
                <c:pt idx="44">
                  <c:v>118.73151655871924</c:v>
                </c:pt>
                <c:pt idx="45">
                  <c:v>120.62423956496902</c:v>
                </c:pt>
                <c:pt idx="46">
                  <c:v>122.86660933785214</c:v>
                </c:pt>
                <c:pt idx="47">
                  <c:v>123.12819992903121</c:v>
                </c:pt>
                <c:pt idx="48">
                  <c:v>122.70832807092874</c:v>
                </c:pt>
                <c:pt idx="49">
                  <c:v>123.46930995043839</c:v>
                </c:pt>
                <c:pt idx="50">
                  <c:v>125.06178560395423</c:v>
                </c:pt>
                <c:pt idx="51">
                  <c:v>125.28756383143339</c:v>
                </c:pt>
                <c:pt idx="52">
                  <c:v>125.67001241721849</c:v>
                </c:pt>
                <c:pt idx="53">
                  <c:v>125.63426177360533</c:v>
                </c:pt>
                <c:pt idx="54">
                  <c:v>125.67651472033936</c:v>
                </c:pt>
                <c:pt idx="55">
                  <c:v>125.79692881373481</c:v>
                </c:pt>
              </c:numCache>
            </c:numRef>
          </c:val>
          <c:smooth val="0"/>
          <c:extLst>
            <c:ext xmlns:c16="http://schemas.microsoft.com/office/drawing/2014/chart" uri="{C3380CC4-5D6E-409C-BE32-E72D297353CC}">
              <c16:uniqueId val="{00000002-5F2B-4A8C-927E-D7080F18BB69}"/>
            </c:ext>
          </c:extLst>
        </c:ser>
        <c:dLbls>
          <c:showLegendKey val="0"/>
          <c:showVal val="0"/>
          <c:showCatName val="0"/>
          <c:showSerName val="0"/>
          <c:showPercent val="0"/>
          <c:showBubbleSize val="0"/>
        </c:dLbls>
        <c:smooth val="0"/>
        <c:axId val="740360840"/>
        <c:axId val="740359040"/>
      </c:lineChart>
      <c:catAx>
        <c:axId val="740360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359040"/>
        <c:crosses val="autoZero"/>
        <c:auto val="1"/>
        <c:lblAlgn val="ctr"/>
        <c:lblOffset val="100"/>
        <c:noMultiLvlLbl val="0"/>
      </c:catAx>
      <c:valAx>
        <c:axId val="740359040"/>
        <c:scaling>
          <c:orientation val="minMax"/>
          <c:max val="170"/>
          <c:min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y-AM" sz="700"/>
                  <a:t>Ինդեքս, 2019 թ. հունվար 8=100</a:t>
                </a:r>
                <a:endParaRPr lang="en-US" sz="700"/>
              </a:p>
            </c:rich>
          </c:tx>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3608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Sheet1!$D$1</c:f>
              <c:strCache>
                <c:ptCount val="1"/>
                <c:pt idx="0">
                  <c:v>Անվանական</c:v>
                </c:pt>
              </c:strCache>
            </c:strRef>
          </c:tx>
          <c:spPr>
            <a:ln w="28575" cap="rnd">
              <a:solidFill>
                <a:schemeClr val="accent2">
                  <a:lumMod val="60000"/>
                  <a:lumOff val="40000"/>
                </a:schemeClr>
              </a:solidFill>
              <a:round/>
            </a:ln>
            <a:effectLst/>
          </c:spPr>
          <c:marker>
            <c:symbol val="none"/>
          </c:marker>
          <c:cat>
            <c:multiLvlStrRef>
              <c:f>Sheet1!$A$2:$B$61</c:f>
              <c:multiLvlStrCache>
                <c:ptCount val="5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lvl>
                <c:lvl>
                  <c:pt idx="0">
                    <c:v>2019</c:v>
                  </c:pt>
                  <c:pt idx="12">
                    <c:v>2020</c:v>
                  </c:pt>
                  <c:pt idx="24">
                    <c:v>2021</c:v>
                  </c:pt>
                  <c:pt idx="36">
                    <c:v>2022</c:v>
                  </c:pt>
                  <c:pt idx="48">
                    <c:v>2023</c:v>
                  </c:pt>
                </c:lvl>
              </c:multiLvlStrCache>
            </c:multiLvlStrRef>
          </c:cat>
          <c:val>
            <c:numRef>
              <c:f>Sheet1!$D$2:$D$56</c:f>
              <c:numCache>
                <c:formatCode>0.0</c:formatCode>
                <c:ptCount val="55"/>
                <c:pt idx="0">
                  <c:v>8.3791628475404707</c:v>
                </c:pt>
                <c:pt idx="1">
                  <c:v>10.238450644926701</c:v>
                </c:pt>
                <c:pt idx="2">
                  <c:v>10.849946464079949</c:v>
                </c:pt>
                <c:pt idx="3">
                  <c:v>10.721132856247976</c:v>
                </c:pt>
                <c:pt idx="4">
                  <c:v>10.381725278028256</c:v>
                </c:pt>
                <c:pt idx="5">
                  <c:v>9.6048978782470726</c:v>
                </c:pt>
                <c:pt idx="6">
                  <c:v>8.6443243697832344</c:v>
                </c:pt>
                <c:pt idx="7">
                  <c:v>7.534837274749222</c:v>
                </c:pt>
                <c:pt idx="8">
                  <c:v>6.3813012662260036</c:v>
                </c:pt>
                <c:pt idx="9">
                  <c:v>5.5438795796648606</c:v>
                </c:pt>
                <c:pt idx="10">
                  <c:v>4.8959788753156488</c:v>
                </c:pt>
                <c:pt idx="11">
                  <c:v>4.3923103891550852</c:v>
                </c:pt>
                <c:pt idx="12">
                  <c:v>2.9670871802100436</c:v>
                </c:pt>
                <c:pt idx="13">
                  <c:v>2.6039858343170721</c:v>
                </c:pt>
                <c:pt idx="14">
                  <c:v>3.1714272572558713</c:v>
                </c:pt>
                <c:pt idx="15">
                  <c:v>3.7854240600730549</c:v>
                </c:pt>
                <c:pt idx="16">
                  <c:v>3.8285589805032032</c:v>
                </c:pt>
                <c:pt idx="17">
                  <c:v>3.7235125172437193</c:v>
                </c:pt>
                <c:pt idx="18">
                  <c:v>3.8007140852838432</c:v>
                </c:pt>
                <c:pt idx="19">
                  <c:v>3.6874762568063915</c:v>
                </c:pt>
                <c:pt idx="20">
                  <c:v>3.7347566681389139</c:v>
                </c:pt>
                <c:pt idx="21">
                  <c:v>3.8581077444701464</c:v>
                </c:pt>
                <c:pt idx="22">
                  <c:v>3.7301805517367654</c:v>
                </c:pt>
                <c:pt idx="23">
                  <c:v>3.1137878728513044</c:v>
                </c:pt>
                <c:pt idx="24">
                  <c:v>9.9315537303217098</c:v>
                </c:pt>
                <c:pt idx="25">
                  <c:v>8.5916350839198969</c:v>
                </c:pt>
                <c:pt idx="26">
                  <c:v>7.4028666324870187</c:v>
                </c:pt>
                <c:pt idx="27">
                  <c:v>6.4687711647422219</c:v>
                </c:pt>
                <c:pt idx="28">
                  <c:v>5.6150013113034305</c:v>
                </c:pt>
                <c:pt idx="29">
                  <c:v>5.613151497312785</c:v>
                </c:pt>
                <c:pt idx="30">
                  <c:v>6.4608443561993738</c:v>
                </c:pt>
                <c:pt idx="31">
                  <c:v>7.1077892577123407</c:v>
                </c:pt>
                <c:pt idx="32">
                  <c:v>7.5303813180152019</c:v>
                </c:pt>
                <c:pt idx="33">
                  <c:v>8.0559388015520028</c:v>
                </c:pt>
                <c:pt idx="34">
                  <c:v>8.9656594215703933</c:v>
                </c:pt>
                <c:pt idx="35">
                  <c:v>10.349582021496076</c:v>
                </c:pt>
                <c:pt idx="36">
                  <c:v>31.006786625988411</c:v>
                </c:pt>
                <c:pt idx="37">
                  <c:v>31.451185690692085</c:v>
                </c:pt>
                <c:pt idx="38">
                  <c:v>34.380058943173793</c:v>
                </c:pt>
                <c:pt idx="39">
                  <c:v>34.713667323476017</c:v>
                </c:pt>
                <c:pt idx="40">
                  <c:v>35.148121476993367</c:v>
                </c:pt>
                <c:pt idx="41">
                  <c:v>36.210776218001627</c:v>
                </c:pt>
                <c:pt idx="42">
                  <c:v>36.753117119641331</c:v>
                </c:pt>
                <c:pt idx="43">
                  <c:v>37.643383275181833</c:v>
                </c:pt>
                <c:pt idx="44">
                  <c:v>38.309609615655603</c:v>
                </c:pt>
                <c:pt idx="45">
                  <c:v>39.052271909842915</c:v>
                </c:pt>
                <c:pt idx="46">
                  <c:v>39.531652891221711</c:v>
                </c:pt>
                <c:pt idx="47">
                  <c:v>40.002262821837206</c:v>
                </c:pt>
                <c:pt idx="48">
                  <c:v>39.351741837365125</c:v>
                </c:pt>
                <c:pt idx="49">
                  <c:v>41.432770718755904</c:v>
                </c:pt>
                <c:pt idx="50">
                  <c:v>40.414227686224848</c:v>
                </c:pt>
                <c:pt idx="51">
                  <c:v>41.277482810646461</c:v>
                </c:pt>
                <c:pt idx="52">
                  <c:v>41.928875251490581</c:v>
                </c:pt>
                <c:pt idx="53">
                  <c:v>41.73884708360805</c:v>
                </c:pt>
                <c:pt idx="54">
                  <c:v>41.101144170620387</c:v>
                </c:pt>
              </c:numCache>
            </c:numRef>
          </c:val>
          <c:smooth val="0"/>
          <c:extLst>
            <c:ext xmlns:c16="http://schemas.microsoft.com/office/drawing/2014/chart" uri="{C3380CC4-5D6E-409C-BE32-E72D297353CC}">
              <c16:uniqueId val="{00000000-2FBF-4005-A5D1-7E4A6F9905E4}"/>
            </c:ext>
          </c:extLst>
        </c:ser>
        <c:ser>
          <c:idx val="1"/>
          <c:order val="1"/>
          <c:tx>
            <c:strRef>
              <c:f>Sheet1!$C$1</c:f>
              <c:strCache>
                <c:ptCount val="1"/>
                <c:pt idx="0">
                  <c:v>Իրական</c:v>
                </c:pt>
              </c:strCache>
            </c:strRef>
          </c:tx>
          <c:spPr>
            <a:ln w="28575" cap="rnd">
              <a:solidFill>
                <a:schemeClr val="accent1">
                  <a:lumMod val="75000"/>
                </a:schemeClr>
              </a:solidFill>
              <a:round/>
            </a:ln>
            <a:effectLst/>
          </c:spPr>
          <c:marker>
            <c:symbol val="none"/>
          </c:marker>
          <c:cat>
            <c:multiLvlStrRef>
              <c:f>Sheet1!$A$2:$B$61</c:f>
              <c:multiLvlStrCache>
                <c:ptCount val="5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lvl>
                <c:lvl>
                  <c:pt idx="0">
                    <c:v>2019</c:v>
                  </c:pt>
                  <c:pt idx="12">
                    <c:v>2020</c:v>
                  </c:pt>
                  <c:pt idx="24">
                    <c:v>2021</c:v>
                  </c:pt>
                  <c:pt idx="36">
                    <c:v>2022</c:v>
                  </c:pt>
                  <c:pt idx="48">
                    <c:v>2023</c:v>
                  </c:pt>
                </c:lvl>
              </c:multiLvlStrCache>
            </c:multiLvlStrRef>
          </c:cat>
          <c:val>
            <c:numRef>
              <c:f>Sheet1!$C$2:$C$56</c:f>
              <c:numCache>
                <c:formatCode>0.0</c:formatCode>
                <c:ptCount val="55"/>
                <c:pt idx="0">
                  <c:v>4.8380311316785765</c:v>
                </c:pt>
                <c:pt idx="1">
                  <c:v>5.145906568972066</c:v>
                </c:pt>
                <c:pt idx="2">
                  <c:v>5.1058776964179486</c:v>
                </c:pt>
                <c:pt idx="3">
                  <c:v>4.6678067008676862</c:v>
                </c:pt>
                <c:pt idx="4">
                  <c:v>4.3144565363428597</c:v>
                </c:pt>
                <c:pt idx="5">
                  <c:v>3.6116185349936387</c:v>
                </c:pt>
                <c:pt idx="6">
                  <c:v>2.6587254318046263</c:v>
                </c:pt>
                <c:pt idx="7">
                  <c:v>1.5244438468937034</c:v>
                </c:pt>
                <c:pt idx="8">
                  <c:v>0.44219144610278249</c:v>
                </c:pt>
                <c:pt idx="9">
                  <c:v>-0.29310668593497269</c:v>
                </c:pt>
                <c:pt idx="10">
                  <c:v>-0.87129386029737077</c:v>
                </c:pt>
                <c:pt idx="11">
                  <c:v>-1.3672112128856497</c:v>
                </c:pt>
                <c:pt idx="12">
                  <c:v>-0.55377207062599609</c:v>
                </c:pt>
                <c:pt idx="13">
                  <c:v>0.72504632240392652</c:v>
                </c:pt>
                <c:pt idx="14">
                  <c:v>2.1411087500336379</c:v>
                </c:pt>
                <c:pt idx="15">
                  <c:v>3.5358425107910847</c:v>
                </c:pt>
                <c:pt idx="16">
                  <c:v>4.1521098642796233</c:v>
                </c:pt>
                <c:pt idx="17">
                  <c:v>4.452040967390289</c:v>
                </c:pt>
                <c:pt idx="18">
                  <c:v>4.7550532593813415</c:v>
                </c:pt>
                <c:pt idx="19">
                  <c:v>4.8123058116436681</c:v>
                </c:pt>
                <c:pt idx="20">
                  <c:v>4.9361872083946139</c:v>
                </c:pt>
                <c:pt idx="21">
                  <c:v>5.0957239481829788</c:v>
                </c:pt>
                <c:pt idx="22">
                  <c:v>5.0045848647278603</c:v>
                </c:pt>
                <c:pt idx="23">
                  <c:v>4.5722179291668681</c:v>
                </c:pt>
                <c:pt idx="24">
                  <c:v>8.2721329997578863</c:v>
                </c:pt>
                <c:pt idx="25">
                  <c:v>7.158282012317045</c:v>
                </c:pt>
                <c:pt idx="26">
                  <c:v>6.0464013904616394</c:v>
                </c:pt>
                <c:pt idx="27">
                  <c:v>5.1684167462157262</c:v>
                </c:pt>
                <c:pt idx="28">
                  <c:v>4.2354541519816991</c:v>
                </c:pt>
                <c:pt idx="29">
                  <c:v>4.2429552511886044</c:v>
                </c:pt>
                <c:pt idx="30">
                  <c:v>5.283562250775347</c:v>
                </c:pt>
                <c:pt idx="31">
                  <c:v>6.133794671927987</c:v>
                </c:pt>
                <c:pt idx="32">
                  <c:v>6.6892149060585808</c:v>
                </c:pt>
                <c:pt idx="33">
                  <c:v>7.2889477579959987</c:v>
                </c:pt>
                <c:pt idx="34">
                  <c:v>8.2520411785587271</c:v>
                </c:pt>
                <c:pt idx="35">
                  <c:v>9.4888076538252477</c:v>
                </c:pt>
                <c:pt idx="36">
                  <c:v>27.638640429338125</c:v>
                </c:pt>
                <c:pt idx="37">
                  <c:v>27.455590386624834</c:v>
                </c:pt>
                <c:pt idx="38">
                  <c:v>29.233405349027777</c:v>
                </c:pt>
                <c:pt idx="39">
                  <c:v>29.112329579134553</c:v>
                </c:pt>
                <c:pt idx="40">
                  <c:v>29.328805314983981</c:v>
                </c:pt>
                <c:pt idx="41">
                  <c:v>30.314941164837336</c:v>
                </c:pt>
                <c:pt idx="42">
                  <c:v>30.656496580746932</c:v>
                </c:pt>
                <c:pt idx="43">
                  <c:v>31.354395604395592</c:v>
                </c:pt>
                <c:pt idx="44">
                  <c:v>31.970130617738391</c:v>
                </c:pt>
                <c:pt idx="45">
                  <c:v>32.650689905591861</c:v>
                </c:pt>
                <c:pt idx="46">
                  <c:v>33.086513677831476</c:v>
                </c:pt>
                <c:pt idx="47">
                  <c:v>33.548949691507374</c:v>
                </c:pt>
                <c:pt idx="48">
                  <c:v>33.274935762672271</c:v>
                </c:pt>
                <c:pt idx="49">
                  <c:v>35.601557696249245</c:v>
                </c:pt>
                <c:pt idx="50">
                  <c:v>35.128072097000455</c:v>
                </c:pt>
                <c:pt idx="51">
                  <c:v>35.562410329985653</c:v>
                </c:pt>
                <c:pt idx="52">
                  <c:v>35.543349883612905</c:v>
                </c:pt>
                <c:pt idx="53">
                  <c:v>34.679882386417518</c:v>
                </c:pt>
                <c:pt idx="54">
                  <c:v>33.632608363059518</c:v>
                </c:pt>
              </c:numCache>
            </c:numRef>
          </c:val>
          <c:smooth val="0"/>
          <c:extLst>
            <c:ext xmlns:c16="http://schemas.microsoft.com/office/drawing/2014/chart" uri="{C3380CC4-5D6E-409C-BE32-E72D297353CC}">
              <c16:uniqueId val="{00000001-2FBF-4005-A5D1-7E4A6F9905E4}"/>
            </c:ext>
          </c:extLst>
        </c:ser>
        <c:dLbls>
          <c:showLegendKey val="0"/>
          <c:showVal val="0"/>
          <c:showCatName val="0"/>
          <c:showSerName val="0"/>
          <c:showPercent val="0"/>
          <c:showBubbleSize val="0"/>
        </c:dLbls>
        <c:smooth val="0"/>
        <c:axId val="642403424"/>
        <c:axId val="642403784"/>
      </c:lineChart>
      <c:catAx>
        <c:axId val="64240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403784"/>
        <c:crosses val="autoZero"/>
        <c:auto val="1"/>
        <c:lblAlgn val="ctr"/>
        <c:lblOffset val="100"/>
        <c:noMultiLvlLbl val="0"/>
      </c:catAx>
      <c:valAx>
        <c:axId val="642403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a:t>Տոկոս</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403424"/>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235874707278361E-2"/>
          <c:y val="4.9886916677788155E-2"/>
          <c:w val="0.91180803746837036"/>
          <c:h val="0.63863137589728991"/>
        </c:manualLayout>
      </c:layout>
      <c:lineChart>
        <c:grouping val="standard"/>
        <c:varyColors val="0"/>
        <c:ser>
          <c:idx val="0"/>
          <c:order val="0"/>
          <c:tx>
            <c:strRef>
              <c:f>Sheet1!$D$1</c:f>
              <c:strCache>
                <c:ptCount val="1"/>
                <c:pt idx="0">
                  <c:v>12 ամսյա գնաճ, %</c:v>
                </c:pt>
              </c:strCache>
            </c:strRef>
          </c:tx>
          <c:spPr>
            <a:ln w="28564" cap="rnd">
              <a:solidFill>
                <a:srgbClr val="4472C4">
                  <a:lumMod val="50000"/>
                </a:srgbClr>
              </a:solidFill>
              <a:round/>
            </a:ln>
            <a:effectLst/>
          </c:spPr>
          <c:marker>
            <c:symbol val="none"/>
          </c:marker>
          <c:cat>
            <c:multiLvlStrRef>
              <c:f>Sheet1!$A$26:$B$69</c:f>
              <c:multiLvlStrCache>
                <c:ptCount val="4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lvl>
                <c:lvl>
                  <c:pt idx="0">
                    <c:v>2020</c:v>
                  </c:pt>
                  <c:pt idx="12">
                    <c:v>2021</c:v>
                  </c:pt>
                  <c:pt idx="24">
                    <c:v>2022</c:v>
                  </c:pt>
                  <c:pt idx="36">
                    <c:v>2023</c:v>
                  </c:pt>
                </c:lvl>
              </c:multiLvlStrCache>
            </c:multiLvlStrRef>
          </c:cat>
          <c:val>
            <c:numRef>
              <c:f>Sheet1!$D$2:$D$69</c:f>
              <c:numCache>
                <c:formatCode>0.0</c:formatCode>
                <c:ptCount val="44"/>
                <c:pt idx="0">
                  <c:v>0.27658563406973258</c:v>
                </c:pt>
                <c:pt idx="1">
                  <c:v>-0.54084569473241118</c:v>
                </c:pt>
                <c:pt idx="2">
                  <c:v>-0.11022336893752538</c:v>
                </c:pt>
                <c:pt idx="3">
                  <c:v>0.85542195074623351</c:v>
                </c:pt>
                <c:pt idx="4">
                  <c:v>1.1580085630596528</c:v>
                </c:pt>
                <c:pt idx="5">
                  <c:v>1.6775261712177212</c:v>
                </c:pt>
                <c:pt idx="6">
                  <c:v>1.5187898303232146</c:v>
                </c:pt>
                <c:pt idx="7">
                  <c:v>1.8167405331190878</c:v>
                </c:pt>
                <c:pt idx="8">
                  <c:v>1.4326844717312213</c:v>
                </c:pt>
                <c:pt idx="9">
                  <c:v>1.3441364663858479</c:v>
                </c:pt>
                <c:pt idx="10">
                  <c:v>1.5585891969706438</c:v>
                </c:pt>
                <c:pt idx="11">
                  <c:v>3.6638246566360237</c:v>
                </c:pt>
                <c:pt idx="12">
                  <c:v>4.5148886220006261</c:v>
                </c:pt>
                <c:pt idx="13">
                  <c:v>5.3267515218621924</c:v>
                </c:pt>
                <c:pt idx="14">
                  <c:v>5.7810093225161552</c:v>
                </c:pt>
                <c:pt idx="15">
                  <c:v>6.1569193415054002</c:v>
                </c:pt>
                <c:pt idx="16">
                  <c:v>5.9006948589342016</c:v>
                </c:pt>
                <c:pt idx="17">
                  <c:v>6.5046445234588646</c:v>
                </c:pt>
                <c:pt idx="18">
                  <c:v>8.2227275731544154</c:v>
                </c:pt>
                <c:pt idx="19">
                  <c:v>8.7823860822581139</c:v>
                </c:pt>
                <c:pt idx="20">
                  <c:v>8.8886539553763413</c:v>
                </c:pt>
                <c:pt idx="21">
                  <c:v>9.1040943851299545</c:v>
                </c:pt>
                <c:pt idx="22">
                  <c:v>9.5566762184085832</c:v>
                </c:pt>
                <c:pt idx="23">
                  <c:v>7.6754534627573037</c:v>
                </c:pt>
                <c:pt idx="24">
                  <c:v>7.0769205766379315</c:v>
                </c:pt>
                <c:pt idx="25">
                  <c:v>6.5432090002156116</c:v>
                </c:pt>
                <c:pt idx="26">
                  <c:v>7.3617969746003382</c:v>
                </c:pt>
                <c:pt idx="27">
                  <c:v>8.4252580519207356</c:v>
                </c:pt>
                <c:pt idx="28">
                  <c:v>8.9862917816955417</c:v>
                </c:pt>
                <c:pt idx="29">
                  <c:v>10.274467693331786</c:v>
                </c:pt>
                <c:pt idx="30">
                  <c:v>9.3216627279495867</c:v>
                </c:pt>
                <c:pt idx="31">
                  <c:v>9.1287829914562479</c:v>
                </c:pt>
                <c:pt idx="32">
                  <c:v>9.9151144159470022</c:v>
                </c:pt>
                <c:pt idx="33">
                  <c:v>9.5</c:v>
                </c:pt>
                <c:pt idx="34">
                  <c:v>8.8446621147540014</c:v>
                </c:pt>
                <c:pt idx="35">
                  <c:v>8.3026886372339987</c:v>
                </c:pt>
                <c:pt idx="36">
                  <c:v>8.0513101873760036</c:v>
                </c:pt>
                <c:pt idx="37">
                  <c:v>8.0504413480060038</c:v>
                </c:pt>
                <c:pt idx="38">
                  <c:v>5.4496798492630063</c:v>
                </c:pt>
                <c:pt idx="39">
                  <c:v>3.2368670906421926</c:v>
                </c:pt>
                <c:pt idx="40">
                  <c:v>1.3</c:v>
                </c:pt>
                <c:pt idx="41">
                  <c:v>-0.5</c:v>
                </c:pt>
                <c:pt idx="42">
                  <c:v>-0.1</c:v>
                </c:pt>
                <c:pt idx="43">
                  <c:v>-0.2</c:v>
                </c:pt>
              </c:numCache>
            </c:numRef>
          </c:val>
          <c:smooth val="0"/>
          <c:extLst>
            <c:ext xmlns:c16="http://schemas.microsoft.com/office/drawing/2014/chart" uri="{C3380CC4-5D6E-409C-BE32-E72D297353CC}">
              <c16:uniqueId val="{00000000-829D-4EC4-A784-8845D82614A6}"/>
            </c:ext>
          </c:extLst>
        </c:ser>
        <c:ser>
          <c:idx val="1"/>
          <c:order val="1"/>
          <c:tx>
            <c:strRef>
              <c:f>Sheet1!$E$1</c:f>
              <c:strCache>
                <c:ptCount val="1"/>
                <c:pt idx="0">
                  <c:v>Վերաֆինանսավորման տոկոսադրույք, %</c:v>
                </c:pt>
              </c:strCache>
            </c:strRef>
          </c:tx>
          <c:spPr>
            <a:ln w="22216" cap="rnd">
              <a:solidFill>
                <a:sysClr val="window" lastClr="FFFFFF">
                  <a:lumMod val="65000"/>
                </a:sysClr>
              </a:solidFill>
              <a:prstDash val="solid"/>
              <a:round/>
            </a:ln>
            <a:effectLst/>
          </c:spPr>
          <c:marker>
            <c:symbol val="none"/>
          </c:marker>
          <c:cat>
            <c:multiLvlStrRef>
              <c:f>Sheet1!$A$26:$B$69</c:f>
              <c:multiLvlStrCache>
                <c:ptCount val="4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lvl>
                <c:lvl>
                  <c:pt idx="0">
                    <c:v>2020</c:v>
                  </c:pt>
                  <c:pt idx="12">
                    <c:v>2021</c:v>
                  </c:pt>
                  <c:pt idx="24">
                    <c:v>2022</c:v>
                  </c:pt>
                  <c:pt idx="36">
                    <c:v>2023</c:v>
                  </c:pt>
                </c:lvl>
              </c:multiLvlStrCache>
            </c:multiLvlStrRef>
          </c:cat>
          <c:val>
            <c:numRef>
              <c:f>Sheet1!$E$2:$E$69</c:f>
              <c:numCache>
                <c:formatCode>0.00</c:formatCode>
                <c:ptCount val="44"/>
                <c:pt idx="0">
                  <c:v>5.5</c:v>
                </c:pt>
                <c:pt idx="1">
                  <c:v>5.5</c:v>
                </c:pt>
                <c:pt idx="2">
                  <c:v>5.25</c:v>
                </c:pt>
                <c:pt idx="3">
                  <c:v>5</c:v>
                </c:pt>
                <c:pt idx="4">
                  <c:v>5</c:v>
                </c:pt>
                <c:pt idx="5">
                  <c:v>4.5</c:v>
                </c:pt>
                <c:pt idx="6">
                  <c:v>4.5</c:v>
                </c:pt>
                <c:pt idx="7">
                  <c:v>4.5</c:v>
                </c:pt>
                <c:pt idx="8">
                  <c:v>4.25</c:v>
                </c:pt>
                <c:pt idx="9">
                  <c:v>4.25</c:v>
                </c:pt>
                <c:pt idx="10">
                  <c:v>4.25</c:v>
                </c:pt>
                <c:pt idx="11">
                  <c:v>5.25</c:v>
                </c:pt>
                <c:pt idx="12">
                  <c:v>5.25</c:v>
                </c:pt>
                <c:pt idx="13">
                  <c:v>5.5</c:v>
                </c:pt>
                <c:pt idx="14">
                  <c:v>5.5</c:v>
                </c:pt>
                <c:pt idx="15">
                  <c:v>5.5</c:v>
                </c:pt>
                <c:pt idx="16">
                  <c:v>6</c:v>
                </c:pt>
                <c:pt idx="17">
                  <c:v>6.5</c:v>
                </c:pt>
                <c:pt idx="18">
                  <c:v>6.5</c:v>
                </c:pt>
                <c:pt idx="19">
                  <c:v>7</c:v>
                </c:pt>
                <c:pt idx="20">
                  <c:v>7.25</c:v>
                </c:pt>
                <c:pt idx="21">
                  <c:v>7.25</c:v>
                </c:pt>
                <c:pt idx="22">
                  <c:v>7.25</c:v>
                </c:pt>
                <c:pt idx="23">
                  <c:v>7.75</c:v>
                </c:pt>
                <c:pt idx="24">
                  <c:v>7.75</c:v>
                </c:pt>
                <c:pt idx="25">
                  <c:v>8</c:v>
                </c:pt>
                <c:pt idx="26">
                  <c:v>9.25</c:v>
                </c:pt>
                <c:pt idx="27">
                  <c:v>9.25</c:v>
                </c:pt>
                <c:pt idx="28">
                  <c:v>9.25</c:v>
                </c:pt>
                <c:pt idx="29">
                  <c:v>9.25</c:v>
                </c:pt>
                <c:pt idx="30">
                  <c:v>9.25</c:v>
                </c:pt>
                <c:pt idx="31">
                  <c:v>9.5</c:v>
                </c:pt>
                <c:pt idx="32">
                  <c:v>10</c:v>
                </c:pt>
                <c:pt idx="33">
                  <c:v>10</c:v>
                </c:pt>
                <c:pt idx="34">
                  <c:v>10.5</c:v>
                </c:pt>
                <c:pt idx="35">
                  <c:v>10.75</c:v>
                </c:pt>
                <c:pt idx="36">
                  <c:v>10.75</c:v>
                </c:pt>
                <c:pt idx="37">
                  <c:v>10.75</c:v>
                </c:pt>
                <c:pt idx="38">
                  <c:v>10.75</c:v>
                </c:pt>
                <c:pt idx="39">
                  <c:v>10.75</c:v>
                </c:pt>
                <c:pt idx="40">
                  <c:v>10.75</c:v>
                </c:pt>
                <c:pt idx="41">
                  <c:v>10.5</c:v>
                </c:pt>
                <c:pt idx="42">
                  <c:v>10.5</c:v>
                </c:pt>
                <c:pt idx="43">
                  <c:v>10.25</c:v>
                </c:pt>
              </c:numCache>
            </c:numRef>
          </c:val>
          <c:smooth val="0"/>
          <c:extLst>
            <c:ext xmlns:c16="http://schemas.microsoft.com/office/drawing/2014/chart" uri="{C3380CC4-5D6E-409C-BE32-E72D297353CC}">
              <c16:uniqueId val="{00000001-829D-4EC4-A784-8845D82614A6}"/>
            </c:ext>
          </c:extLst>
        </c:ser>
        <c:ser>
          <c:idx val="2"/>
          <c:order val="2"/>
          <c:tx>
            <c:strRef>
              <c:f>Sheet1!$C$1</c:f>
              <c:strCache>
                <c:ptCount val="1"/>
                <c:pt idx="0">
                  <c:v>Բնականոն գնաճ, %</c:v>
                </c:pt>
              </c:strCache>
            </c:strRef>
          </c:tx>
          <c:spPr>
            <a:ln w="28564" cap="rnd">
              <a:solidFill>
                <a:srgbClr val="ED7D31">
                  <a:lumMod val="60000"/>
                  <a:lumOff val="40000"/>
                </a:srgbClr>
              </a:solidFill>
              <a:round/>
            </a:ln>
            <a:effectLst/>
          </c:spPr>
          <c:marker>
            <c:symbol val="none"/>
          </c:marker>
          <c:cat>
            <c:multiLvlStrRef>
              <c:f>Sheet1!$A$26:$B$69</c:f>
              <c:multiLvlStrCache>
                <c:ptCount val="4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lvl>
                <c:lvl>
                  <c:pt idx="0">
                    <c:v>2020</c:v>
                  </c:pt>
                  <c:pt idx="12">
                    <c:v>2021</c:v>
                  </c:pt>
                  <c:pt idx="24">
                    <c:v>2022</c:v>
                  </c:pt>
                  <c:pt idx="36">
                    <c:v>2023</c:v>
                  </c:pt>
                </c:lvl>
              </c:multiLvlStrCache>
            </c:multiLvlStrRef>
          </c:cat>
          <c:val>
            <c:numRef>
              <c:f>Sheet1!$C$14:$C$68</c:f>
              <c:numCache>
                <c:formatCode>0.0</c:formatCode>
                <c:ptCount val="43"/>
                <c:pt idx="0">
                  <c:v>0.86538957196520983</c:v>
                </c:pt>
                <c:pt idx="1">
                  <c:v>0.77184062474053405</c:v>
                </c:pt>
                <c:pt idx="2">
                  <c:v>0.54227164049494547</c:v>
                </c:pt>
                <c:pt idx="3">
                  <c:v>1.1321822131247927</c:v>
                </c:pt>
                <c:pt idx="4">
                  <c:v>0.86253079378988673</c:v>
                </c:pt>
                <c:pt idx="5">
                  <c:v>0.77684596156544217</c:v>
                </c:pt>
                <c:pt idx="6">
                  <c:v>0.8340682821257559</c:v>
                </c:pt>
                <c:pt idx="7">
                  <c:v>1.0666176019744</c:v>
                </c:pt>
                <c:pt idx="8">
                  <c:v>1.3397678509690962</c:v>
                </c:pt>
                <c:pt idx="9">
                  <c:v>1.677154081686254</c:v>
                </c:pt>
                <c:pt idx="10">
                  <c:v>1.9837670848593518</c:v>
                </c:pt>
                <c:pt idx="11">
                  <c:v>3.6204833935339735</c:v>
                </c:pt>
                <c:pt idx="12">
                  <c:v>4.6779235852640682</c:v>
                </c:pt>
                <c:pt idx="13">
                  <c:v>5.4846481634119186</c:v>
                </c:pt>
                <c:pt idx="14">
                  <c:v>6.6300845552899972</c:v>
                </c:pt>
                <c:pt idx="15">
                  <c:v>6.7626395686116751</c:v>
                </c:pt>
                <c:pt idx="16">
                  <c:v>7.4114337608134804</c:v>
                </c:pt>
                <c:pt idx="17">
                  <c:v>7.8323845176300608</c:v>
                </c:pt>
                <c:pt idx="18">
                  <c:v>8.1093537485616309</c:v>
                </c:pt>
                <c:pt idx="19">
                  <c:v>8.0379242186285609</c:v>
                </c:pt>
                <c:pt idx="20">
                  <c:v>7.9880734583744442</c:v>
                </c:pt>
                <c:pt idx="21">
                  <c:v>7.8765202676341914</c:v>
                </c:pt>
                <c:pt idx="22">
                  <c:v>8.3772656385054063</c:v>
                </c:pt>
                <c:pt idx="23">
                  <c:v>7.2509011281681808</c:v>
                </c:pt>
                <c:pt idx="24">
                  <c:v>6.60162670741569</c:v>
                </c:pt>
                <c:pt idx="25">
                  <c:v>6.3614506423955959</c:v>
                </c:pt>
                <c:pt idx="26">
                  <c:v>6.9671454857929405</c:v>
                </c:pt>
                <c:pt idx="27">
                  <c:v>7.9799047833968757</c:v>
                </c:pt>
                <c:pt idx="28">
                  <c:v>8.3564098161367042</c:v>
                </c:pt>
                <c:pt idx="29">
                  <c:v>9.4404331247470736</c:v>
                </c:pt>
                <c:pt idx="30">
                  <c:v>10.10041008820204</c:v>
                </c:pt>
                <c:pt idx="31">
                  <c:v>10.230227924035546</c:v>
                </c:pt>
                <c:pt idx="32">
                  <c:v>10.540276376631112</c:v>
                </c:pt>
                <c:pt idx="33">
                  <c:v>10.488322377082326</c:v>
                </c:pt>
                <c:pt idx="34">
                  <c:v>9.8756503499295007</c:v>
                </c:pt>
                <c:pt idx="35">
                  <c:v>9.4793414473783173</c:v>
                </c:pt>
                <c:pt idx="36">
                  <c:v>9.0991561824239966</c:v>
                </c:pt>
                <c:pt idx="37">
                  <c:v>8.3569861398929959</c:v>
                </c:pt>
                <c:pt idx="38">
                  <c:v>6.4066571555730008</c:v>
                </c:pt>
                <c:pt idx="39">
                  <c:v>4.3045803295163267</c:v>
                </c:pt>
                <c:pt idx="40">
                  <c:v>3.0865032447455718</c:v>
                </c:pt>
                <c:pt idx="41">
                  <c:v>1.4518285160379776</c:v>
                </c:pt>
                <c:pt idx="42">
                  <c:v>0.59949055114458361</c:v>
                </c:pt>
              </c:numCache>
            </c:numRef>
          </c:val>
          <c:smooth val="0"/>
          <c:extLst>
            <c:ext xmlns:c16="http://schemas.microsoft.com/office/drawing/2014/chart" uri="{C3380CC4-5D6E-409C-BE32-E72D297353CC}">
              <c16:uniqueId val="{00000002-829D-4EC4-A784-8845D82614A6}"/>
            </c:ext>
          </c:extLst>
        </c:ser>
        <c:dLbls>
          <c:showLegendKey val="0"/>
          <c:showVal val="0"/>
          <c:showCatName val="0"/>
          <c:showSerName val="0"/>
          <c:showPercent val="0"/>
          <c:showBubbleSize val="0"/>
        </c:dLbls>
        <c:smooth val="0"/>
        <c:axId val="806867600"/>
        <c:axId val="1"/>
      </c:lineChart>
      <c:catAx>
        <c:axId val="806867600"/>
        <c:scaling>
          <c:orientation val="minMax"/>
        </c:scaling>
        <c:delete val="0"/>
        <c:axPos val="b"/>
        <c:numFmt formatCode="General" sourceLinked="1"/>
        <c:majorTickMark val="none"/>
        <c:minorTickMark val="none"/>
        <c:tickLblPos val="low"/>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1" cap="flat" cmpd="sng" algn="ctr">
              <a:solidFill>
                <a:schemeClr val="tx1">
                  <a:lumMod val="15000"/>
                  <a:lumOff val="85000"/>
                </a:schemeClr>
              </a:solidFill>
              <a:round/>
            </a:ln>
            <a:effectLst/>
          </c:spPr>
        </c:majorGridlines>
        <c:numFmt formatCode="0.0" sourceLinked="1"/>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06867600"/>
        <c:crosses val="autoZero"/>
        <c:crossBetween val="between"/>
      </c:valAx>
      <c:spPr>
        <a:noFill/>
        <a:ln w="25390">
          <a:noFill/>
        </a:ln>
      </c:spPr>
    </c:plotArea>
    <c:legend>
      <c:legendPos val="b"/>
      <c:layout>
        <c:manualLayout>
          <c:xMode val="edge"/>
          <c:yMode val="edge"/>
          <c:x val="1.5804988662131515E-2"/>
          <c:y val="0.85323509260137664"/>
          <c:w val="0.97519274376417231"/>
          <c:h val="0.11463639334239846"/>
        </c:manualLayout>
      </c:layout>
      <c:overlay val="0"/>
      <c:spPr>
        <a:noFill/>
        <a:ln w="2539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none" spc="0" normalizeH="0" baseline="0">
                <a:solidFill>
                  <a:sysClr val="windowText" lastClr="000000"/>
                </a:solidFill>
                <a:latin typeface="GHEA Grapalat" panose="02000506050000020003" pitchFamily="50" charset="0"/>
                <a:ea typeface="+mj-ea"/>
                <a:cs typeface="+mj-cs"/>
              </a:defRPr>
            </a:pPr>
            <a:r>
              <a:rPr lang="en-US" sz="1100" b="1"/>
              <a:t>12</a:t>
            </a:r>
            <a:r>
              <a:rPr lang="hy-AM" sz="1100" b="1"/>
              <a:t> ամսյա գնաճը</a:t>
            </a:r>
            <a:r>
              <a:rPr lang="en-US" sz="1100" b="1"/>
              <a:t>,</a:t>
            </a:r>
            <a:r>
              <a:rPr lang="en-US" sz="1100" b="1" baseline="0"/>
              <a:t> %</a:t>
            </a:r>
            <a:endParaRPr lang="en-US" sz="1100" b="1"/>
          </a:p>
        </c:rich>
      </c:tx>
      <c:layout>
        <c:manualLayout>
          <c:xMode val="edge"/>
          <c:yMode val="edge"/>
          <c:x val="0.27876710933521376"/>
          <c:y val="0"/>
        </c:manualLayout>
      </c:layout>
      <c:overlay val="0"/>
      <c:spPr>
        <a:noFill/>
        <a:ln>
          <a:noFill/>
        </a:ln>
        <a:effectLst/>
      </c:spPr>
    </c:title>
    <c:autoTitleDeleted val="0"/>
    <c:plotArea>
      <c:layout>
        <c:manualLayout>
          <c:layoutTarget val="inner"/>
          <c:xMode val="edge"/>
          <c:yMode val="edge"/>
          <c:x val="0.11270836908098351"/>
          <c:y val="0.16443732915128348"/>
          <c:w val="0.84290099330803991"/>
          <c:h val="0.48586488929547705"/>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multiLvlStrRef>
              <c:f>Sheet1!$A$28:$B$66</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7</c:v>
                  </c:pt>
                </c:lvl>
                <c:lvl>
                  <c:pt idx="0">
                    <c:v>2020</c:v>
                  </c:pt>
                  <c:pt idx="4">
                    <c:v>2021</c:v>
                  </c:pt>
                  <c:pt idx="8">
                    <c:v>2022</c:v>
                  </c:pt>
                  <c:pt idx="12">
                    <c:v>2023</c:v>
                  </c:pt>
                </c:lvl>
              </c:multiLvlStrCache>
            </c:multiLvlStrRef>
          </c:cat>
          <c:val>
            <c:numRef>
              <c:f>Sheet1!$D$28:$D$67</c:f>
              <c:numCache>
                <c:formatCode>0.0</c:formatCode>
                <c:ptCount val="16"/>
                <c:pt idx="0">
                  <c:v>-1.1761594</c:v>
                </c:pt>
                <c:pt idx="1">
                  <c:v>0.78459999999999996</c:v>
                </c:pt>
                <c:pt idx="2">
                  <c:v>0.34734000000000004</c:v>
                </c:pt>
                <c:pt idx="3">
                  <c:v>1.937962</c:v>
                </c:pt>
                <c:pt idx="4">
                  <c:v>2.7530960000000007</c:v>
                </c:pt>
                <c:pt idx="5">
                  <c:v>3.2739520000000004</c:v>
                </c:pt>
                <c:pt idx="6">
                  <c:v>5.7294159999999996</c:v>
                </c:pt>
                <c:pt idx="7">
                  <c:v>4.7993160000000001</c:v>
                </c:pt>
                <c:pt idx="8">
                  <c:v>4.7621120000000001</c:v>
                </c:pt>
                <c:pt idx="9">
                  <c:v>6.3618840000000008</c:v>
                </c:pt>
                <c:pt idx="10">
                  <c:v>5.0969480000000003</c:v>
                </c:pt>
                <c:pt idx="11">
                  <c:v>3.7204000000000002</c:v>
                </c:pt>
                <c:pt idx="12">
                  <c:v>1.8974039999999999</c:v>
                </c:pt>
                <c:pt idx="13">
                  <c:v>-2.2747999999999999</c:v>
                </c:pt>
                <c:pt idx="14">
                  <c:v>-1.61304</c:v>
                </c:pt>
                <c:pt idx="15">
                  <c:v>-1.6543999999999999</c:v>
                </c:pt>
              </c:numCache>
            </c:numRef>
          </c:val>
          <c:extLst>
            <c:ext xmlns:c16="http://schemas.microsoft.com/office/drawing/2014/chart" uri="{C3380CC4-5D6E-409C-BE32-E72D297353CC}">
              <c16:uniqueId val="{00000000-BD5E-4DCD-B0D3-15521D0A5C41}"/>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multiLvlStrRef>
              <c:f>Sheet1!$A$28:$B$66</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7</c:v>
                  </c:pt>
                </c:lvl>
                <c:lvl>
                  <c:pt idx="0">
                    <c:v>2020</c:v>
                  </c:pt>
                  <c:pt idx="4">
                    <c:v>2021</c:v>
                  </c:pt>
                  <c:pt idx="8">
                    <c:v>2022</c:v>
                  </c:pt>
                  <c:pt idx="12">
                    <c:v>2023</c:v>
                  </c:pt>
                </c:lvl>
              </c:multiLvlStrCache>
            </c:multiLvlStrRef>
          </c:cat>
          <c:val>
            <c:numRef>
              <c:f>Sheet1!$E$28:$E$67</c:f>
              <c:numCache>
                <c:formatCode>0.0</c:formatCode>
                <c:ptCount val="16"/>
                <c:pt idx="0">
                  <c:v>0.45172999999999996</c:v>
                </c:pt>
                <c:pt idx="1">
                  <c:v>0.46287</c:v>
                </c:pt>
                <c:pt idx="2">
                  <c:v>0.44492000000000004</c:v>
                </c:pt>
                <c:pt idx="3">
                  <c:v>0.43368000000000001</c:v>
                </c:pt>
                <c:pt idx="4">
                  <c:v>0.41001639999999995</c:v>
                </c:pt>
                <c:pt idx="5">
                  <c:v>0.39218960000000003</c:v>
                </c:pt>
                <c:pt idx="6">
                  <c:v>0.41447310000000004</c:v>
                </c:pt>
                <c:pt idx="7">
                  <c:v>0.41001639999999995</c:v>
                </c:pt>
                <c:pt idx="8">
                  <c:v>0.32533909999999999</c:v>
                </c:pt>
                <c:pt idx="9">
                  <c:v>0.36099269999999994</c:v>
                </c:pt>
                <c:pt idx="10">
                  <c:v>0.39664629999999995</c:v>
                </c:pt>
                <c:pt idx="11">
                  <c:v>0.39664629999999995</c:v>
                </c:pt>
                <c:pt idx="12">
                  <c:v>0.36990610000000002</c:v>
                </c:pt>
                <c:pt idx="13">
                  <c:v>0.39043999999999995</c:v>
                </c:pt>
                <c:pt idx="14">
                  <c:v>0.38590000000000002</c:v>
                </c:pt>
                <c:pt idx="15">
                  <c:v>0.39043999999999995</c:v>
                </c:pt>
              </c:numCache>
            </c:numRef>
          </c:val>
          <c:extLst>
            <c:ext xmlns:c16="http://schemas.microsoft.com/office/drawing/2014/chart" uri="{C3380CC4-5D6E-409C-BE32-E72D297353CC}">
              <c16:uniqueId val="{00000001-BD5E-4DCD-B0D3-15521D0A5C41}"/>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multiLvlStrRef>
              <c:f>Sheet1!$A$28:$B$66</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7</c:v>
                  </c:pt>
                </c:lvl>
                <c:lvl>
                  <c:pt idx="0">
                    <c:v>2020</c:v>
                  </c:pt>
                  <c:pt idx="4">
                    <c:v>2021</c:v>
                  </c:pt>
                  <c:pt idx="8">
                    <c:v>2022</c:v>
                  </c:pt>
                  <c:pt idx="12">
                    <c:v>2023</c:v>
                  </c:pt>
                </c:lvl>
              </c:multiLvlStrCache>
            </c:multiLvlStrRef>
          </c:cat>
          <c:val>
            <c:numRef>
              <c:f>Sheet1!$F$28:$F$67</c:f>
              <c:numCache>
                <c:formatCode>0.0</c:formatCode>
                <c:ptCount val="16"/>
                <c:pt idx="0">
                  <c:v>0.27799999999999997</c:v>
                </c:pt>
                <c:pt idx="1">
                  <c:v>-4.2020000000000009E-2</c:v>
                </c:pt>
                <c:pt idx="2">
                  <c:v>0.11119999999999999</c:v>
                </c:pt>
                <c:pt idx="3">
                  <c:v>0.71433999999999997</c:v>
                </c:pt>
                <c:pt idx="4">
                  <c:v>1.8656400000000002</c:v>
                </c:pt>
                <c:pt idx="5">
                  <c:v>2.10995</c:v>
                </c:pt>
                <c:pt idx="6">
                  <c:v>2.1987900000000002</c:v>
                </c:pt>
                <c:pt idx="7">
                  <c:v>1.7768000000000002</c:v>
                </c:pt>
                <c:pt idx="8">
                  <c:v>1.0660800000000001</c:v>
                </c:pt>
                <c:pt idx="9">
                  <c:v>1.6657500000000001</c:v>
                </c:pt>
                <c:pt idx="10">
                  <c:v>1.79901</c:v>
                </c:pt>
                <c:pt idx="11">
                  <c:v>1.57691</c:v>
                </c:pt>
                <c:pt idx="12">
                  <c:v>1.02166</c:v>
                </c:pt>
                <c:pt idx="13">
                  <c:v>6.5040000000000001E-2</c:v>
                </c:pt>
                <c:pt idx="14">
                  <c:v>-2.1680000000000001E-2</c:v>
                </c:pt>
                <c:pt idx="15">
                  <c:v>0</c:v>
                </c:pt>
              </c:numCache>
            </c:numRef>
          </c:val>
          <c:extLst>
            <c:ext xmlns:c16="http://schemas.microsoft.com/office/drawing/2014/chart" uri="{C3380CC4-5D6E-409C-BE32-E72D297353CC}">
              <c16:uniqueId val="{00000002-BD5E-4DCD-B0D3-15521D0A5C41}"/>
            </c:ext>
          </c:extLst>
        </c:ser>
        <c:ser>
          <c:idx val="4"/>
          <c:order val="4"/>
          <c:tx>
            <c:strRef>
              <c:f>Sheet1!$G$1</c:f>
              <c:strCache>
                <c:ptCount val="1"/>
                <c:pt idx="0">
                  <c:v>Ծառայություններ </c:v>
                </c:pt>
              </c:strCache>
            </c:strRef>
          </c:tx>
          <c:spPr>
            <a:solidFill>
              <a:srgbClr val="B4C7E7"/>
            </a:solidFill>
            <a:ln>
              <a:noFill/>
            </a:ln>
            <a:effectLst/>
          </c:spPr>
          <c:invertIfNegative val="0"/>
          <c:cat>
            <c:multiLvlStrRef>
              <c:f>Sheet1!$A$28:$B$66</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7</c:v>
                  </c:pt>
                </c:lvl>
                <c:lvl>
                  <c:pt idx="0">
                    <c:v>2020</c:v>
                  </c:pt>
                  <c:pt idx="4">
                    <c:v>2021</c:v>
                  </c:pt>
                  <c:pt idx="8">
                    <c:v>2022</c:v>
                  </c:pt>
                  <c:pt idx="12">
                    <c:v>2023</c:v>
                  </c:pt>
                </c:lvl>
              </c:multiLvlStrCache>
            </c:multiLvlStrRef>
          </c:cat>
          <c:val>
            <c:numRef>
              <c:f>Sheet1!$G$28:$G$67</c:f>
              <c:numCache>
                <c:formatCode>0.0</c:formatCode>
                <c:ptCount val="16"/>
                <c:pt idx="0">
                  <c:v>0.39837499999999998</c:v>
                </c:pt>
                <c:pt idx="1">
                  <c:v>0.46240999999999999</c:v>
                </c:pt>
                <c:pt idx="2">
                  <c:v>0.44618000000000002</c:v>
                </c:pt>
                <c:pt idx="3">
                  <c:v>0.56912000000000007</c:v>
                </c:pt>
                <c:pt idx="4">
                  <c:v>0.79486000000000023</c:v>
                </c:pt>
                <c:pt idx="5">
                  <c:v>0.75873000000000002</c:v>
                </c:pt>
                <c:pt idx="6">
                  <c:v>0.57808000000000004</c:v>
                </c:pt>
                <c:pt idx="7">
                  <c:v>0.68647000000000002</c:v>
                </c:pt>
                <c:pt idx="8">
                  <c:v>1.1922900000000001</c:v>
                </c:pt>
                <c:pt idx="9">
                  <c:v>1.91489</c:v>
                </c:pt>
                <c:pt idx="10">
                  <c:v>2.6013600000000001</c:v>
                </c:pt>
                <c:pt idx="11">
                  <c:v>2.6013600000000001</c:v>
                </c:pt>
                <c:pt idx="12">
                  <c:v>2.1678000000000002</c:v>
                </c:pt>
                <c:pt idx="13">
                  <c:v>1.2643800000000001</c:v>
                </c:pt>
                <c:pt idx="14">
                  <c:v>1.1995400000000001</c:v>
                </c:pt>
                <c:pt idx="15">
                  <c:v>1.1671199999999999</c:v>
                </c:pt>
              </c:numCache>
            </c:numRef>
          </c:val>
          <c:extLst>
            <c:ext xmlns:c16="http://schemas.microsoft.com/office/drawing/2014/chart" uri="{C3380CC4-5D6E-409C-BE32-E72D297353CC}">
              <c16:uniqueId val="{00000003-BD5E-4DCD-B0D3-15521D0A5C41}"/>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2"/>
            <c:bubble3D val="0"/>
            <c:extLst>
              <c:ext xmlns:c16="http://schemas.microsoft.com/office/drawing/2014/chart" uri="{C3380CC4-5D6E-409C-BE32-E72D297353CC}">
                <c16:uniqueId val="{00000004-BD5E-4DCD-B0D3-15521D0A5C41}"/>
              </c:ext>
            </c:extLst>
          </c:dPt>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BD5E-4DCD-B0D3-15521D0A5C41}"/>
              </c:ext>
            </c:extLst>
          </c:dPt>
          <c:dLbls>
            <c:dLbl>
              <c:idx val="9"/>
              <c:spPr>
                <a:noFill/>
                <a:ln>
                  <a:noFill/>
                </a:ln>
                <a:effectLst/>
              </c:spPr>
              <c:txPr>
                <a:bodyPr wrap="square" lIns="38100" tIns="19050" rIns="38100" bIns="19050" anchor="ctr">
                  <a:noAutofit/>
                </a:bodyPr>
                <a:lstStyle/>
                <a:p>
                  <a:pPr>
                    <a:defRPr sz="800"/>
                  </a:pPr>
                  <a:endParaRPr lang="en-US"/>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BD5E-4DCD-B0D3-15521D0A5C41}"/>
                </c:ext>
              </c:extLst>
            </c:dLbl>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Sheet1!$A$28:$B$67</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7</c:v>
                  </c:pt>
                  <c:pt idx="15">
                    <c:v>8</c:v>
                  </c:pt>
                </c:lvl>
                <c:lvl>
                  <c:pt idx="0">
                    <c:v>2020</c:v>
                  </c:pt>
                  <c:pt idx="4">
                    <c:v>2021</c:v>
                  </c:pt>
                  <c:pt idx="8">
                    <c:v>2022</c:v>
                  </c:pt>
                  <c:pt idx="12">
                    <c:v>2023</c:v>
                  </c:pt>
                </c:lvl>
              </c:multiLvlStrCache>
            </c:multiLvlStrRef>
          </c:cat>
          <c:val>
            <c:numRef>
              <c:f>Sheet1!$C$28:$C$67</c:f>
              <c:numCache>
                <c:formatCode>0.0</c:formatCode>
                <c:ptCount val="16"/>
                <c:pt idx="0">
                  <c:v>-5.8054400000000055E-2</c:v>
                </c:pt>
                <c:pt idx="1">
                  <c:v>1.6578599999999999</c:v>
                </c:pt>
                <c:pt idx="2">
                  <c:v>1.3506399999999998</c:v>
                </c:pt>
                <c:pt idx="3">
                  <c:v>3.6551020000000003</c:v>
                </c:pt>
                <c:pt idx="4">
                  <c:v>5.8236124000000009</c:v>
                </c:pt>
                <c:pt idx="5">
                  <c:v>6.5348216000000008</c:v>
                </c:pt>
                <c:pt idx="6">
                  <c:v>8.9207590999999997</c:v>
                </c:pt>
                <c:pt idx="7">
                  <c:v>7.6726024000000006</c:v>
                </c:pt>
                <c:pt idx="8">
                  <c:v>7.4</c:v>
                </c:pt>
                <c:pt idx="9">
                  <c:v>10.303516699999999</c:v>
                </c:pt>
                <c:pt idx="10">
                  <c:v>9.8939643000000004</c:v>
                </c:pt>
                <c:pt idx="11">
                  <c:v>8.2953162999999996</c:v>
                </c:pt>
                <c:pt idx="12">
                  <c:v>5.4</c:v>
                </c:pt>
                <c:pt idx="13">
                  <c:v>-0.5</c:v>
                </c:pt>
                <c:pt idx="14">
                  <c:v>-0.1</c:v>
                </c:pt>
                <c:pt idx="15">
                  <c:v>-0.2</c:v>
                </c:pt>
              </c:numCache>
            </c:numRef>
          </c:val>
          <c:smooth val="0"/>
          <c:extLst>
            <c:ext xmlns:c16="http://schemas.microsoft.com/office/drawing/2014/chart" uri="{C3380CC4-5D6E-409C-BE32-E72D297353CC}">
              <c16:uniqueId val="{00000007-BD5E-4DCD-B0D3-15521D0A5C41}"/>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39257600"/>
        <c:crosses val="autoZero"/>
        <c:auto val="1"/>
        <c:lblAlgn val="ctr"/>
        <c:lblOffset val="100"/>
        <c:noMultiLvlLbl val="0"/>
      </c:catAx>
      <c:valAx>
        <c:axId val="339257600"/>
        <c:scaling>
          <c:orientation val="minMax"/>
        </c:scaling>
        <c:delete val="0"/>
        <c:axPos val="l"/>
        <c:majorGridlines>
          <c:spPr>
            <a:ln w="6350">
              <a:solidFill>
                <a:srgbClr val="A5A5A5">
                  <a:lumMod val="40000"/>
                  <a:lumOff val="60000"/>
                </a:srgbClr>
              </a:solidFill>
            </a:ln>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39256064"/>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none" spc="0" normalizeH="0" baseline="0">
                <a:solidFill>
                  <a:sysClr val="windowText" lastClr="000000"/>
                </a:solidFill>
                <a:latin typeface="GHEA Grapalat" panose="02000506050000020003" pitchFamily="50" charset="0"/>
                <a:ea typeface="+mj-ea"/>
                <a:cs typeface="+mj-cs"/>
              </a:defRPr>
            </a:pPr>
            <a:r>
              <a:rPr lang="en-US" sz="1100" b="1"/>
              <a:t>Մ</a:t>
            </a:r>
            <a:r>
              <a:rPr lang="hy-AM" sz="1100" b="1"/>
              <a:t>իջին գնաճը</a:t>
            </a:r>
            <a:r>
              <a:rPr lang="en-US" sz="1100" b="1"/>
              <a:t>,</a:t>
            </a:r>
            <a:r>
              <a:rPr lang="en-US" sz="1100" b="1" baseline="0"/>
              <a:t> %</a:t>
            </a:r>
            <a:endParaRPr lang="en-US" sz="1100" b="1"/>
          </a:p>
        </c:rich>
      </c:tx>
      <c:layout>
        <c:manualLayout>
          <c:xMode val="edge"/>
          <c:yMode val="edge"/>
          <c:x val="0.39345289301523878"/>
          <c:y val="0"/>
        </c:manualLayout>
      </c:layout>
      <c:overlay val="0"/>
      <c:spPr>
        <a:noFill/>
        <a:ln>
          <a:noFill/>
        </a:ln>
        <a:effectLst/>
      </c:spPr>
    </c:title>
    <c:autoTitleDeleted val="0"/>
    <c:plotArea>
      <c:layout>
        <c:manualLayout>
          <c:layoutTarget val="inner"/>
          <c:xMode val="edge"/>
          <c:yMode val="edge"/>
          <c:x val="0.11270836908098351"/>
          <c:y val="0.1922388124720924"/>
          <c:w val="0.87317931679248439"/>
          <c:h val="0.4580634059746681"/>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Sheet1!$B$2:$B$67</c:f>
              <c:strCache>
                <c:ptCount val="16"/>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7</c:v>
                </c:pt>
                <c:pt idx="15">
                  <c:v>8</c:v>
                </c:pt>
              </c:strCache>
            </c:strRef>
          </c:cat>
          <c:val>
            <c:numRef>
              <c:f>Sheet1!$D$2:$D$67</c:f>
              <c:numCache>
                <c:formatCode>0.0</c:formatCode>
                <c:ptCount val="16"/>
                <c:pt idx="0">
                  <c:v>-1.2156899999999999</c:v>
                </c:pt>
                <c:pt idx="1">
                  <c:v>-0.43004000000000003</c:v>
                </c:pt>
                <c:pt idx="2">
                  <c:v>-0.12404999999999999</c:v>
                </c:pt>
                <c:pt idx="3">
                  <c:v>0.11768999999999999</c:v>
                </c:pt>
                <c:pt idx="4">
                  <c:v>2.6414839999999997</c:v>
                </c:pt>
                <c:pt idx="5">
                  <c:v>2.8647079999999998</c:v>
                </c:pt>
                <c:pt idx="6">
                  <c:v>3.6831960000000006</c:v>
                </c:pt>
                <c:pt idx="7">
                  <c:v>4.1668479999999999</c:v>
                </c:pt>
                <c:pt idx="8">
                  <c:v>4.501684</c:v>
                </c:pt>
                <c:pt idx="9">
                  <c:v>5.0969480000000003</c:v>
                </c:pt>
                <c:pt idx="10">
                  <c:v>5.0597440000000002</c:v>
                </c:pt>
                <c:pt idx="11">
                  <c:v>4.8365200000000002</c:v>
                </c:pt>
                <c:pt idx="12">
                  <c:v>3.0135239999999999</c:v>
                </c:pt>
                <c:pt idx="13">
                  <c:v>1.1994399999999998</c:v>
                </c:pt>
                <c:pt idx="14">
                  <c:v>0.78583999999999987</c:v>
                </c:pt>
                <c:pt idx="15">
                  <c:v>0.49631999999999998</c:v>
                </c:pt>
              </c:numCache>
            </c:numRef>
          </c:val>
          <c:extLst>
            <c:ext xmlns:c16="http://schemas.microsoft.com/office/drawing/2014/chart" uri="{C3380CC4-5D6E-409C-BE32-E72D297353CC}">
              <c16:uniqueId val="{00000000-7D1F-44AE-872C-1B2292CB3B75}"/>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Sheet1!$B$2:$B$67</c:f>
              <c:strCache>
                <c:ptCount val="16"/>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7</c:v>
                </c:pt>
                <c:pt idx="15">
                  <c:v>8</c:v>
                </c:pt>
              </c:strCache>
            </c:strRef>
          </c:cat>
          <c:val>
            <c:numRef>
              <c:f>Sheet1!$E$2:$E$67</c:f>
              <c:numCache>
                <c:formatCode>0.0</c:formatCode>
                <c:ptCount val="16"/>
                <c:pt idx="0">
                  <c:v>0.36093000000000003</c:v>
                </c:pt>
                <c:pt idx="1">
                  <c:v>0.40240499999999996</c:v>
                </c:pt>
                <c:pt idx="2">
                  <c:v>0.41283000000000003</c:v>
                </c:pt>
                <c:pt idx="3">
                  <c:v>0.41283000000000003</c:v>
                </c:pt>
                <c:pt idx="4">
                  <c:v>0.42338649999999994</c:v>
                </c:pt>
                <c:pt idx="5">
                  <c:v>0.40555969999999997</c:v>
                </c:pt>
                <c:pt idx="6">
                  <c:v>0.41001639999999995</c:v>
                </c:pt>
                <c:pt idx="7">
                  <c:v>0.41447310000000004</c:v>
                </c:pt>
                <c:pt idx="8">
                  <c:v>0.35207929999999998</c:v>
                </c:pt>
                <c:pt idx="9">
                  <c:v>0.3476226</c:v>
                </c:pt>
                <c:pt idx="10">
                  <c:v>0.35653599999999996</c:v>
                </c:pt>
                <c:pt idx="11">
                  <c:v>0.36544939999999998</c:v>
                </c:pt>
                <c:pt idx="12">
                  <c:v>0.40555969999999997</c:v>
                </c:pt>
                <c:pt idx="13">
                  <c:v>0.39043999999999995</c:v>
                </c:pt>
                <c:pt idx="14">
                  <c:v>0.39043999999999995</c:v>
                </c:pt>
                <c:pt idx="15">
                  <c:v>0.39043999999999995</c:v>
                </c:pt>
              </c:numCache>
            </c:numRef>
          </c:val>
          <c:extLst>
            <c:ext xmlns:c16="http://schemas.microsoft.com/office/drawing/2014/chart" uri="{C3380CC4-5D6E-409C-BE32-E72D297353CC}">
              <c16:uniqueId val="{00000001-7D1F-44AE-872C-1B2292CB3B75}"/>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Sheet1!$B$2:$B$67</c:f>
              <c:strCache>
                <c:ptCount val="16"/>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7</c:v>
                </c:pt>
                <c:pt idx="15">
                  <c:v>8</c:v>
                </c:pt>
              </c:strCache>
            </c:strRef>
          </c:cat>
          <c:val>
            <c:numRef>
              <c:f>Sheet1!$F$2:$F$67</c:f>
              <c:numCache>
                <c:formatCode>0.0</c:formatCode>
                <c:ptCount val="16"/>
                <c:pt idx="0">
                  <c:v>0.36695999999999995</c:v>
                </c:pt>
                <c:pt idx="1">
                  <c:v>0.19959500000000002</c:v>
                </c:pt>
                <c:pt idx="2">
                  <c:v>0.16808000000000003</c:v>
                </c:pt>
                <c:pt idx="3">
                  <c:v>0.21010000000000001</c:v>
                </c:pt>
                <c:pt idx="4">
                  <c:v>1.5324900000000001</c:v>
                </c:pt>
                <c:pt idx="5">
                  <c:v>1.7545900000000001</c:v>
                </c:pt>
                <c:pt idx="6">
                  <c:v>1.88785</c:v>
                </c:pt>
                <c:pt idx="7">
                  <c:v>1.9322699999999999</c:v>
                </c:pt>
                <c:pt idx="8">
                  <c:v>1.2215499999999999</c:v>
                </c:pt>
                <c:pt idx="9">
                  <c:v>1.3548099999999998</c:v>
                </c:pt>
                <c:pt idx="10">
                  <c:v>1.5102799999999998</c:v>
                </c:pt>
                <c:pt idx="11">
                  <c:v>1.5547</c:v>
                </c:pt>
                <c:pt idx="12">
                  <c:v>1.1993400000000001</c:v>
                </c:pt>
                <c:pt idx="13">
                  <c:v>0.71543999999999996</c:v>
                </c:pt>
                <c:pt idx="14">
                  <c:v>0.60703999999999991</c:v>
                </c:pt>
                <c:pt idx="15">
                  <c:v>0.54200000000000004</c:v>
                </c:pt>
              </c:numCache>
            </c:numRef>
          </c:val>
          <c:extLst>
            <c:ext xmlns:c16="http://schemas.microsoft.com/office/drawing/2014/chart" uri="{C3380CC4-5D6E-409C-BE32-E72D297353CC}">
              <c16:uniqueId val="{00000002-7D1F-44AE-872C-1B2292CB3B75}"/>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Sheet1!$B$2:$B$67</c:f>
              <c:strCache>
                <c:ptCount val="16"/>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7</c:v>
                </c:pt>
                <c:pt idx="15">
                  <c:v>8</c:v>
                </c:pt>
              </c:strCache>
            </c:strRef>
          </c:cat>
          <c:val>
            <c:numRef>
              <c:f>Sheet1!$G$2:$G$67</c:f>
              <c:numCache>
                <c:formatCode>0.0</c:formatCode>
                <c:ptCount val="16"/>
                <c:pt idx="0">
                  <c:v>0.43024500000000004</c:v>
                </c:pt>
                <c:pt idx="1">
                  <c:v>0.39837499999999998</c:v>
                </c:pt>
                <c:pt idx="2">
                  <c:v>0.41431000000000007</c:v>
                </c:pt>
                <c:pt idx="3">
                  <c:v>0.49797999999999992</c:v>
                </c:pt>
                <c:pt idx="4">
                  <c:v>0.61421000000000003</c:v>
                </c:pt>
                <c:pt idx="5">
                  <c:v>0.72260000000000002</c:v>
                </c:pt>
                <c:pt idx="6">
                  <c:v>0.68647000000000002</c:v>
                </c:pt>
                <c:pt idx="7">
                  <c:v>0.68647000000000002</c:v>
                </c:pt>
                <c:pt idx="8">
                  <c:v>0.90325</c:v>
                </c:pt>
                <c:pt idx="9">
                  <c:v>1.2645500000000001</c:v>
                </c:pt>
                <c:pt idx="10">
                  <c:v>1.62585</c:v>
                </c:pt>
                <c:pt idx="11">
                  <c:v>1.8787600000000004</c:v>
                </c:pt>
                <c:pt idx="12">
                  <c:v>2.4929700000000001</c:v>
                </c:pt>
                <c:pt idx="13">
                  <c:v>1.8479400000000001</c:v>
                </c:pt>
                <c:pt idx="14">
                  <c:v>1.75068</c:v>
                </c:pt>
                <c:pt idx="15">
                  <c:v>1.68584</c:v>
                </c:pt>
              </c:numCache>
            </c:numRef>
          </c:val>
          <c:extLst>
            <c:ext xmlns:c16="http://schemas.microsoft.com/office/drawing/2014/chart" uri="{C3380CC4-5D6E-409C-BE32-E72D297353CC}">
              <c16:uniqueId val="{00000003-7D1F-44AE-872C-1B2292CB3B75}"/>
            </c:ext>
          </c:extLst>
        </c:ser>
        <c:dLbls>
          <c:showLegendKey val="0"/>
          <c:showVal val="0"/>
          <c:showCatName val="0"/>
          <c:showSerName val="0"/>
          <c:showPercent val="0"/>
          <c:showBubbleSize val="0"/>
        </c:dLbls>
        <c:gapWidth val="100"/>
        <c:overlap val="100"/>
        <c:axId val="339650048"/>
        <c:axId val="339651584"/>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7D1F-44AE-872C-1B2292CB3B75}"/>
              </c:ext>
            </c:extLst>
          </c:dPt>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multiLvlStrRef>
              <c:f>Sheet1!$A$28:$B$67</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7</c:v>
                  </c:pt>
                  <c:pt idx="15">
                    <c:v>8</c:v>
                  </c:pt>
                </c:lvl>
                <c:lvl>
                  <c:pt idx="0">
                    <c:v>2020</c:v>
                  </c:pt>
                  <c:pt idx="4">
                    <c:v>2021</c:v>
                  </c:pt>
                  <c:pt idx="8">
                    <c:v>2022</c:v>
                  </c:pt>
                  <c:pt idx="12">
                    <c:v>2023</c:v>
                  </c:pt>
                </c:lvl>
              </c:multiLvlStrCache>
            </c:multiLvlStrRef>
          </c:cat>
          <c:val>
            <c:numRef>
              <c:f>Sheet1!$C$2:$C$67</c:f>
              <c:numCache>
                <c:formatCode>0.0</c:formatCode>
                <c:ptCount val="16"/>
                <c:pt idx="0">
                  <c:v>-5.7554999999999967E-2</c:v>
                </c:pt>
                <c:pt idx="1">
                  <c:v>0.57033499999999993</c:v>
                </c:pt>
                <c:pt idx="2">
                  <c:v>0.87117000000000011</c:v>
                </c:pt>
                <c:pt idx="3">
                  <c:v>1.2385999999999999</c:v>
                </c:pt>
                <c:pt idx="4">
                  <c:v>5.2115704999999997</c:v>
                </c:pt>
                <c:pt idx="5">
                  <c:v>5.7474577</c:v>
                </c:pt>
                <c:pt idx="6">
                  <c:v>6.6675324000000007</c:v>
                </c:pt>
                <c:pt idx="7">
                  <c:v>7.2000611000000001</c:v>
                </c:pt>
                <c:pt idx="8">
                  <c:v>6.9785632999999994</c:v>
                </c:pt>
                <c:pt idx="9">
                  <c:v>8.0639306000000008</c:v>
                </c:pt>
                <c:pt idx="10">
                  <c:v>8.5524100000000001</c:v>
                </c:pt>
                <c:pt idx="11">
                  <c:v>8.6354293999999996</c:v>
                </c:pt>
                <c:pt idx="12">
                  <c:v>7.2</c:v>
                </c:pt>
                <c:pt idx="13">
                  <c:v>4.2</c:v>
                </c:pt>
                <c:pt idx="14">
                  <c:v>3.6</c:v>
                </c:pt>
                <c:pt idx="15">
                  <c:v>3.1</c:v>
                </c:pt>
              </c:numCache>
            </c:numRef>
          </c:val>
          <c:smooth val="0"/>
          <c:extLst>
            <c:ext xmlns:c16="http://schemas.microsoft.com/office/drawing/2014/chart" uri="{C3380CC4-5D6E-409C-BE32-E72D297353CC}">
              <c16:uniqueId val="{00000005-7D1F-44AE-872C-1B2292CB3B75}"/>
            </c:ext>
          </c:extLst>
        </c:ser>
        <c:dLbls>
          <c:showLegendKey val="0"/>
          <c:showVal val="0"/>
          <c:showCatName val="0"/>
          <c:showSerName val="0"/>
          <c:showPercent val="0"/>
          <c:showBubbleSize val="0"/>
        </c:dLbls>
        <c:marker val="1"/>
        <c:smooth val="0"/>
        <c:axId val="339650048"/>
        <c:axId val="339651584"/>
      </c:lineChart>
      <c:catAx>
        <c:axId val="339650048"/>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39651584"/>
        <c:crosses val="autoZero"/>
        <c:auto val="1"/>
        <c:lblAlgn val="ctr"/>
        <c:lblOffset val="100"/>
        <c:noMultiLvlLbl val="0"/>
      </c:catAx>
      <c:valAx>
        <c:axId val="339651584"/>
        <c:scaling>
          <c:orientation val="minMax"/>
          <c:max val="10"/>
        </c:scaling>
        <c:delete val="0"/>
        <c:axPos val="l"/>
        <c:majorGridlines>
          <c:spPr>
            <a:ln w="3175">
              <a:solidFill>
                <a:srgbClr val="A5A5A5">
                  <a:lumMod val="40000"/>
                  <a:lumOff val="60000"/>
                </a:srgbClr>
              </a:solidFill>
            </a:ln>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39650048"/>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lgn="ct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0.1312423813132145"/>
          <c:w val="0.84290099330803991"/>
          <c:h val="0.21350437445319334"/>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Sheet1!$D$28:$D$64</c:f>
              <c:numCache>
                <c:formatCode>General</c:formatCode>
                <c:ptCount val="17"/>
              </c:numCache>
            </c:numRef>
          </c:val>
          <c:extLst>
            <c:ext xmlns:c16="http://schemas.microsoft.com/office/drawing/2014/chart" uri="{C3380CC4-5D6E-409C-BE32-E72D297353CC}">
              <c16:uniqueId val="{00000000-8C3E-49FC-AD65-35D157885D6C}"/>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Sheet1!$E$28:$E$64</c:f>
              <c:numCache>
                <c:formatCode>General</c:formatCode>
                <c:ptCount val="17"/>
              </c:numCache>
            </c:numRef>
          </c:val>
          <c:extLst>
            <c:ext xmlns:c16="http://schemas.microsoft.com/office/drawing/2014/chart" uri="{C3380CC4-5D6E-409C-BE32-E72D297353CC}">
              <c16:uniqueId val="{00000001-8C3E-49FC-AD65-35D157885D6C}"/>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Sheet1!$F$28:$F$64</c:f>
              <c:numCache>
                <c:formatCode>General</c:formatCode>
                <c:ptCount val="17"/>
              </c:numCache>
            </c:numRef>
          </c:val>
          <c:extLst>
            <c:ext xmlns:c16="http://schemas.microsoft.com/office/drawing/2014/chart" uri="{C3380CC4-5D6E-409C-BE32-E72D297353CC}">
              <c16:uniqueId val="{00000002-8C3E-49FC-AD65-35D157885D6C}"/>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Sheet1!$G$28:$G$64</c:f>
              <c:numCache>
                <c:formatCode>General</c:formatCode>
                <c:ptCount val="17"/>
              </c:numCache>
            </c:numRef>
          </c:val>
          <c:extLst>
            <c:ext xmlns:c16="http://schemas.microsoft.com/office/drawing/2014/chart" uri="{C3380CC4-5D6E-409C-BE32-E72D297353CC}">
              <c16:uniqueId val="{00000003-8C3E-49FC-AD65-35D157885D6C}"/>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6"/>
            <c:bubble3D val="0"/>
            <c:extLst>
              <c:ext xmlns:c16="http://schemas.microsoft.com/office/drawing/2014/chart" uri="{C3380CC4-5D6E-409C-BE32-E72D297353CC}">
                <c16:uniqueId val="{00000004-8C3E-49FC-AD65-35D157885D6C}"/>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8C3E-49FC-AD65-35D157885D6C}"/>
              </c:ext>
            </c:extLst>
          </c:dPt>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Sheet1!$A$28:$B$64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2019</c:v>
                  </c:pt>
                  <c:pt idx="4">
                    <c:v>2020</c:v>
                  </c:pt>
                  <c:pt idx="8">
                    <c:v>2021</c:v>
                  </c:pt>
                  <c:pt idx="12">
                    <c:v>2022</c:v>
                  </c:pt>
                  <c:pt idx="16">
                    <c:v>2023</c:v>
                  </c:pt>
                </c:lvl>
              </c:multiLvlStrCache>
            </c:multiLvlStrRef>
          </c:cat>
          <c:val>
            <c:numRef>
              <c:f>Sheet1!$C$28:$C$64</c:f>
              <c:numCache>
                <c:formatCode>General</c:formatCode>
                <c:ptCount val="17"/>
              </c:numCache>
            </c:numRef>
          </c:val>
          <c:smooth val="0"/>
          <c:extLst>
            <c:ext xmlns:c16="http://schemas.microsoft.com/office/drawing/2014/chart" uri="{C3380CC4-5D6E-409C-BE32-E72D297353CC}">
              <c16:uniqueId val="{00000006-8C3E-49FC-AD65-35D157885D6C}"/>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1"/>
        <c:axPos val="b"/>
        <c:numFmt formatCode="General" sourceLinked="1"/>
        <c:majorTickMark val="out"/>
        <c:minorTickMark val="none"/>
        <c:tickLblPos val="low"/>
        <c:crossAx val="339257600"/>
        <c:crosses val="autoZero"/>
        <c:auto val="1"/>
        <c:lblAlgn val="ctr"/>
        <c:lblOffset val="100"/>
        <c:noMultiLvlLbl val="0"/>
      </c:catAx>
      <c:valAx>
        <c:axId val="339257600"/>
        <c:scaling>
          <c:orientation val="minMax"/>
        </c:scaling>
        <c:delete val="1"/>
        <c:axPos val="l"/>
        <c:numFmt formatCode="General" sourceLinked="1"/>
        <c:majorTickMark val="none"/>
        <c:minorTickMark val="none"/>
        <c:tickLblPos val="nextTo"/>
        <c:crossAx val="339256064"/>
        <c:crosses val="autoZero"/>
        <c:crossBetween val="between"/>
      </c:valAx>
      <c:spPr>
        <a:pattFill prst="ltDnDiag">
          <a:fgClr>
            <a:srgbClr val="000000">
              <a:alpha val="0"/>
            </a:srgbClr>
          </a:fgClr>
          <a:bgClr>
            <a:srgbClr val="FFFFFF"/>
          </a:bgClr>
        </a:pattFill>
        <a:ln w="25400">
          <a:noFill/>
        </a:ln>
        <a:effectLst/>
      </c:spPr>
    </c:plotArea>
    <c:legend>
      <c:legendPos val="r"/>
      <c:layout>
        <c:manualLayout>
          <c:xMode val="edge"/>
          <c:yMode val="edge"/>
          <c:x val="3.1936127744510975E-2"/>
          <c:y val="3.7699115044247791E-2"/>
          <c:w val="0.9640718562874252"/>
          <c:h val="0.96201147422943811"/>
        </c:manualLayout>
      </c:layout>
      <c:overlay val="0"/>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a:t>Ֆինանսական շուկայի տոկոսադրույքների միտումները, </a:t>
            </a:r>
            <a:r>
              <a:rPr lang="en-US"/>
              <a:t>%</a:t>
            </a:r>
          </a:p>
        </c:rich>
      </c:tx>
      <c:layout>
        <c:manualLayout>
          <c:xMode val="edge"/>
          <c:yMode val="edge"/>
          <c:x val="0.1060351151758204"/>
          <c:y val="1.2903225806451613E-2"/>
        </c:manualLayout>
      </c:layout>
      <c:overlay val="0"/>
    </c:title>
    <c:autoTitleDeleted val="0"/>
    <c:plotArea>
      <c:layout>
        <c:manualLayout>
          <c:layoutTarget val="inner"/>
          <c:xMode val="edge"/>
          <c:yMode val="edge"/>
          <c:x val="5.8833111477111205E-2"/>
          <c:y val="0.14663313859961052"/>
          <c:w val="0.92015447209499956"/>
          <c:h val="0.42646143425620187"/>
        </c:manualLayout>
      </c:layout>
      <c:lineChart>
        <c:grouping val="standard"/>
        <c:varyColors val="0"/>
        <c:ser>
          <c:idx val="0"/>
          <c:order val="0"/>
          <c:tx>
            <c:strRef>
              <c:f>Sheet1!$D$1</c:f>
              <c:strCache>
                <c:ptCount val="1"/>
                <c:pt idx="0">
                  <c:v>Միջբանկային ռեպո</c:v>
                </c:pt>
              </c:strCache>
            </c:strRef>
          </c:tx>
          <c:spPr>
            <a:ln w="19050" cap="rnd">
              <a:solidFill>
                <a:srgbClr val="ED7D31"/>
              </a:solidFill>
              <a:prstDash val="solid"/>
              <a:round/>
            </a:ln>
            <a:effectLst/>
          </c:spPr>
          <c:marker>
            <c:symbol val="none"/>
          </c:marker>
          <c:cat>
            <c:multiLvlStrRef>
              <c:f>Sheet1!$A$16:$B$64</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7</c:v>
                  </c:pt>
                </c:lvl>
                <c:lvl>
                  <c:pt idx="0">
                    <c:v>2020</c:v>
                  </c:pt>
                  <c:pt idx="4">
                    <c:v>2021</c:v>
                  </c:pt>
                  <c:pt idx="8">
                    <c:v>2022</c:v>
                  </c:pt>
                  <c:pt idx="12">
                    <c:v>2023</c:v>
                  </c:pt>
                </c:lvl>
              </c:multiLvlStrCache>
            </c:multiLvlStrRef>
          </c:cat>
          <c:val>
            <c:numRef>
              <c:f>Sheet1!$D$2:$D$64</c:f>
              <c:numCache>
                <c:formatCode>0.0</c:formatCode>
                <c:ptCount val="15"/>
                <c:pt idx="0">
                  <c:v>5.33</c:v>
                </c:pt>
                <c:pt idx="1">
                  <c:v>4.87</c:v>
                </c:pt>
                <c:pt idx="2">
                  <c:v>4.3899999999999997</c:v>
                </c:pt>
                <c:pt idx="3">
                  <c:v>5.03</c:v>
                </c:pt>
                <c:pt idx="4">
                  <c:v>5.54</c:v>
                </c:pt>
                <c:pt idx="5">
                  <c:v>6.48</c:v>
                </c:pt>
                <c:pt idx="6">
                  <c:v>7.17</c:v>
                </c:pt>
                <c:pt idx="7">
                  <c:v>7.25</c:v>
                </c:pt>
                <c:pt idx="8">
                  <c:v>8.36</c:v>
                </c:pt>
                <c:pt idx="9">
                  <c:v>9.3699999999999992</c:v>
                </c:pt>
                <c:pt idx="10">
                  <c:v>10</c:v>
                </c:pt>
                <c:pt idx="11">
                  <c:v>10.89</c:v>
                </c:pt>
                <c:pt idx="12">
                  <c:v>11.083333333333334</c:v>
                </c:pt>
                <c:pt idx="13">
                  <c:v>10.76</c:v>
                </c:pt>
              </c:numCache>
            </c:numRef>
          </c:val>
          <c:smooth val="0"/>
          <c:extLst>
            <c:ext xmlns:c16="http://schemas.microsoft.com/office/drawing/2014/chart" uri="{C3380CC4-5D6E-409C-BE32-E72D297353CC}">
              <c16:uniqueId val="{00000000-BFA5-4DA0-8A0D-6D67AF2B60B9}"/>
            </c:ext>
          </c:extLst>
        </c:ser>
        <c:ser>
          <c:idx val="1"/>
          <c:order val="1"/>
          <c:tx>
            <c:strRef>
              <c:f>Sheet1!$E$1</c:f>
              <c:strCache>
                <c:ptCount val="1"/>
                <c:pt idx="0">
                  <c:v>Պետական պարտատոմսեր, 1տ․</c:v>
                </c:pt>
              </c:strCache>
            </c:strRef>
          </c:tx>
          <c:spPr>
            <a:ln w="19050" cap="rnd">
              <a:solidFill>
                <a:srgbClr val="A5A5A5"/>
              </a:solidFill>
              <a:round/>
            </a:ln>
            <a:effectLst/>
          </c:spPr>
          <c:marker>
            <c:symbol val="none"/>
          </c:marker>
          <c:cat>
            <c:multiLvlStrRef>
              <c:f>Sheet1!$A$16:$B$64</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7</c:v>
                  </c:pt>
                </c:lvl>
                <c:lvl>
                  <c:pt idx="0">
                    <c:v>2020</c:v>
                  </c:pt>
                  <c:pt idx="4">
                    <c:v>2021</c:v>
                  </c:pt>
                  <c:pt idx="8">
                    <c:v>2022</c:v>
                  </c:pt>
                  <c:pt idx="12">
                    <c:v>2023</c:v>
                  </c:pt>
                </c:lvl>
              </c:multiLvlStrCache>
            </c:multiLvlStrRef>
          </c:cat>
          <c:val>
            <c:numRef>
              <c:f>Sheet1!$E$2:$E$64</c:f>
              <c:numCache>
                <c:formatCode>0.0</c:formatCode>
                <c:ptCount val="15"/>
                <c:pt idx="0">
                  <c:v>5.7816999999999998</c:v>
                </c:pt>
                <c:pt idx="1">
                  <c:v>5.5404999999999998</c:v>
                </c:pt>
                <c:pt idx="2">
                  <c:v>5.5647000000000002</c:v>
                </c:pt>
                <c:pt idx="3">
                  <c:v>6.4890999999999996</c:v>
                </c:pt>
                <c:pt idx="4">
                  <c:v>6.8712428571428568</c:v>
                </c:pt>
                <c:pt idx="5">
                  <c:v>7.3503850130953534</c:v>
                </c:pt>
                <c:pt idx="6">
                  <c:v>8.4334571428571437</c:v>
                </c:pt>
                <c:pt idx="7">
                  <c:v>9.0296000000000003</c:v>
                </c:pt>
                <c:pt idx="8">
                  <c:v>9.6898681818181824</c:v>
                </c:pt>
                <c:pt idx="9">
                  <c:v>10.307509090909091</c:v>
                </c:pt>
                <c:pt idx="10">
                  <c:v>10.583795238095238</c:v>
                </c:pt>
                <c:pt idx="11">
                  <c:v>11.7258</c:v>
                </c:pt>
                <c:pt idx="12">
                  <c:v>11.564432258064519</c:v>
                </c:pt>
                <c:pt idx="13">
                  <c:v>11.357082258064516</c:v>
                </c:pt>
                <c:pt idx="14">
                  <c:v>11.074404999999997</c:v>
                </c:pt>
              </c:numCache>
            </c:numRef>
          </c:val>
          <c:smooth val="0"/>
          <c:extLst>
            <c:ext xmlns:c16="http://schemas.microsoft.com/office/drawing/2014/chart" uri="{C3380CC4-5D6E-409C-BE32-E72D297353CC}">
              <c16:uniqueId val="{00000001-BFA5-4DA0-8A0D-6D67AF2B60B9}"/>
            </c:ext>
          </c:extLst>
        </c:ser>
        <c:ser>
          <c:idx val="2"/>
          <c:order val="2"/>
          <c:tx>
            <c:strRef>
              <c:f>Sheet1!$F$1</c:f>
              <c:strCache>
                <c:ptCount val="1"/>
                <c:pt idx="0">
                  <c:v>Պետական պարտատոմսեր, 10տ․</c:v>
                </c:pt>
              </c:strCache>
            </c:strRef>
          </c:tx>
          <c:spPr>
            <a:ln w="19050" cap="rnd">
              <a:solidFill>
                <a:srgbClr val="FFC000"/>
              </a:solidFill>
              <a:round/>
            </a:ln>
            <a:effectLst/>
          </c:spPr>
          <c:marker>
            <c:symbol val="none"/>
          </c:marker>
          <c:cat>
            <c:multiLvlStrRef>
              <c:f>Sheet1!$A$16:$B$64</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7</c:v>
                  </c:pt>
                </c:lvl>
                <c:lvl>
                  <c:pt idx="0">
                    <c:v>2020</c:v>
                  </c:pt>
                  <c:pt idx="4">
                    <c:v>2021</c:v>
                  </c:pt>
                  <c:pt idx="8">
                    <c:v>2022</c:v>
                  </c:pt>
                  <c:pt idx="12">
                    <c:v>2023</c:v>
                  </c:pt>
                </c:lvl>
              </c:multiLvlStrCache>
            </c:multiLvlStrRef>
          </c:cat>
          <c:val>
            <c:numRef>
              <c:f>Sheet1!$F$2:$F$64</c:f>
              <c:numCache>
                <c:formatCode>0.0</c:formatCode>
                <c:ptCount val="15"/>
                <c:pt idx="0">
                  <c:v>7.7184999999999997</c:v>
                </c:pt>
                <c:pt idx="1">
                  <c:v>7.7636000000000003</c:v>
                </c:pt>
                <c:pt idx="2">
                  <c:v>7.6761999999999997</c:v>
                </c:pt>
                <c:pt idx="3">
                  <c:v>8.8371999999999993</c:v>
                </c:pt>
                <c:pt idx="4">
                  <c:v>8.8150272727272725</c:v>
                </c:pt>
                <c:pt idx="5">
                  <c:v>9.0018772727272722</c:v>
                </c:pt>
                <c:pt idx="6">
                  <c:v>10.014661904761903</c:v>
                </c:pt>
                <c:pt idx="7">
                  <c:v>10.023227272727274</c:v>
                </c:pt>
                <c:pt idx="8">
                  <c:v>10.728454545454547</c:v>
                </c:pt>
                <c:pt idx="9">
                  <c:v>11.198654545454545</c:v>
                </c:pt>
                <c:pt idx="10">
                  <c:v>11.536523809523809</c:v>
                </c:pt>
                <c:pt idx="11">
                  <c:v>11.9946</c:v>
                </c:pt>
                <c:pt idx="12">
                  <c:v>11.874240322580647</c:v>
                </c:pt>
                <c:pt idx="13">
                  <c:v>11.254803225806453</c:v>
                </c:pt>
                <c:pt idx="14">
                  <c:v>10.690165</c:v>
                </c:pt>
              </c:numCache>
            </c:numRef>
          </c:val>
          <c:smooth val="0"/>
          <c:extLst>
            <c:ext xmlns:c16="http://schemas.microsoft.com/office/drawing/2014/chart" uri="{C3380CC4-5D6E-409C-BE32-E72D297353CC}">
              <c16:uniqueId val="{00000002-BFA5-4DA0-8A0D-6D67AF2B60B9}"/>
            </c:ext>
          </c:extLst>
        </c:ser>
        <c:ser>
          <c:idx val="3"/>
          <c:order val="3"/>
          <c:tx>
            <c:strRef>
              <c:f>Sheet1!$G$1</c:f>
              <c:strCache>
                <c:ptCount val="1"/>
                <c:pt idx="0">
                  <c:v>Վարկեր, մինչև 1 տ․</c:v>
                </c:pt>
              </c:strCache>
            </c:strRef>
          </c:tx>
          <c:spPr>
            <a:ln w="19050" cap="rnd">
              <a:solidFill>
                <a:srgbClr val="4472C4">
                  <a:lumMod val="50000"/>
                </a:srgbClr>
              </a:solidFill>
              <a:round/>
            </a:ln>
            <a:effectLst/>
          </c:spPr>
          <c:marker>
            <c:symbol val="none"/>
          </c:marker>
          <c:cat>
            <c:multiLvlStrRef>
              <c:f>Sheet1!$A$16:$B$64</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7</c:v>
                  </c:pt>
                </c:lvl>
                <c:lvl>
                  <c:pt idx="0">
                    <c:v>2020</c:v>
                  </c:pt>
                  <c:pt idx="4">
                    <c:v>2021</c:v>
                  </c:pt>
                  <c:pt idx="8">
                    <c:v>2022</c:v>
                  </c:pt>
                  <c:pt idx="12">
                    <c:v>2023</c:v>
                  </c:pt>
                </c:lvl>
              </c:multiLvlStrCache>
            </c:multiLvlStrRef>
          </c:cat>
          <c:val>
            <c:numRef>
              <c:f>Sheet1!$G$2:$G$64</c:f>
              <c:numCache>
                <c:formatCode>0.0</c:formatCode>
                <c:ptCount val="15"/>
                <c:pt idx="0">
                  <c:v>12.086361052439955</c:v>
                </c:pt>
                <c:pt idx="1">
                  <c:v>11.840666400286993</c:v>
                </c:pt>
                <c:pt idx="2">
                  <c:v>11.739999180461965</c:v>
                </c:pt>
                <c:pt idx="3">
                  <c:v>11.46854913302637</c:v>
                </c:pt>
                <c:pt idx="4">
                  <c:v>11.961990666081375</c:v>
                </c:pt>
                <c:pt idx="5">
                  <c:v>10.411636000567436</c:v>
                </c:pt>
                <c:pt idx="6">
                  <c:v>12.208102534160609</c:v>
                </c:pt>
                <c:pt idx="7">
                  <c:v>12.277436640171302</c:v>
                </c:pt>
                <c:pt idx="8">
                  <c:v>12.491087907189435</c:v>
                </c:pt>
                <c:pt idx="9">
                  <c:v>11.274733470496635</c:v>
                </c:pt>
                <c:pt idx="10">
                  <c:v>11.773619839763745</c:v>
                </c:pt>
                <c:pt idx="11">
                  <c:v>12.026777148567596</c:v>
                </c:pt>
                <c:pt idx="12">
                  <c:v>12.280686192171711</c:v>
                </c:pt>
                <c:pt idx="13">
                  <c:v>12.139632381709292</c:v>
                </c:pt>
                <c:pt idx="14">
                  <c:v>12.29666154156954</c:v>
                </c:pt>
              </c:numCache>
            </c:numRef>
          </c:val>
          <c:smooth val="0"/>
          <c:extLst>
            <c:ext xmlns:c16="http://schemas.microsoft.com/office/drawing/2014/chart" uri="{C3380CC4-5D6E-409C-BE32-E72D297353CC}">
              <c16:uniqueId val="{00000003-BFA5-4DA0-8A0D-6D67AF2B60B9}"/>
            </c:ext>
          </c:extLst>
        </c:ser>
        <c:ser>
          <c:idx val="4"/>
          <c:order val="4"/>
          <c:tx>
            <c:strRef>
              <c:f>Sheet1!$H$1</c:f>
              <c:strCache>
                <c:ptCount val="1"/>
                <c:pt idx="0">
                  <c:v>Ավանդներ, մինչև 1տ․</c:v>
                </c:pt>
              </c:strCache>
            </c:strRef>
          </c:tx>
          <c:spPr>
            <a:ln w="19050" cap="rnd">
              <a:solidFill>
                <a:srgbClr val="4472C4"/>
              </a:solidFill>
              <a:prstDash val="solid"/>
              <a:round/>
            </a:ln>
            <a:effectLst/>
          </c:spPr>
          <c:marker>
            <c:symbol val="none"/>
          </c:marker>
          <c:cat>
            <c:multiLvlStrRef>
              <c:f>Sheet1!$A$16:$B$64</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7</c:v>
                  </c:pt>
                </c:lvl>
                <c:lvl>
                  <c:pt idx="0">
                    <c:v>2020</c:v>
                  </c:pt>
                  <c:pt idx="4">
                    <c:v>2021</c:v>
                  </c:pt>
                  <c:pt idx="8">
                    <c:v>2022</c:v>
                  </c:pt>
                  <c:pt idx="12">
                    <c:v>2023</c:v>
                  </c:pt>
                </c:lvl>
              </c:multiLvlStrCache>
            </c:multiLvlStrRef>
          </c:cat>
          <c:val>
            <c:numRef>
              <c:f>Sheet1!$H$2:$H$64</c:f>
              <c:numCache>
                <c:formatCode>0.0</c:formatCode>
                <c:ptCount val="15"/>
                <c:pt idx="0">
                  <c:v>7.2291523038045318</c:v>
                </c:pt>
                <c:pt idx="1">
                  <c:v>7.9211712515744601</c:v>
                </c:pt>
                <c:pt idx="2">
                  <c:v>8.4142766303570919</c:v>
                </c:pt>
                <c:pt idx="3">
                  <c:v>7.4048415965003471</c:v>
                </c:pt>
                <c:pt idx="4">
                  <c:v>7.7422870380906073</c:v>
                </c:pt>
                <c:pt idx="5">
                  <c:v>8.0158616246163845</c:v>
                </c:pt>
                <c:pt idx="6">
                  <c:v>8.2773469777009598</c:v>
                </c:pt>
                <c:pt idx="7">
                  <c:v>8.2678332122473623</c:v>
                </c:pt>
                <c:pt idx="8">
                  <c:v>9.2964040296125265</c:v>
                </c:pt>
                <c:pt idx="9">
                  <c:v>8.1287571727719037</c:v>
                </c:pt>
                <c:pt idx="10">
                  <c:v>7.6374793222786144</c:v>
                </c:pt>
                <c:pt idx="11">
                  <c:v>8.6201560403887179</c:v>
                </c:pt>
                <c:pt idx="12">
                  <c:v>8.1887607485517133</c:v>
                </c:pt>
                <c:pt idx="13">
                  <c:v>8.3546599768074685</c:v>
                </c:pt>
                <c:pt idx="14">
                  <c:v>8.2260766425836156</c:v>
                </c:pt>
              </c:numCache>
            </c:numRef>
          </c:val>
          <c:smooth val="0"/>
          <c:extLst>
            <c:ext xmlns:c16="http://schemas.microsoft.com/office/drawing/2014/chart" uri="{C3380CC4-5D6E-409C-BE32-E72D297353CC}">
              <c16:uniqueId val="{00000004-BFA5-4DA0-8A0D-6D67AF2B60B9}"/>
            </c:ext>
          </c:extLst>
        </c:ser>
        <c:dLbls>
          <c:showLegendKey val="0"/>
          <c:showVal val="0"/>
          <c:showCatName val="0"/>
          <c:showSerName val="0"/>
          <c:showPercent val="0"/>
          <c:showBubbleSize val="0"/>
        </c:dLbls>
        <c:smooth val="0"/>
        <c:axId val="803037520"/>
        <c:axId val="1"/>
      </c:lineChart>
      <c:catAx>
        <c:axId val="803037520"/>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min val="4"/>
        </c:scaling>
        <c:delete val="0"/>
        <c:axPos val="l"/>
        <c:majorGridlines>
          <c:spPr>
            <a:ln>
              <a:solidFill>
                <a:srgbClr val="A5A5A5">
                  <a:lumMod val="40000"/>
                  <a:lumOff val="60000"/>
                </a:srgbClr>
              </a:solidFill>
            </a:ln>
          </c:spPr>
        </c:majorGridlines>
        <c:numFmt formatCode="0.0" sourceLinked="1"/>
        <c:majorTickMark val="none"/>
        <c:minorTickMark val="none"/>
        <c:tickLblPos val="nextTo"/>
        <c:spPr>
          <a:ln w="9524">
            <a:noFill/>
          </a:ln>
        </c:spPr>
        <c:txPr>
          <a:bodyPr rot="-60000000" vert="horz"/>
          <a:lstStyle/>
          <a:p>
            <a:pPr>
              <a:defRPr/>
            </a:pPr>
            <a:endParaRPr lang="en-US"/>
          </a:p>
        </c:txPr>
        <c:crossAx val="803037520"/>
        <c:crosses val="autoZero"/>
        <c:crossBetween val="between"/>
      </c:valAx>
      <c:spPr>
        <a:solidFill>
          <a:schemeClr val="bg1"/>
        </a:solidFill>
        <a:ln>
          <a:noFill/>
        </a:ln>
        <a:effectLst/>
      </c:spPr>
    </c:plotArea>
    <c:legend>
      <c:legendPos val="b"/>
      <c:layout>
        <c:manualLayout>
          <c:xMode val="edge"/>
          <c:yMode val="edge"/>
          <c:x val="2.3400194241774825E-2"/>
          <c:y val="0.72431800863601725"/>
          <c:w val="0.96657115108317881"/>
          <c:h val="0.27568199136398275"/>
        </c:manualLayout>
      </c:layout>
      <c:overlay val="0"/>
      <c:spPr>
        <a:noFill/>
        <a:ln w="25398">
          <a:noFill/>
        </a:ln>
      </c:spPr>
      <c:txPr>
        <a:bodyPr rot="0" vert="horz"/>
        <a:lstStyle/>
        <a:p>
          <a:pPr>
            <a:defRPr/>
          </a:pPr>
          <a:endParaRPr lang="en-US"/>
        </a:p>
      </c:txPr>
    </c:legend>
    <c:plotVisOnly val="1"/>
    <c:dispBlanksAs val="gap"/>
    <c:showDLblsOverMax val="0"/>
  </c:chart>
  <c:spPr>
    <a:noFill/>
    <a:ln w="9524"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spc="0" normalizeH="0" baseline="0">
                <a:solidFill>
                  <a:sysClr val="windowText" lastClr="000000"/>
                </a:solidFill>
                <a:latin typeface="GHEA Grapalat" panose="02000506050000020003" pitchFamily="50" charset="0"/>
                <a:ea typeface="+mj-ea"/>
                <a:cs typeface="+mj-cs"/>
              </a:defRPr>
            </a:pPr>
            <a:r>
              <a:rPr lang="hy-AM" sz="1000" i="0"/>
              <a:t>Գնաճի կանխատեսումները և նպատակային միջակայքը</a:t>
            </a:r>
            <a:r>
              <a:rPr lang="en-US" sz="1000" i="0"/>
              <a:t>, %</a:t>
            </a:r>
          </a:p>
        </c:rich>
      </c:tx>
      <c:layout>
        <c:manualLayout>
          <c:xMode val="edge"/>
          <c:yMode val="edge"/>
          <c:x val="0.24812967543322215"/>
          <c:y val="3.4892896452459569E-3"/>
        </c:manualLayout>
      </c:layout>
      <c:overlay val="0"/>
      <c:spPr>
        <a:noFill/>
        <a:ln>
          <a:noFill/>
        </a:ln>
        <a:effectLst/>
      </c:spPr>
    </c:title>
    <c:autoTitleDeleted val="0"/>
    <c:plotArea>
      <c:layout>
        <c:manualLayout>
          <c:layoutTarget val="inner"/>
          <c:xMode val="edge"/>
          <c:yMode val="edge"/>
          <c:x val="4.286978223573857E-2"/>
          <c:y val="0.15820767267105321"/>
          <c:w val="0.9349795935193983"/>
          <c:h val="0.60057783583806246"/>
        </c:manualLayout>
      </c:layout>
      <c:areaChart>
        <c:grouping val="standard"/>
        <c:varyColors val="0"/>
        <c:ser>
          <c:idx val="5"/>
          <c:order val="5"/>
          <c:tx>
            <c:strRef>
              <c:f>Sheet1!$G$1</c:f>
              <c:strCache>
                <c:ptCount val="1"/>
                <c:pt idx="0">
                  <c:v>Column5</c:v>
                </c:pt>
              </c:strCache>
            </c:strRef>
          </c:tx>
          <c:cat>
            <c:numRef>
              <c:f>Sheet1!$A$2:$A$11</c:f>
              <c:numCache>
                <c:formatCode>General</c:formatCode>
                <c:ptCount val="5"/>
                <c:pt idx="0">
                  <c:v>2020</c:v>
                </c:pt>
                <c:pt idx="1">
                  <c:v>2021</c:v>
                </c:pt>
                <c:pt idx="2">
                  <c:v>2022</c:v>
                </c:pt>
                <c:pt idx="3">
                  <c:v>2023</c:v>
                </c:pt>
                <c:pt idx="4">
                  <c:v>2024</c:v>
                </c:pt>
              </c:numCache>
            </c:numRef>
          </c:cat>
          <c:val>
            <c:numRef>
              <c:f>Sheet1!$G$2:$G$11</c:f>
              <c:numCache>
                <c:formatCode>General</c:formatCode>
                <c:ptCount val="5"/>
                <c:pt idx="3">
                  <c:v>0</c:v>
                </c:pt>
                <c:pt idx="4">
                  <c:v>0</c:v>
                </c:pt>
              </c:numCache>
            </c:numRef>
          </c:val>
          <c:extLst>
            <c:ext xmlns:c16="http://schemas.microsoft.com/office/drawing/2014/chart" uri="{C3380CC4-5D6E-409C-BE32-E72D297353CC}">
              <c16:uniqueId val="{00000000-DE25-4648-937A-6C725A4746C3}"/>
            </c:ext>
          </c:extLst>
        </c:ser>
        <c:ser>
          <c:idx val="6"/>
          <c:order val="6"/>
          <c:tx>
            <c:strRef>
              <c:f>Sheet1!$H$1</c:f>
              <c:strCache>
                <c:ptCount val="1"/>
                <c:pt idx="0">
                  <c:v>Column6</c:v>
                </c:pt>
              </c:strCache>
            </c:strRef>
          </c:tx>
          <c:spPr>
            <a:solidFill>
              <a:srgbClr val="A5A5A5">
                <a:alpha val="40000"/>
              </a:srgbClr>
            </a:solidFill>
          </c:spPr>
          <c:cat>
            <c:numRef>
              <c:f>Sheet1!$A$2:$A$11</c:f>
              <c:numCache>
                <c:formatCode>General</c:formatCode>
                <c:ptCount val="5"/>
                <c:pt idx="0">
                  <c:v>2020</c:v>
                </c:pt>
                <c:pt idx="1">
                  <c:v>2021</c:v>
                </c:pt>
                <c:pt idx="2">
                  <c:v>2022</c:v>
                </c:pt>
                <c:pt idx="3">
                  <c:v>2023</c:v>
                </c:pt>
                <c:pt idx="4">
                  <c:v>2024</c:v>
                </c:pt>
              </c:numCache>
            </c:numRef>
          </c:cat>
          <c:val>
            <c:numRef>
              <c:f>Sheet1!$H$2:$H$11</c:f>
              <c:numCache>
                <c:formatCode>General</c:formatCode>
                <c:ptCount val="5"/>
                <c:pt idx="3">
                  <c:v>10</c:v>
                </c:pt>
                <c:pt idx="4">
                  <c:v>10</c:v>
                </c:pt>
              </c:numCache>
            </c:numRef>
          </c:val>
          <c:extLst>
            <c:ext xmlns:c16="http://schemas.microsoft.com/office/drawing/2014/chart" uri="{C3380CC4-5D6E-409C-BE32-E72D297353CC}">
              <c16:uniqueId val="{00000001-DE25-4648-937A-6C725A4746C3}"/>
            </c:ext>
          </c:extLst>
        </c:ser>
        <c:dLbls>
          <c:showLegendKey val="0"/>
          <c:showVal val="0"/>
          <c:showCatName val="0"/>
          <c:showSerName val="0"/>
          <c:showPercent val="0"/>
          <c:showBubbleSize val="0"/>
        </c:dLbls>
        <c:axId val="177840128"/>
        <c:axId val="177841664"/>
      </c:areaChart>
      <c:lineChart>
        <c:grouping val="standard"/>
        <c:varyColors val="0"/>
        <c:ser>
          <c:idx val="0"/>
          <c:order val="0"/>
          <c:tx>
            <c:strRef>
              <c:f>Sheet1!$B$1</c:f>
              <c:strCache>
                <c:ptCount val="1"/>
                <c:pt idx="0">
                  <c:v>12 ամսյա գնաճ</c:v>
                </c:pt>
              </c:strCache>
            </c:strRef>
          </c:tx>
          <c:spPr>
            <a:ln w="25400" cap="rnd">
              <a:solidFill>
                <a:srgbClr val="4472C4">
                  <a:lumMod val="75000"/>
                </a:srgbClr>
              </a:solidFill>
              <a:round/>
            </a:ln>
            <a:effectLst/>
          </c:spPr>
          <c:marker>
            <c:symbol val="circle"/>
            <c:size val="5"/>
            <c:spPr>
              <a:solidFill>
                <a:srgbClr val="4472C4">
                  <a:lumMod val="75000"/>
                </a:srgbClr>
              </a:solidFill>
              <a:ln w="15875">
                <a:noFill/>
                <a:round/>
              </a:ln>
              <a:effectLst/>
            </c:spPr>
          </c:marker>
          <c:dLbls>
            <c:dLbl>
              <c:idx val="0"/>
              <c:layout>
                <c:manualLayout>
                  <c:x val="-3.3729359645589999E-2"/>
                  <c:y val="4.334640522875807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E25-4648-937A-6C725A4746C3}"/>
                </c:ext>
              </c:extLst>
            </c:dLbl>
            <c:dLbl>
              <c:idx val="3"/>
              <c:layout>
                <c:manualLayout>
                  <c:x val="-6.8030863611928033E-2"/>
                  <c:y val="5.290157058341983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E25-4648-937A-6C725A4746C3}"/>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Sheet1!$A$2:$A$11</c:f>
              <c:numCache>
                <c:formatCode>General</c:formatCode>
                <c:ptCount val="5"/>
                <c:pt idx="0">
                  <c:v>2020</c:v>
                </c:pt>
                <c:pt idx="1">
                  <c:v>2021</c:v>
                </c:pt>
                <c:pt idx="2">
                  <c:v>2022</c:v>
                </c:pt>
                <c:pt idx="3">
                  <c:v>2023</c:v>
                </c:pt>
                <c:pt idx="4">
                  <c:v>2024</c:v>
                </c:pt>
              </c:numCache>
            </c:numRef>
          </c:cat>
          <c:val>
            <c:numRef>
              <c:f>Sheet1!$B$2:$B$11</c:f>
              <c:numCache>
                <c:formatCode>0.0</c:formatCode>
                <c:ptCount val="5"/>
                <c:pt idx="0">
                  <c:v>3.7</c:v>
                </c:pt>
                <c:pt idx="1">
                  <c:v>7.7</c:v>
                </c:pt>
                <c:pt idx="2">
                  <c:v>8.4</c:v>
                </c:pt>
                <c:pt idx="3">
                  <c:v>0.4</c:v>
                </c:pt>
                <c:pt idx="4">
                  <c:v>4.04</c:v>
                </c:pt>
              </c:numCache>
            </c:numRef>
          </c:val>
          <c:smooth val="0"/>
          <c:extLst>
            <c:ext xmlns:c16="http://schemas.microsoft.com/office/drawing/2014/chart" uri="{C3380CC4-5D6E-409C-BE32-E72D297353CC}">
              <c16:uniqueId val="{00000004-DE25-4648-937A-6C725A4746C3}"/>
            </c:ext>
          </c:extLst>
        </c:ser>
        <c:ser>
          <c:idx val="1"/>
          <c:order val="1"/>
          <c:tx>
            <c:strRef>
              <c:f>Sheet1!$C$1</c:f>
              <c:strCache>
                <c:ptCount val="1"/>
                <c:pt idx="0">
                  <c:v>Միջին գնաճ</c:v>
                </c:pt>
              </c:strCache>
            </c:strRef>
          </c:tx>
          <c:spPr>
            <a:ln w="25400" cap="rnd">
              <a:solidFill>
                <a:srgbClr val="ED7D31">
                  <a:lumMod val="60000"/>
                  <a:lumOff val="40000"/>
                </a:srgbClr>
              </a:solidFill>
              <a:round/>
            </a:ln>
            <a:effectLst/>
          </c:spPr>
          <c:marker>
            <c:symbol val="square"/>
            <c:size val="5"/>
            <c:spPr>
              <a:solidFill>
                <a:srgbClr val="ED7D31">
                  <a:lumMod val="40000"/>
                  <a:lumOff val="60000"/>
                </a:srgbClr>
              </a:solidFill>
              <a:ln w="15875">
                <a:noFill/>
                <a:round/>
              </a:ln>
              <a:effectLst/>
            </c:spPr>
          </c:marker>
          <c:dLbls>
            <c:dLbl>
              <c:idx val="0"/>
              <c:layout>
                <c:manualLayout>
                  <c:x val="6.6889045209406464E-3"/>
                  <c:y val="4.5557531115061438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E25-4648-937A-6C725A4746C3}"/>
                </c:ext>
              </c:extLst>
            </c:dLbl>
            <c:dLbl>
              <c:idx val="3"/>
              <c:layout>
                <c:manualLayout>
                  <c:x val="-2.1133525456292025E-2"/>
                  <c:y val="-5.716129032258064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E25-4648-937A-6C725A4746C3}"/>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Sheet1!$A$2:$A$11</c:f>
              <c:numCache>
                <c:formatCode>General</c:formatCode>
                <c:ptCount val="5"/>
                <c:pt idx="0">
                  <c:v>2020</c:v>
                </c:pt>
                <c:pt idx="1">
                  <c:v>2021</c:v>
                </c:pt>
                <c:pt idx="2">
                  <c:v>2022</c:v>
                </c:pt>
                <c:pt idx="3">
                  <c:v>2023</c:v>
                </c:pt>
                <c:pt idx="4">
                  <c:v>2024</c:v>
                </c:pt>
              </c:numCache>
            </c:numRef>
          </c:cat>
          <c:val>
            <c:numRef>
              <c:f>Sheet1!$C$2:$C$11</c:f>
              <c:numCache>
                <c:formatCode>0.0</c:formatCode>
                <c:ptCount val="5"/>
                <c:pt idx="0">
                  <c:v>1.2</c:v>
                </c:pt>
                <c:pt idx="1">
                  <c:v>7.2</c:v>
                </c:pt>
                <c:pt idx="2">
                  <c:v>8.6999999999999993</c:v>
                </c:pt>
                <c:pt idx="3">
                  <c:v>2.2000000000000002</c:v>
                </c:pt>
                <c:pt idx="4">
                  <c:v>3.2</c:v>
                </c:pt>
              </c:numCache>
            </c:numRef>
          </c:val>
          <c:smooth val="0"/>
          <c:extLst>
            <c:ext xmlns:c16="http://schemas.microsoft.com/office/drawing/2014/chart" uri="{C3380CC4-5D6E-409C-BE32-E72D297353CC}">
              <c16:uniqueId val="{00000007-DE25-4648-937A-6C725A4746C3}"/>
            </c:ext>
          </c:extLst>
        </c:ser>
        <c:ser>
          <c:idx val="2"/>
          <c:order val="2"/>
          <c:tx>
            <c:strRef>
              <c:f>Sheet1!$D$1</c:f>
              <c:strCache>
                <c:ptCount val="1"/>
                <c:pt idx="0">
                  <c:v>Column2</c:v>
                </c:pt>
              </c:strCache>
            </c:strRef>
          </c:tx>
          <c:spPr>
            <a:ln w="22225" cap="rnd">
              <a:solidFill>
                <a:srgbClr val="C00000"/>
              </a:solidFill>
              <a:prstDash val="dash"/>
              <a:round/>
            </a:ln>
            <a:effectLst/>
          </c:spPr>
          <c:marker>
            <c:symbol val="none"/>
          </c:marker>
          <c:cat>
            <c:numRef>
              <c:f>Sheet1!$A$2:$A$11</c:f>
              <c:numCache>
                <c:formatCode>General</c:formatCode>
                <c:ptCount val="5"/>
                <c:pt idx="0">
                  <c:v>2020</c:v>
                </c:pt>
                <c:pt idx="1">
                  <c:v>2021</c:v>
                </c:pt>
                <c:pt idx="2">
                  <c:v>2022</c:v>
                </c:pt>
                <c:pt idx="3">
                  <c:v>2023</c:v>
                </c:pt>
                <c:pt idx="4">
                  <c:v>2024</c:v>
                </c:pt>
              </c:numCache>
            </c:numRef>
          </c:cat>
          <c:val>
            <c:numRef>
              <c:f>Sheet1!$D$2:$D$11</c:f>
              <c:numCache>
                <c:formatCode>General</c:formatCode>
                <c:ptCount val="5"/>
                <c:pt idx="0">
                  <c:v>4</c:v>
                </c:pt>
                <c:pt idx="1">
                  <c:v>4</c:v>
                </c:pt>
                <c:pt idx="2">
                  <c:v>4</c:v>
                </c:pt>
                <c:pt idx="3">
                  <c:v>4</c:v>
                </c:pt>
                <c:pt idx="4">
                  <c:v>4</c:v>
                </c:pt>
              </c:numCache>
            </c:numRef>
          </c:val>
          <c:smooth val="0"/>
          <c:extLst>
            <c:ext xmlns:c16="http://schemas.microsoft.com/office/drawing/2014/chart" uri="{C3380CC4-5D6E-409C-BE32-E72D297353CC}">
              <c16:uniqueId val="{00000008-DE25-4648-937A-6C725A4746C3}"/>
            </c:ext>
          </c:extLst>
        </c:ser>
        <c:ser>
          <c:idx val="3"/>
          <c:order val="3"/>
          <c:tx>
            <c:strRef>
              <c:f>Sheet1!$E$1</c:f>
              <c:strCache>
                <c:ptCount val="1"/>
                <c:pt idx="0">
                  <c:v>Column3</c:v>
                </c:pt>
              </c:strCache>
            </c:strRef>
          </c:tx>
          <c:spPr>
            <a:ln w="15875" cap="rnd">
              <a:solidFill>
                <a:srgbClr val="C0504D"/>
              </a:solidFill>
              <a:prstDash val="sysDash"/>
              <a:round/>
            </a:ln>
            <a:effectLst/>
          </c:spPr>
          <c:marker>
            <c:symbol val="none"/>
          </c:marker>
          <c:cat>
            <c:numRef>
              <c:f>Sheet1!$A$2:$A$11</c:f>
              <c:numCache>
                <c:formatCode>General</c:formatCode>
                <c:ptCount val="5"/>
                <c:pt idx="0">
                  <c:v>2020</c:v>
                </c:pt>
                <c:pt idx="1">
                  <c:v>2021</c:v>
                </c:pt>
                <c:pt idx="2">
                  <c:v>2022</c:v>
                </c:pt>
                <c:pt idx="3">
                  <c:v>2023</c:v>
                </c:pt>
                <c:pt idx="4">
                  <c:v>2024</c:v>
                </c:pt>
              </c:numCache>
            </c:numRef>
          </c:cat>
          <c:val>
            <c:numRef>
              <c:f>Sheet1!$E$2:$E$11</c:f>
              <c:numCache>
                <c:formatCode>General</c:formatCode>
                <c:ptCount val="5"/>
                <c:pt idx="0">
                  <c:v>5.5</c:v>
                </c:pt>
                <c:pt idx="1">
                  <c:v>5.5</c:v>
                </c:pt>
                <c:pt idx="2">
                  <c:v>5.5</c:v>
                </c:pt>
                <c:pt idx="3">
                  <c:v>5.5</c:v>
                </c:pt>
                <c:pt idx="4">
                  <c:v>5.5</c:v>
                </c:pt>
              </c:numCache>
            </c:numRef>
          </c:val>
          <c:smooth val="0"/>
          <c:extLst>
            <c:ext xmlns:c16="http://schemas.microsoft.com/office/drawing/2014/chart" uri="{C3380CC4-5D6E-409C-BE32-E72D297353CC}">
              <c16:uniqueId val="{00000009-DE25-4648-937A-6C725A4746C3}"/>
            </c:ext>
          </c:extLst>
        </c:ser>
        <c:ser>
          <c:idx val="4"/>
          <c:order val="4"/>
          <c:tx>
            <c:strRef>
              <c:f>Sheet1!$F$1</c:f>
              <c:strCache>
                <c:ptCount val="1"/>
                <c:pt idx="0">
                  <c:v>Column4</c:v>
                </c:pt>
              </c:strCache>
            </c:strRef>
          </c:tx>
          <c:spPr>
            <a:ln w="15875" cap="rnd">
              <a:solidFill>
                <a:srgbClr val="C0504D"/>
              </a:solidFill>
              <a:prstDash val="sysDash"/>
              <a:round/>
            </a:ln>
            <a:effectLst/>
          </c:spPr>
          <c:marker>
            <c:symbol val="none"/>
          </c:marker>
          <c:cat>
            <c:numRef>
              <c:f>Sheet1!$A$2:$A$11</c:f>
              <c:numCache>
                <c:formatCode>General</c:formatCode>
                <c:ptCount val="5"/>
                <c:pt idx="0">
                  <c:v>2020</c:v>
                </c:pt>
                <c:pt idx="1">
                  <c:v>2021</c:v>
                </c:pt>
                <c:pt idx="2">
                  <c:v>2022</c:v>
                </c:pt>
                <c:pt idx="3">
                  <c:v>2023</c:v>
                </c:pt>
                <c:pt idx="4">
                  <c:v>2024</c:v>
                </c:pt>
              </c:numCache>
            </c:numRef>
          </c:cat>
          <c:val>
            <c:numRef>
              <c:f>Sheet1!$F$2:$F$11</c:f>
              <c:numCache>
                <c:formatCode>General</c:formatCode>
                <c:ptCount val="5"/>
                <c:pt idx="0">
                  <c:v>2.5</c:v>
                </c:pt>
                <c:pt idx="1">
                  <c:v>2.5</c:v>
                </c:pt>
                <c:pt idx="2">
                  <c:v>2.5</c:v>
                </c:pt>
                <c:pt idx="3">
                  <c:v>2.5</c:v>
                </c:pt>
                <c:pt idx="4">
                  <c:v>2.5</c:v>
                </c:pt>
              </c:numCache>
            </c:numRef>
          </c:val>
          <c:smooth val="0"/>
          <c:extLst>
            <c:ext xmlns:c16="http://schemas.microsoft.com/office/drawing/2014/chart" uri="{C3380CC4-5D6E-409C-BE32-E72D297353CC}">
              <c16:uniqueId val="{0000000A-DE25-4648-937A-6C725A4746C3}"/>
            </c:ext>
          </c:extLst>
        </c:ser>
        <c:dLbls>
          <c:showLegendKey val="0"/>
          <c:showVal val="0"/>
          <c:showCatName val="0"/>
          <c:showSerName val="0"/>
          <c:showPercent val="0"/>
          <c:showBubbleSize val="0"/>
        </c:dLbls>
        <c:marker val="1"/>
        <c:smooth val="0"/>
        <c:axId val="177840128"/>
        <c:axId val="177841664"/>
      </c:lineChart>
      <c:catAx>
        <c:axId val="177840128"/>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177841664"/>
        <c:crosses val="autoZero"/>
        <c:auto val="1"/>
        <c:lblAlgn val="ctr"/>
        <c:lblOffset val="320"/>
        <c:noMultiLvlLbl val="0"/>
      </c:catAx>
      <c:valAx>
        <c:axId val="177841664"/>
        <c:scaling>
          <c:orientation val="minMax"/>
          <c:max val="10"/>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77840128"/>
        <c:crosses val="autoZero"/>
        <c:crossBetween val="between"/>
      </c:valAx>
      <c:spPr>
        <a:pattFill prst="ltDnDiag">
          <a:fgClr>
            <a:srgbClr val="000000">
              <a:alpha val="0"/>
            </a:srgbClr>
          </a:fgClr>
          <a:bgClr>
            <a:srgbClr val="FFFFFF"/>
          </a:bgClr>
        </a:pattFill>
        <a:ln w="25400">
          <a:noFill/>
        </a:ln>
        <a:effectLst/>
      </c:spPr>
    </c:plotArea>
    <c:legend>
      <c:legendPos val="b"/>
      <c:legendEntry>
        <c:idx val="0"/>
        <c:delete val="1"/>
      </c:legendEntry>
      <c:legendEntry>
        <c:idx val="1"/>
        <c:delete val="1"/>
      </c:legendEntry>
      <c:legendEntry>
        <c:idx val="4"/>
        <c:delete val="1"/>
      </c:legendEntry>
      <c:legendEntry>
        <c:idx val="5"/>
        <c:delete val="1"/>
      </c:legendEntry>
      <c:legendEntry>
        <c:idx val="6"/>
        <c:delete val="1"/>
      </c:legendEntry>
      <c:layout>
        <c:manualLayout>
          <c:xMode val="edge"/>
          <c:yMode val="edge"/>
          <c:x val="0.14766593934794295"/>
          <c:y val="0.89065127309247116"/>
          <c:w val="0.69595407202341786"/>
          <c:h val="7.151672170011005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[FanChart_19.09.2023.xlsx]Sheet4!$B$3</c:f>
              <c:strCache>
                <c:ptCount val="1"/>
              </c:strCache>
            </c:strRef>
          </c:tx>
          <c:spPr>
            <a:noFill/>
          </c:spPr>
          <c:cat>
            <c:strRef>
              <c:f>[FanChart_19.09.2023.xlsx]Sheet4!$A$4:$A$103</c:f>
              <c:strCache>
                <c:ptCount val="12"/>
                <c:pt idx="0">
                  <c:v>2019/4</c:v>
                </c:pt>
                <c:pt idx="1">
                  <c:v>2020/4</c:v>
                </c:pt>
                <c:pt idx="2">
                  <c:v>2021/4</c:v>
                </c:pt>
                <c:pt idx="3">
                  <c:v>2022/4</c:v>
                </c:pt>
                <c:pt idx="4">
                  <c:v>2023/1</c:v>
                </c:pt>
                <c:pt idx="5">
                  <c:v>2023/2</c:v>
                </c:pt>
                <c:pt idx="6">
                  <c:v>2023/3*</c:v>
                </c:pt>
                <c:pt idx="7">
                  <c:v>2023/4*</c:v>
                </c:pt>
                <c:pt idx="8">
                  <c:v>2024/1*</c:v>
                </c:pt>
                <c:pt idx="9">
                  <c:v>2024/2*</c:v>
                </c:pt>
                <c:pt idx="10">
                  <c:v>2024/3*</c:v>
                </c:pt>
                <c:pt idx="11">
                  <c:v>2024/4*</c:v>
                </c:pt>
              </c:strCache>
            </c:strRef>
          </c:cat>
          <c:val>
            <c:numRef>
              <c:f>[FanChart_19.09.2023.xlsx]Sheet4!$B$4:$B$103</c:f>
              <c:numCache>
                <c:formatCode>0.000</c:formatCode>
                <c:ptCount val="12"/>
                <c:pt idx="0">
                  <c:v>7.6716848834811344</c:v>
                </c:pt>
                <c:pt idx="1">
                  <c:v>-7.1825320819766461</c:v>
                </c:pt>
                <c:pt idx="2">
                  <c:v>5.7985967808501897</c:v>
                </c:pt>
                <c:pt idx="3">
                  <c:v>12.619465574409986</c:v>
                </c:pt>
                <c:pt idx="4">
                  <c:v>12.099999999999994</c:v>
                </c:pt>
                <c:pt idx="5">
                  <c:v>10.498915401301517</c:v>
                </c:pt>
                <c:pt idx="6">
                  <c:v>5.8502468377621346</c:v>
                </c:pt>
                <c:pt idx="7">
                  <c:v>3.7213337225310594</c:v>
                </c:pt>
                <c:pt idx="8">
                  <c:v>0.90742516383553706</c:v>
                </c:pt>
                <c:pt idx="9">
                  <c:v>0.67024938543861179</c:v>
                </c:pt>
                <c:pt idx="10">
                  <c:v>0.51634562957379604</c:v>
                </c:pt>
                <c:pt idx="11">
                  <c:v>0.41470407051457059</c:v>
                </c:pt>
              </c:numCache>
            </c:numRef>
          </c:val>
          <c:extLst>
            <c:ext xmlns:c16="http://schemas.microsoft.com/office/drawing/2014/chart" uri="{C3380CC4-5D6E-409C-BE32-E72D297353CC}">
              <c16:uniqueId val="{00000000-A99C-4116-A3E5-FE00C0081B43}"/>
            </c:ext>
          </c:extLst>
        </c:ser>
        <c:ser>
          <c:idx val="1"/>
          <c:order val="1"/>
          <c:tx>
            <c:strRef>
              <c:f>[FanChart_19.09.2023.xlsx]Sheet4!$C$3</c:f>
              <c:strCache>
                <c:ptCount val="1"/>
              </c:strCache>
            </c:strRef>
          </c:tx>
          <c:spPr>
            <a:solidFill>
              <a:srgbClr val="FF0000">
                <a:alpha val="20000"/>
              </a:srgbClr>
            </a:solidFill>
          </c:spPr>
          <c:cat>
            <c:strRef>
              <c:f>[FanChart_19.09.2023.xlsx]Sheet4!$A$4:$A$103</c:f>
              <c:strCache>
                <c:ptCount val="12"/>
                <c:pt idx="0">
                  <c:v>2019/4</c:v>
                </c:pt>
                <c:pt idx="1">
                  <c:v>2020/4</c:v>
                </c:pt>
                <c:pt idx="2">
                  <c:v>2021/4</c:v>
                </c:pt>
                <c:pt idx="3">
                  <c:v>2022/4</c:v>
                </c:pt>
                <c:pt idx="4">
                  <c:v>2023/1</c:v>
                </c:pt>
                <c:pt idx="5">
                  <c:v>2023/2</c:v>
                </c:pt>
                <c:pt idx="6">
                  <c:v>2023/3*</c:v>
                </c:pt>
                <c:pt idx="7">
                  <c:v>2023/4*</c:v>
                </c:pt>
                <c:pt idx="8">
                  <c:v>2024/1*</c:v>
                </c:pt>
                <c:pt idx="9">
                  <c:v>2024/2*</c:v>
                </c:pt>
                <c:pt idx="10">
                  <c:v>2024/3*</c:v>
                </c:pt>
                <c:pt idx="11">
                  <c:v>2024/4*</c:v>
                </c:pt>
              </c:strCache>
            </c:strRef>
          </c:cat>
          <c:val>
            <c:numRef>
              <c:f>[FanChart_19.09.2023.xlsx]Sheet4!$C$4:$C$103</c:f>
              <c:numCache>
                <c:formatCode>General</c:formatCode>
                <c:ptCount val="12"/>
                <c:pt idx="6">
                  <c:v>0.62530892685953621</c:v>
                </c:pt>
                <c:pt idx="7">
                  <c:v>0.76833987465093845</c:v>
                </c:pt>
                <c:pt idx="8">
                  <c:v>1.3456790081416079</c:v>
                </c:pt>
                <c:pt idx="9">
                  <c:v>1.3980644896188146</c:v>
                </c:pt>
                <c:pt idx="10">
                  <c:v>1.4320575154101594</c:v>
                </c:pt>
                <c:pt idx="11">
                  <c:v>1.4545072868218947</c:v>
                </c:pt>
              </c:numCache>
            </c:numRef>
          </c:val>
          <c:extLst>
            <c:ext xmlns:c16="http://schemas.microsoft.com/office/drawing/2014/chart" uri="{C3380CC4-5D6E-409C-BE32-E72D297353CC}">
              <c16:uniqueId val="{00000001-A99C-4116-A3E5-FE00C0081B43}"/>
            </c:ext>
          </c:extLst>
        </c:ser>
        <c:ser>
          <c:idx val="2"/>
          <c:order val="2"/>
          <c:tx>
            <c:strRef>
              <c:f>[FanChart_19.09.2023.xlsx]Sheet4!$D$3</c:f>
              <c:strCache>
                <c:ptCount val="1"/>
              </c:strCache>
            </c:strRef>
          </c:tx>
          <c:spPr>
            <a:solidFill>
              <a:srgbClr val="FF0000">
                <a:alpha val="30000"/>
              </a:srgbClr>
            </a:solidFill>
          </c:spPr>
          <c:cat>
            <c:strRef>
              <c:f>[FanChart_19.09.2023.xlsx]Sheet4!$A$4:$A$103</c:f>
              <c:strCache>
                <c:ptCount val="12"/>
                <c:pt idx="0">
                  <c:v>2019/4</c:v>
                </c:pt>
                <c:pt idx="1">
                  <c:v>2020/4</c:v>
                </c:pt>
                <c:pt idx="2">
                  <c:v>2021/4</c:v>
                </c:pt>
                <c:pt idx="3">
                  <c:v>2022/4</c:v>
                </c:pt>
                <c:pt idx="4">
                  <c:v>2023/1</c:v>
                </c:pt>
                <c:pt idx="5">
                  <c:v>2023/2</c:v>
                </c:pt>
                <c:pt idx="6">
                  <c:v>2023/3*</c:v>
                </c:pt>
                <c:pt idx="7">
                  <c:v>2023/4*</c:v>
                </c:pt>
                <c:pt idx="8">
                  <c:v>2024/1*</c:v>
                </c:pt>
                <c:pt idx="9">
                  <c:v>2024/2*</c:v>
                </c:pt>
                <c:pt idx="10">
                  <c:v>2024/3*</c:v>
                </c:pt>
                <c:pt idx="11">
                  <c:v>2024/4*</c:v>
                </c:pt>
              </c:strCache>
            </c:strRef>
          </c:cat>
          <c:val>
            <c:numRef>
              <c:f>[FanChart_19.09.2023.xlsx]Sheet4!$D$4:$D$103</c:f>
              <c:numCache>
                <c:formatCode>General</c:formatCode>
                <c:ptCount val="12"/>
                <c:pt idx="6">
                  <c:v>0.42189296429133893</c:v>
                </c:pt>
                <c:pt idx="7">
                  <c:v>0.51839526572525152</c:v>
                </c:pt>
                <c:pt idx="8">
                  <c:v>0.90792323816772269</c:v>
                </c:pt>
                <c:pt idx="9">
                  <c:v>0.94326747381976306</c:v>
                </c:pt>
                <c:pt idx="10">
                  <c:v>0.96620240693893056</c:v>
                </c:pt>
                <c:pt idx="11">
                  <c:v>0.98134916112990034</c:v>
                </c:pt>
              </c:numCache>
            </c:numRef>
          </c:val>
          <c:extLst>
            <c:ext xmlns:c16="http://schemas.microsoft.com/office/drawing/2014/chart" uri="{C3380CC4-5D6E-409C-BE32-E72D297353CC}">
              <c16:uniqueId val="{00000002-A99C-4116-A3E5-FE00C0081B43}"/>
            </c:ext>
          </c:extLst>
        </c:ser>
        <c:ser>
          <c:idx val="3"/>
          <c:order val="3"/>
          <c:tx>
            <c:strRef>
              <c:f>[FanChart_19.09.2023.xlsx]Sheet4!$E$3</c:f>
              <c:strCache>
                <c:ptCount val="1"/>
              </c:strCache>
            </c:strRef>
          </c:tx>
          <c:spPr>
            <a:solidFill>
              <a:srgbClr val="FF0000">
                <a:alpha val="40000"/>
              </a:srgbClr>
            </a:solidFill>
          </c:spPr>
          <c:cat>
            <c:strRef>
              <c:f>[FanChart_19.09.2023.xlsx]Sheet4!$A$4:$A$103</c:f>
              <c:strCache>
                <c:ptCount val="12"/>
                <c:pt idx="0">
                  <c:v>2019/4</c:v>
                </c:pt>
                <c:pt idx="1">
                  <c:v>2020/4</c:v>
                </c:pt>
                <c:pt idx="2">
                  <c:v>2021/4</c:v>
                </c:pt>
                <c:pt idx="3">
                  <c:v>2022/4</c:v>
                </c:pt>
                <c:pt idx="4">
                  <c:v>2023/1</c:v>
                </c:pt>
                <c:pt idx="5">
                  <c:v>2023/2</c:v>
                </c:pt>
                <c:pt idx="6">
                  <c:v>2023/3*</c:v>
                </c:pt>
                <c:pt idx="7">
                  <c:v>2023/4*</c:v>
                </c:pt>
                <c:pt idx="8">
                  <c:v>2024/1*</c:v>
                </c:pt>
                <c:pt idx="9">
                  <c:v>2024/2*</c:v>
                </c:pt>
                <c:pt idx="10">
                  <c:v>2024/3*</c:v>
                </c:pt>
                <c:pt idx="11">
                  <c:v>2024/4*</c:v>
                </c:pt>
              </c:strCache>
            </c:strRef>
          </c:cat>
          <c:val>
            <c:numRef>
              <c:f>[FanChart_19.09.2023.xlsx]Sheet4!$E$4:$E$103</c:f>
              <c:numCache>
                <c:formatCode>General</c:formatCode>
                <c:ptCount val="12"/>
                <c:pt idx="6">
                  <c:v>0.33530715373962039</c:v>
                </c:pt>
                <c:pt idx="7">
                  <c:v>0.41200412373408302</c:v>
                </c:pt>
                <c:pt idx="8">
                  <c:v>0.72158860794334378</c:v>
                </c:pt>
                <c:pt idx="9">
                  <c:v>0.74967908600451372</c:v>
                </c:pt>
                <c:pt idx="10">
                  <c:v>0.76790704379545316</c:v>
                </c:pt>
                <c:pt idx="11">
                  <c:v>0.77994520386455601</c:v>
                </c:pt>
              </c:numCache>
            </c:numRef>
          </c:val>
          <c:extLst>
            <c:ext xmlns:c16="http://schemas.microsoft.com/office/drawing/2014/chart" uri="{C3380CC4-5D6E-409C-BE32-E72D297353CC}">
              <c16:uniqueId val="{00000003-A99C-4116-A3E5-FE00C0081B43}"/>
            </c:ext>
          </c:extLst>
        </c:ser>
        <c:ser>
          <c:idx val="4"/>
          <c:order val="4"/>
          <c:tx>
            <c:strRef>
              <c:f>[FanChart_19.09.2023.xlsx]Sheet4!$F$3</c:f>
              <c:strCache>
                <c:ptCount val="1"/>
              </c:strCache>
            </c:strRef>
          </c:tx>
          <c:spPr>
            <a:solidFill>
              <a:srgbClr val="FF0000">
                <a:alpha val="50000"/>
              </a:srgbClr>
            </a:solidFill>
          </c:spPr>
          <c:cat>
            <c:strRef>
              <c:f>[FanChart_19.09.2023.xlsx]Sheet4!$A$4:$A$103</c:f>
              <c:strCache>
                <c:ptCount val="12"/>
                <c:pt idx="0">
                  <c:v>2019/4</c:v>
                </c:pt>
                <c:pt idx="1">
                  <c:v>2020/4</c:v>
                </c:pt>
                <c:pt idx="2">
                  <c:v>2021/4</c:v>
                </c:pt>
                <c:pt idx="3">
                  <c:v>2022/4</c:v>
                </c:pt>
                <c:pt idx="4">
                  <c:v>2023/1</c:v>
                </c:pt>
                <c:pt idx="5">
                  <c:v>2023/2</c:v>
                </c:pt>
                <c:pt idx="6">
                  <c:v>2023/3*</c:v>
                </c:pt>
                <c:pt idx="7">
                  <c:v>2023/4*</c:v>
                </c:pt>
                <c:pt idx="8">
                  <c:v>2024/1*</c:v>
                </c:pt>
                <c:pt idx="9">
                  <c:v>2024/2*</c:v>
                </c:pt>
                <c:pt idx="10">
                  <c:v>2024/3*</c:v>
                </c:pt>
                <c:pt idx="11">
                  <c:v>2024/4*</c:v>
                </c:pt>
              </c:strCache>
            </c:strRef>
          </c:cat>
          <c:val>
            <c:numRef>
              <c:f>[FanChart_19.09.2023.xlsx]Sheet4!$F$4:$F$103</c:f>
              <c:numCache>
                <c:formatCode>General</c:formatCode>
                <c:ptCount val="12"/>
                <c:pt idx="6">
                  <c:v>0.28766368159350275</c:v>
                </c:pt>
                <c:pt idx="7">
                  <c:v>0.35346285262105059</c:v>
                </c:pt>
                <c:pt idx="8">
                  <c:v>0.61905877414742694</c:v>
                </c:pt>
                <c:pt idx="9">
                  <c:v>0.64315790310031762</c:v>
                </c:pt>
                <c:pt idx="10">
                  <c:v>0.65879586783680688</c:v>
                </c:pt>
                <c:pt idx="11">
                  <c:v>0.66912353727799889</c:v>
                </c:pt>
              </c:numCache>
            </c:numRef>
          </c:val>
          <c:extLst>
            <c:ext xmlns:c16="http://schemas.microsoft.com/office/drawing/2014/chart" uri="{C3380CC4-5D6E-409C-BE32-E72D297353CC}">
              <c16:uniqueId val="{00000004-A99C-4116-A3E5-FE00C0081B43}"/>
            </c:ext>
          </c:extLst>
        </c:ser>
        <c:ser>
          <c:idx val="5"/>
          <c:order val="5"/>
          <c:tx>
            <c:strRef>
              <c:f>[FanChart_19.09.2023.xlsx]Sheet4!$G$3</c:f>
              <c:strCache>
                <c:ptCount val="1"/>
              </c:strCache>
            </c:strRef>
          </c:tx>
          <c:spPr>
            <a:solidFill>
              <a:srgbClr val="FF0000">
                <a:alpha val="60000"/>
              </a:srgbClr>
            </a:solidFill>
          </c:spPr>
          <c:cat>
            <c:strRef>
              <c:f>[FanChart_19.09.2023.xlsx]Sheet4!$A$4:$A$103</c:f>
              <c:strCache>
                <c:ptCount val="12"/>
                <c:pt idx="0">
                  <c:v>2019/4</c:v>
                </c:pt>
                <c:pt idx="1">
                  <c:v>2020/4</c:v>
                </c:pt>
                <c:pt idx="2">
                  <c:v>2021/4</c:v>
                </c:pt>
                <c:pt idx="3">
                  <c:v>2022/4</c:v>
                </c:pt>
                <c:pt idx="4">
                  <c:v>2023/1</c:v>
                </c:pt>
                <c:pt idx="5">
                  <c:v>2023/2</c:v>
                </c:pt>
                <c:pt idx="6">
                  <c:v>2023/3*</c:v>
                </c:pt>
                <c:pt idx="7">
                  <c:v>2023/4*</c:v>
                </c:pt>
                <c:pt idx="8">
                  <c:v>2024/1*</c:v>
                </c:pt>
                <c:pt idx="9">
                  <c:v>2024/2*</c:v>
                </c:pt>
                <c:pt idx="10">
                  <c:v>2024/3*</c:v>
                </c:pt>
                <c:pt idx="11">
                  <c:v>2024/4*</c:v>
                </c:pt>
              </c:strCache>
            </c:strRef>
          </c:cat>
          <c:val>
            <c:numRef>
              <c:f>[FanChart_19.09.2023.xlsx]Sheet4!$G$4:$G$103</c:f>
              <c:numCache>
                <c:formatCode>General</c:formatCode>
                <c:ptCount val="12"/>
                <c:pt idx="6">
                  <c:v>0.25833087669080168</c:v>
                </c:pt>
                <c:pt idx="7">
                  <c:v>0.3174205658824123</c:v>
                </c:pt>
                <c:pt idx="8">
                  <c:v>0.55593391200013986</c:v>
                </c:pt>
                <c:pt idx="9">
                  <c:v>0.57757567461472714</c:v>
                </c:pt>
                <c:pt idx="10">
                  <c:v>0.59161905025971162</c:v>
                </c:pt>
                <c:pt idx="11">
                  <c:v>0.60089361660794616</c:v>
                </c:pt>
              </c:numCache>
            </c:numRef>
          </c:val>
          <c:extLst>
            <c:ext xmlns:c16="http://schemas.microsoft.com/office/drawing/2014/chart" uri="{C3380CC4-5D6E-409C-BE32-E72D297353CC}">
              <c16:uniqueId val="{00000005-A99C-4116-A3E5-FE00C0081B43}"/>
            </c:ext>
          </c:extLst>
        </c:ser>
        <c:ser>
          <c:idx val="6"/>
          <c:order val="6"/>
          <c:tx>
            <c:strRef>
              <c:f>[FanChart_19.09.2023.xlsx]Sheet4!$H$3</c:f>
              <c:strCache>
                <c:ptCount val="1"/>
              </c:strCache>
            </c:strRef>
          </c:tx>
          <c:spPr>
            <a:solidFill>
              <a:srgbClr val="FF0000">
                <a:alpha val="70000"/>
              </a:srgbClr>
            </a:solidFill>
          </c:spPr>
          <c:cat>
            <c:strRef>
              <c:f>[FanChart_19.09.2023.xlsx]Sheet4!$A$4:$A$103</c:f>
              <c:strCache>
                <c:ptCount val="12"/>
                <c:pt idx="0">
                  <c:v>2019/4</c:v>
                </c:pt>
                <c:pt idx="1">
                  <c:v>2020/4</c:v>
                </c:pt>
                <c:pt idx="2">
                  <c:v>2021/4</c:v>
                </c:pt>
                <c:pt idx="3">
                  <c:v>2022/4</c:v>
                </c:pt>
                <c:pt idx="4">
                  <c:v>2023/1</c:v>
                </c:pt>
                <c:pt idx="5">
                  <c:v>2023/2</c:v>
                </c:pt>
                <c:pt idx="6">
                  <c:v>2023/3*</c:v>
                </c:pt>
                <c:pt idx="7">
                  <c:v>2023/4*</c:v>
                </c:pt>
                <c:pt idx="8">
                  <c:v>2024/1*</c:v>
                </c:pt>
                <c:pt idx="9">
                  <c:v>2024/2*</c:v>
                </c:pt>
                <c:pt idx="10">
                  <c:v>2024/3*</c:v>
                </c:pt>
                <c:pt idx="11">
                  <c:v>2024/4*</c:v>
                </c:pt>
              </c:strCache>
            </c:strRef>
          </c:cat>
          <c:val>
            <c:numRef>
              <c:f>[FanChart_19.09.2023.xlsx]Sheet4!$H$4:$H$103</c:f>
              <c:numCache>
                <c:formatCode>General</c:formatCode>
                <c:ptCount val="12"/>
                <c:pt idx="6">
                  <c:v>0.23938205625077824</c:v>
                </c:pt>
                <c:pt idx="7">
                  <c:v>0.29413745941087743</c:v>
                </c:pt>
                <c:pt idx="8">
                  <c:v>0.5151556201832479</c:v>
                </c:pt>
                <c:pt idx="9">
                  <c:v>0.535209938513038</c:v>
                </c:pt>
                <c:pt idx="10">
                  <c:v>0.54822321892946402</c:v>
                </c:pt>
                <c:pt idx="11">
                  <c:v>0.55681748683779464</c:v>
                </c:pt>
              </c:numCache>
            </c:numRef>
          </c:val>
          <c:extLst>
            <c:ext xmlns:c16="http://schemas.microsoft.com/office/drawing/2014/chart" uri="{C3380CC4-5D6E-409C-BE32-E72D297353CC}">
              <c16:uniqueId val="{00000006-A99C-4116-A3E5-FE00C0081B43}"/>
            </c:ext>
          </c:extLst>
        </c:ser>
        <c:ser>
          <c:idx val="7"/>
          <c:order val="7"/>
          <c:tx>
            <c:strRef>
              <c:f>[FanChart_19.09.2023.xlsx]Sheet4!$I$3</c:f>
              <c:strCache>
                <c:ptCount val="1"/>
              </c:strCache>
            </c:strRef>
          </c:tx>
          <c:spPr>
            <a:solidFill>
              <a:srgbClr val="FF0000">
                <a:alpha val="80000"/>
              </a:srgbClr>
            </a:solidFill>
          </c:spPr>
          <c:cat>
            <c:strRef>
              <c:f>[FanChart_19.09.2023.xlsx]Sheet4!$A$4:$A$103</c:f>
              <c:strCache>
                <c:ptCount val="12"/>
                <c:pt idx="0">
                  <c:v>2019/4</c:v>
                </c:pt>
                <c:pt idx="1">
                  <c:v>2020/4</c:v>
                </c:pt>
                <c:pt idx="2">
                  <c:v>2021/4</c:v>
                </c:pt>
                <c:pt idx="3">
                  <c:v>2022/4</c:v>
                </c:pt>
                <c:pt idx="4">
                  <c:v>2023/1</c:v>
                </c:pt>
                <c:pt idx="5">
                  <c:v>2023/2</c:v>
                </c:pt>
                <c:pt idx="6">
                  <c:v>2023/3*</c:v>
                </c:pt>
                <c:pt idx="7">
                  <c:v>2023/4*</c:v>
                </c:pt>
                <c:pt idx="8">
                  <c:v>2024/1*</c:v>
                </c:pt>
                <c:pt idx="9">
                  <c:v>2024/2*</c:v>
                </c:pt>
                <c:pt idx="10">
                  <c:v>2024/3*</c:v>
                </c:pt>
                <c:pt idx="11">
                  <c:v>2024/4*</c:v>
                </c:pt>
              </c:strCache>
            </c:strRef>
          </c:cat>
          <c:val>
            <c:numRef>
              <c:f>[FanChart_19.09.2023.xlsx]Sheet4!$I$4:$I$103</c:f>
              <c:numCache>
                <c:formatCode>General</c:formatCode>
                <c:ptCount val="12"/>
                <c:pt idx="6">
                  <c:v>0.22715016215966877</c:v>
                </c:pt>
                <c:pt idx="7">
                  <c:v>0.27910768521605522</c:v>
                </c:pt>
                <c:pt idx="8">
                  <c:v>0.48883230637596853</c:v>
                </c:pt>
                <c:pt idx="9">
                  <c:v>0.50786189335487464</c:v>
                </c:pt>
                <c:pt idx="10">
                  <c:v>0.52021022389859706</c:v>
                </c:pt>
                <c:pt idx="11">
                  <c:v>0.52836534370831068</c:v>
                </c:pt>
              </c:numCache>
            </c:numRef>
          </c:val>
          <c:extLst>
            <c:ext xmlns:c16="http://schemas.microsoft.com/office/drawing/2014/chart" uri="{C3380CC4-5D6E-409C-BE32-E72D297353CC}">
              <c16:uniqueId val="{00000007-A99C-4116-A3E5-FE00C0081B43}"/>
            </c:ext>
          </c:extLst>
        </c:ser>
        <c:ser>
          <c:idx val="8"/>
          <c:order val="8"/>
          <c:tx>
            <c:strRef>
              <c:f>[FanChart_19.09.2023.xlsx]Sheet4!$J$3</c:f>
              <c:strCache>
                <c:ptCount val="1"/>
              </c:strCache>
            </c:strRef>
          </c:tx>
          <c:spPr>
            <a:solidFill>
              <a:srgbClr val="FF0000">
                <a:alpha val="90000"/>
              </a:srgbClr>
            </a:solidFill>
          </c:spPr>
          <c:cat>
            <c:strRef>
              <c:f>[FanChart_19.09.2023.xlsx]Sheet4!$A$4:$A$103</c:f>
              <c:strCache>
                <c:ptCount val="12"/>
                <c:pt idx="0">
                  <c:v>2019/4</c:v>
                </c:pt>
                <c:pt idx="1">
                  <c:v>2020/4</c:v>
                </c:pt>
                <c:pt idx="2">
                  <c:v>2021/4</c:v>
                </c:pt>
                <c:pt idx="3">
                  <c:v>2022/4</c:v>
                </c:pt>
                <c:pt idx="4">
                  <c:v>2023/1</c:v>
                </c:pt>
                <c:pt idx="5">
                  <c:v>2023/2</c:v>
                </c:pt>
                <c:pt idx="6">
                  <c:v>2023/3*</c:v>
                </c:pt>
                <c:pt idx="7">
                  <c:v>2023/4*</c:v>
                </c:pt>
                <c:pt idx="8">
                  <c:v>2024/1*</c:v>
                </c:pt>
                <c:pt idx="9">
                  <c:v>2024/2*</c:v>
                </c:pt>
                <c:pt idx="10">
                  <c:v>2024/3*</c:v>
                </c:pt>
                <c:pt idx="11">
                  <c:v>2024/4*</c:v>
                </c:pt>
              </c:strCache>
            </c:strRef>
          </c:cat>
          <c:val>
            <c:numRef>
              <c:f>[FanChart_19.09.2023.xlsx]Sheet4!$J$4:$J$103</c:f>
              <c:numCache>
                <c:formatCode>General</c:formatCode>
                <c:ptCount val="12"/>
                <c:pt idx="6">
                  <c:v>0.21977041067688852</c:v>
                </c:pt>
                <c:pt idx="7">
                  <c:v>0.27003991553345763</c:v>
                </c:pt>
                <c:pt idx="8">
                  <c:v>0.47295091362894048</c:v>
                </c:pt>
                <c:pt idx="9">
                  <c:v>0.49136225925864796</c:v>
                </c:pt>
                <c:pt idx="10">
                  <c:v>0.50330941196576351</c:v>
                </c:pt>
                <c:pt idx="11">
                  <c:v>0.51119958476009497</c:v>
                </c:pt>
              </c:numCache>
            </c:numRef>
          </c:val>
          <c:extLst>
            <c:ext xmlns:c16="http://schemas.microsoft.com/office/drawing/2014/chart" uri="{C3380CC4-5D6E-409C-BE32-E72D297353CC}">
              <c16:uniqueId val="{00000008-A99C-4116-A3E5-FE00C0081B43}"/>
            </c:ext>
          </c:extLst>
        </c:ser>
        <c:ser>
          <c:idx val="9"/>
          <c:order val="9"/>
          <c:tx>
            <c:strRef>
              <c:f>[FanChart_19.09.2023.xlsx]Sheet4!$K$3</c:f>
              <c:strCache>
                <c:ptCount val="1"/>
              </c:strCache>
            </c:strRef>
          </c:tx>
          <c:spPr>
            <a:solidFill>
              <a:srgbClr val="FF0000"/>
            </a:solidFill>
            <a:ln>
              <a:solidFill>
                <a:srgbClr val="FF0000"/>
              </a:solidFill>
              <a:prstDash val="solid"/>
            </a:ln>
          </c:spPr>
          <c:cat>
            <c:strRef>
              <c:f>[FanChart_19.09.2023.xlsx]Sheet4!$A$4:$A$103</c:f>
              <c:strCache>
                <c:ptCount val="12"/>
                <c:pt idx="0">
                  <c:v>2019/4</c:v>
                </c:pt>
                <c:pt idx="1">
                  <c:v>2020/4</c:v>
                </c:pt>
                <c:pt idx="2">
                  <c:v>2021/4</c:v>
                </c:pt>
                <c:pt idx="3">
                  <c:v>2022/4</c:v>
                </c:pt>
                <c:pt idx="4">
                  <c:v>2023/1</c:v>
                </c:pt>
                <c:pt idx="5">
                  <c:v>2023/2</c:v>
                </c:pt>
                <c:pt idx="6">
                  <c:v>2023/3*</c:v>
                </c:pt>
                <c:pt idx="7">
                  <c:v>2023/4*</c:v>
                </c:pt>
                <c:pt idx="8">
                  <c:v>2024/1*</c:v>
                </c:pt>
                <c:pt idx="9">
                  <c:v>2024/2*</c:v>
                </c:pt>
                <c:pt idx="10">
                  <c:v>2024/3*</c:v>
                </c:pt>
                <c:pt idx="11">
                  <c:v>2024/4*</c:v>
                </c:pt>
              </c:strCache>
            </c:strRef>
          </c:cat>
          <c:val>
            <c:numRef>
              <c:f>[FanChart_19.09.2023.xlsx]Sheet4!$K$4:$K$103</c:f>
              <c:numCache>
                <c:formatCode>General</c:formatCode>
                <c:ptCount val="12"/>
                <c:pt idx="6">
                  <c:v>0.40107343918594474</c:v>
                </c:pt>
                <c:pt idx="7">
                  <c:v>0.51576775513674278</c:v>
                </c:pt>
                <c:pt idx="8">
                  <c:v>0.6946651973607727</c:v>
                </c:pt>
                <c:pt idx="9">
                  <c:v>0.73090407876202601</c:v>
                </c:pt>
                <c:pt idx="10">
                  <c:v>0.75441954899127861</c:v>
                </c:pt>
                <c:pt idx="11">
                  <c:v>0.7699497031625091</c:v>
                </c:pt>
              </c:numCache>
            </c:numRef>
          </c:val>
          <c:extLst>
            <c:ext xmlns:c16="http://schemas.microsoft.com/office/drawing/2014/chart" uri="{C3380CC4-5D6E-409C-BE32-E72D297353CC}">
              <c16:uniqueId val="{00000009-A99C-4116-A3E5-FE00C0081B43}"/>
            </c:ext>
          </c:extLst>
        </c:ser>
        <c:ser>
          <c:idx val="10"/>
          <c:order val="10"/>
          <c:tx>
            <c:strRef>
              <c:f>[FanChart_19.09.2023.xlsx]Sheet4!$L$3</c:f>
              <c:strCache>
                <c:ptCount val="1"/>
              </c:strCache>
            </c:strRef>
          </c:tx>
          <c:spPr>
            <a:solidFill>
              <a:srgbClr val="FF0000">
                <a:alpha val="90000"/>
              </a:srgbClr>
            </a:solidFill>
          </c:spPr>
          <c:cat>
            <c:strRef>
              <c:f>[FanChart_19.09.2023.xlsx]Sheet4!$A$4:$A$103</c:f>
              <c:strCache>
                <c:ptCount val="12"/>
                <c:pt idx="0">
                  <c:v>2019/4</c:v>
                </c:pt>
                <c:pt idx="1">
                  <c:v>2020/4</c:v>
                </c:pt>
                <c:pt idx="2">
                  <c:v>2021/4</c:v>
                </c:pt>
                <c:pt idx="3">
                  <c:v>2022/4</c:v>
                </c:pt>
                <c:pt idx="4">
                  <c:v>2023/1</c:v>
                </c:pt>
                <c:pt idx="5">
                  <c:v>2023/2</c:v>
                </c:pt>
                <c:pt idx="6">
                  <c:v>2023/3*</c:v>
                </c:pt>
                <c:pt idx="7">
                  <c:v>2023/4*</c:v>
                </c:pt>
                <c:pt idx="8">
                  <c:v>2024/1*</c:v>
                </c:pt>
                <c:pt idx="9">
                  <c:v>2024/2*</c:v>
                </c:pt>
                <c:pt idx="10">
                  <c:v>2024/3*</c:v>
                </c:pt>
                <c:pt idx="11">
                  <c:v>2024/4*</c:v>
                </c:pt>
              </c:strCache>
            </c:strRef>
          </c:cat>
          <c:val>
            <c:numRef>
              <c:f>[FanChart_19.09.2023.xlsx]Sheet4!$L$4:$L$103</c:f>
              <c:numCache>
                <c:formatCode>General</c:formatCode>
                <c:ptCount val="12"/>
                <c:pt idx="6">
                  <c:v>0.18776433798079672</c:v>
                </c:pt>
                <c:pt idx="7">
                  <c:v>0.25403687918528206</c:v>
                </c:pt>
                <c:pt idx="8">
                  <c:v>0.23290536840826004</c:v>
                </c:pt>
                <c:pt idx="9">
                  <c:v>0.25131671403796751</c:v>
                </c:pt>
                <c:pt idx="10">
                  <c:v>0.26326386674508306</c:v>
                </c:pt>
                <c:pt idx="11">
                  <c:v>0.27115403953941453</c:v>
                </c:pt>
              </c:numCache>
            </c:numRef>
          </c:val>
          <c:extLst>
            <c:ext xmlns:c16="http://schemas.microsoft.com/office/drawing/2014/chart" uri="{C3380CC4-5D6E-409C-BE32-E72D297353CC}">
              <c16:uniqueId val="{0000000A-A99C-4116-A3E5-FE00C0081B43}"/>
            </c:ext>
          </c:extLst>
        </c:ser>
        <c:ser>
          <c:idx val="11"/>
          <c:order val="11"/>
          <c:tx>
            <c:strRef>
              <c:f>[FanChart_19.09.2023.xlsx]Sheet4!$M$3</c:f>
              <c:strCache>
                <c:ptCount val="1"/>
              </c:strCache>
            </c:strRef>
          </c:tx>
          <c:spPr>
            <a:solidFill>
              <a:srgbClr val="FF0000">
                <a:alpha val="80000"/>
              </a:srgbClr>
            </a:solidFill>
          </c:spPr>
          <c:cat>
            <c:strRef>
              <c:f>[FanChart_19.09.2023.xlsx]Sheet4!$A$4:$A$103</c:f>
              <c:strCache>
                <c:ptCount val="12"/>
                <c:pt idx="0">
                  <c:v>2019/4</c:v>
                </c:pt>
                <c:pt idx="1">
                  <c:v>2020/4</c:v>
                </c:pt>
                <c:pt idx="2">
                  <c:v>2021/4</c:v>
                </c:pt>
                <c:pt idx="3">
                  <c:v>2022/4</c:v>
                </c:pt>
                <c:pt idx="4">
                  <c:v>2023/1</c:v>
                </c:pt>
                <c:pt idx="5">
                  <c:v>2023/2</c:v>
                </c:pt>
                <c:pt idx="6">
                  <c:v>2023/3*</c:v>
                </c:pt>
                <c:pt idx="7">
                  <c:v>2023/4*</c:v>
                </c:pt>
                <c:pt idx="8">
                  <c:v>2024/1*</c:v>
                </c:pt>
                <c:pt idx="9">
                  <c:v>2024/2*</c:v>
                </c:pt>
                <c:pt idx="10">
                  <c:v>2024/3*</c:v>
                </c:pt>
                <c:pt idx="11">
                  <c:v>2024/4*</c:v>
                </c:pt>
              </c:strCache>
            </c:strRef>
          </c:cat>
          <c:val>
            <c:numRef>
              <c:f>[FanChart_19.09.2023.xlsx]Sheet4!$M$4:$M$103</c:f>
              <c:numCache>
                <c:formatCode>General</c:formatCode>
                <c:ptCount val="12"/>
                <c:pt idx="6">
                  <c:v>0.1940693457721494</c:v>
                </c:pt>
                <c:pt idx="7">
                  <c:v>0.26256727702215965</c:v>
                </c:pt>
                <c:pt idx="8">
                  <c:v>0.2407261834695964</c:v>
                </c:pt>
                <c:pt idx="9">
                  <c:v>0.25975577044850073</c:v>
                </c:pt>
                <c:pt idx="10">
                  <c:v>0.27210410099222404</c:v>
                </c:pt>
                <c:pt idx="11">
                  <c:v>0.28025922080193766</c:v>
                </c:pt>
              </c:numCache>
            </c:numRef>
          </c:val>
          <c:extLst>
            <c:ext xmlns:c16="http://schemas.microsoft.com/office/drawing/2014/chart" uri="{C3380CC4-5D6E-409C-BE32-E72D297353CC}">
              <c16:uniqueId val="{0000000B-A99C-4116-A3E5-FE00C0081B43}"/>
            </c:ext>
          </c:extLst>
        </c:ser>
        <c:ser>
          <c:idx val="12"/>
          <c:order val="12"/>
          <c:tx>
            <c:strRef>
              <c:f>[FanChart_19.09.2023.xlsx]Sheet4!$N$3</c:f>
              <c:strCache>
                <c:ptCount val="1"/>
              </c:strCache>
            </c:strRef>
          </c:tx>
          <c:spPr>
            <a:solidFill>
              <a:srgbClr val="FF0000">
                <a:alpha val="70000"/>
              </a:srgbClr>
            </a:solidFill>
          </c:spPr>
          <c:cat>
            <c:strRef>
              <c:f>[FanChart_19.09.2023.xlsx]Sheet4!$A$4:$A$103</c:f>
              <c:strCache>
                <c:ptCount val="12"/>
                <c:pt idx="0">
                  <c:v>2019/4</c:v>
                </c:pt>
                <c:pt idx="1">
                  <c:v>2020/4</c:v>
                </c:pt>
                <c:pt idx="2">
                  <c:v>2021/4</c:v>
                </c:pt>
                <c:pt idx="3">
                  <c:v>2022/4</c:v>
                </c:pt>
                <c:pt idx="4">
                  <c:v>2023/1</c:v>
                </c:pt>
                <c:pt idx="5">
                  <c:v>2023/2</c:v>
                </c:pt>
                <c:pt idx="6">
                  <c:v>2023/3*</c:v>
                </c:pt>
                <c:pt idx="7">
                  <c:v>2023/4*</c:v>
                </c:pt>
                <c:pt idx="8">
                  <c:v>2024/1*</c:v>
                </c:pt>
                <c:pt idx="9">
                  <c:v>2024/2*</c:v>
                </c:pt>
                <c:pt idx="10">
                  <c:v>2024/3*</c:v>
                </c:pt>
                <c:pt idx="11">
                  <c:v>2024/4*</c:v>
                </c:pt>
              </c:strCache>
            </c:strRef>
          </c:cat>
          <c:val>
            <c:numRef>
              <c:f>[FanChart_19.09.2023.xlsx]Sheet4!$N$4:$N$103</c:f>
              <c:numCache>
                <c:formatCode>General</c:formatCode>
                <c:ptCount val="12"/>
                <c:pt idx="6">
                  <c:v>0.20451985860140098</c:v>
                </c:pt>
                <c:pt idx="7">
                  <c:v>0.27670636058604892</c:v>
                </c:pt>
                <c:pt idx="8">
                  <c:v>0.25368913781293223</c:v>
                </c:pt>
                <c:pt idx="9">
                  <c:v>0.27374345614272322</c:v>
                </c:pt>
                <c:pt idx="10">
                  <c:v>0.28675673655914835</c:v>
                </c:pt>
                <c:pt idx="11">
                  <c:v>0.29535100446747986</c:v>
                </c:pt>
              </c:numCache>
            </c:numRef>
          </c:val>
          <c:extLst>
            <c:ext xmlns:c16="http://schemas.microsoft.com/office/drawing/2014/chart" uri="{C3380CC4-5D6E-409C-BE32-E72D297353CC}">
              <c16:uniqueId val="{0000000C-A99C-4116-A3E5-FE00C0081B43}"/>
            </c:ext>
          </c:extLst>
        </c:ser>
        <c:ser>
          <c:idx val="13"/>
          <c:order val="13"/>
          <c:tx>
            <c:strRef>
              <c:f>[FanChart_19.09.2023.xlsx]Sheet4!$O$3</c:f>
              <c:strCache>
                <c:ptCount val="1"/>
              </c:strCache>
            </c:strRef>
          </c:tx>
          <c:spPr>
            <a:solidFill>
              <a:srgbClr val="FF0000">
                <a:alpha val="60000"/>
              </a:srgbClr>
            </a:solidFill>
          </c:spPr>
          <c:cat>
            <c:strRef>
              <c:f>[FanChart_19.09.2023.xlsx]Sheet4!$A$4:$A$103</c:f>
              <c:strCache>
                <c:ptCount val="12"/>
                <c:pt idx="0">
                  <c:v>2019/4</c:v>
                </c:pt>
                <c:pt idx="1">
                  <c:v>2020/4</c:v>
                </c:pt>
                <c:pt idx="2">
                  <c:v>2021/4</c:v>
                </c:pt>
                <c:pt idx="3">
                  <c:v>2022/4</c:v>
                </c:pt>
                <c:pt idx="4">
                  <c:v>2023/1</c:v>
                </c:pt>
                <c:pt idx="5">
                  <c:v>2023/2</c:v>
                </c:pt>
                <c:pt idx="6">
                  <c:v>2023/3*</c:v>
                </c:pt>
                <c:pt idx="7">
                  <c:v>2023/4*</c:v>
                </c:pt>
                <c:pt idx="8">
                  <c:v>2024/1*</c:v>
                </c:pt>
                <c:pt idx="9">
                  <c:v>2024/2*</c:v>
                </c:pt>
                <c:pt idx="10">
                  <c:v>2024/3*</c:v>
                </c:pt>
                <c:pt idx="11">
                  <c:v>2024/4*</c:v>
                </c:pt>
              </c:strCache>
            </c:strRef>
          </c:cat>
          <c:val>
            <c:numRef>
              <c:f>[FanChart_19.09.2023.xlsx]Sheet4!$O$4:$O$103</c:f>
              <c:numCache>
                <c:formatCode>General</c:formatCode>
                <c:ptCount val="12"/>
                <c:pt idx="6">
                  <c:v>0.22070908405026657</c:v>
                </c:pt>
                <c:pt idx="7">
                  <c:v>0.29860966956199064</c:v>
                </c:pt>
                <c:pt idx="8">
                  <c:v>0.27377046719614118</c:v>
                </c:pt>
                <c:pt idx="9">
                  <c:v>0.29541222981072934</c:v>
                </c:pt>
                <c:pt idx="10">
                  <c:v>0.30945560545571382</c:v>
                </c:pt>
                <c:pt idx="11">
                  <c:v>0.31873017180394747</c:v>
                </c:pt>
              </c:numCache>
            </c:numRef>
          </c:val>
          <c:extLst>
            <c:ext xmlns:c16="http://schemas.microsoft.com/office/drawing/2014/chart" uri="{C3380CC4-5D6E-409C-BE32-E72D297353CC}">
              <c16:uniqueId val="{0000000D-A99C-4116-A3E5-FE00C0081B43}"/>
            </c:ext>
          </c:extLst>
        </c:ser>
        <c:ser>
          <c:idx val="14"/>
          <c:order val="14"/>
          <c:tx>
            <c:strRef>
              <c:f>[FanChart_19.09.2023.xlsx]Sheet4!$P$3</c:f>
              <c:strCache>
                <c:ptCount val="1"/>
              </c:strCache>
            </c:strRef>
          </c:tx>
          <c:spPr>
            <a:solidFill>
              <a:srgbClr val="FF0000">
                <a:alpha val="50000"/>
              </a:srgbClr>
            </a:solidFill>
          </c:spPr>
          <c:cat>
            <c:strRef>
              <c:f>[FanChart_19.09.2023.xlsx]Sheet4!$A$4:$A$103</c:f>
              <c:strCache>
                <c:ptCount val="12"/>
                <c:pt idx="0">
                  <c:v>2019/4</c:v>
                </c:pt>
                <c:pt idx="1">
                  <c:v>2020/4</c:v>
                </c:pt>
                <c:pt idx="2">
                  <c:v>2021/4</c:v>
                </c:pt>
                <c:pt idx="3">
                  <c:v>2022/4</c:v>
                </c:pt>
                <c:pt idx="4">
                  <c:v>2023/1</c:v>
                </c:pt>
                <c:pt idx="5">
                  <c:v>2023/2</c:v>
                </c:pt>
                <c:pt idx="6">
                  <c:v>2023/3*</c:v>
                </c:pt>
                <c:pt idx="7">
                  <c:v>2023/4*</c:v>
                </c:pt>
                <c:pt idx="8">
                  <c:v>2024/1*</c:v>
                </c:pt>
                <c:pt idx="9">
                  <c:v>2024/2*</c:v>
                </c:pt>
                <c:pt idx="10">
                  <c:v>2024/3*</c:v>
                </c:pt>
                <c:pt idx="11">
                  <c:v>2024/4*</c:v>
                </c:pt>
              </c:strCache>
            </c:strRef>
          </c:cat>
          <c:val>
            <c:numRef>
              <c:f>[FanChart_19.09.2023.xlsx]Sheet4!$P$4:$P$103</c:f>
              <c:numCache>
                <c:formatCode>General</c:formatCode>
                <c:ptCount val="12"/>
                <c:pt idx="6">
                  <c:v>0.24577003141216025</c:v>
                </c:pt>
                <c:pt idx="7">
                  <c:v>0.33251602753020926</c:v>
                </c:pt>
                <c:pt idx="8">
                  <c:v>0.30485639778738616</c:v>
                </c:pt>
                <c:pt idx="9">
                  <c:v>0.32895552674027506</c:v>
                </c:pt>
                <c:pt idx="10">
                  <c:v>0.34459349147676654</c:v>
                </c:pt>
                <c:pt idx="11">
                  <c:v>0.354921160917959</c:v>
                </c:pt>
              </c:numCache>
            </c:numRef>
          </c:val>
          <c:extLst>
            <c:ext xmlns:c16="http://schemas.microsoft.com/office/drawing/2014/chart" uri="{C3380CC4-5D6E-409C-BE32-E72D297353CC}">
              <c16:uniqueId val="{0000000E-A99C-4116-A3E5-FE00C0081B43}"/>
            </c:ext>
          </c:extLst>
        </c:ser>
        <c:ser>
          <c:idx val="15"/>
          <c:order val="15"/>
          <c:tx>
            <c:strRef>
              <c:f>[FanChart_19.09.2023.xlsx]Sheet4!$Q$3</c:f>
              <c:strCache>
                <c:ptCount val="1"/>
              </c:strCache>
            </c:strRef>
          </c:tx>
          <c:spPr>
            <a:solidFill>
              <a:srgbClr val="FF0000">
                <a:alpha val="40000"/>
              </a:srgbClr>
            </a:solidFill>
          </c:spPr>
          <c:cat>
            <c:strRef>
              <c:f>[FanChart_19.09.2023.xlsx]Sheet4!$A$4:$A$103</c:f>
              <c:strCache>
                <c:ptCount val="12"/>
                <c:pt idx="0">
                  <c:v>2019/4</c:v>
                </c:pt>
                <c:pt idx="1">
                  <c:v>2020/4</c:v>
                </c:pt>
                <c:pt idx="2">
                  <c:v>2021/4</c:v>
                </c:pt>
                <c:pt idx="3">
                  <c:v>2022/4</c:v>
                </c:pt>
                <c:pt idx="4">
                  <c:v>2023/1</c:v>
                </c:pt>
                <c:pt idx="5">
                  <c:v>2023/2</c:v>
                </c:pt>
                <c:pt idx="6">
                  <c:v>2023/3*</c:v>
                </c:pt>
                <c:pt idx="7">
                  <c:v>2023/4*</c:v>
                </c:pt>
                <c:pt idx="8">
                  <c:v>2024/1*</c:v>
                </c:pt>
                <c:pt idx="9">
                  <c:v>2024/2*</c:v>
                </c:pt>
                <c:pt idx="10">
                  <c:v>2024/3*</c:v>
                </c:pt>
                <c:pt idx="11">
                  <c:v>2024/4*</c:v>
                </c:pt>
              </c:strCache>
            </c:strRef>
          </c:cat>
          <c:val>
            <c:numRef>
              <c:f>[FanChart_19.09.2023.xlsx]Sheet4!$Q$4:$Q$103</c:f>
              <c:numCache>
                <c:formatCode>General</c:formatCode>
                <c:ptCount val="12"/>
                <c:pt idx="6">
                  <c:v>0.28647498791230852</c:v>
                </c:pt>
                <c:pt idx="7">
                  <c:v>0.38758804082022991</c:v>
                </c:pt>
                <c:pt idx="8">
                  <c:v>0.35534736423852742</c:v>
                </c:pt>
                <c:pt idx="9">
                  <c:v>0.38343784229969735</c:v>
                </c:pt>
                <c:pt idx="10">
                  <c:v>0.40166580009063502</c:v>
                </c:pt>
                <c:pt idx="11">
                  <c:v>0.41370396015973832</c:v>
                </c:pt>
              </c:numCache>
            </c:numRef>
          </c:val>
          <c:extLst>
            <c:ext xmlns:c16="http://schemas.microsoft.com/office/drawing/2014/chart" uri="{C3380CC4-5D6E-409C-BE32-E72D297353CC}">
              <c16:uniqueId val="{0000000F-A99C-4116-A3E5-FE00C0081B43}"/>
            </c:ext>
          </c:extLst>
        </c:ser>
        <c:ser>
          <c:idx val="16"/>
          <c:order val="16"/>
          <c:tx>
            <c:strRef>
              <c:f>[FanChart_19.09.2023.xlsx]Sheet4!$R$3</c:f>
              <c:strCache>
                <c:ptCount val="1"/>
              </c:strCache>
            </c:strRef>
          </c:tx>
          <c:spPr>
            <a:solidFill>
              <a:srgbClr val="FF0000">
                <a:alpha val="30000"/>
              </a:srgbClr>
            </a:solidFill>
          </c:spPr>
          <c:cat>
            <c:strRef>
              <c:f>[FanChart_19.09.2023.xlsx]Sheet4!$A$4:$A$103</c:f>
              <c:strCache>
                <c:ptCount val="12"/>
                <c:pt idx="0">
                  <c:v>2019/4</c:v>
                </c:pt>
                <c:pt idx="1">
                  <c:v>2020/4</c:v>
                </c:pt>
                <c:pt idx="2">
                  <c:v>2021/4</c:v>
                </c:pt>
                <c:pt idx="3">
                  <c:v>2022/4</c:v>
                </c:pt>
                <c:pt idx="4">
                  <c:v>2023/1</c:v>
                </c:pt>
                <c:pt idx="5">
                  <c:v>2023/2</c:v>
                </c:pt>
                <c:pt idx="6">
                  <c:v>2023/3*</c:v>
                </c:pt>
                <c:pt idx="7">
                  <c:v>2023/4*</c:v>
                </c:pt>
                <c:pt idx="8">
                  <c:v>2024/1*</c:v>
                </c:pt>
                <c:pt idx="9">
                  <c:v>2024/2*</c:v>
                </c:pt>
                <c:pt idx="10">
                  <c:v>2024/3*</c:v>
                </c:pt>
                <c:pt idx="11">
                  <c:v>2024/4*</c:v>
                </c:pt>
              </c:strCache>
            </c:strRef>
          </c:cat>
          <c:val>
            <c:numRef>
              <c:f>[FanChart_19.09.2023.xlsx]Sheet4!$R$4:$R$103</c:f>
              <c:numCache>
                <c:formatCode>General</c:formatCode>
                <c:ptCount val="12"/>
                <c:pt idx="6">
                  <c:v>0.36045094921984244</c:v>
                </c:pt>
                <c:pt idx="7">
                  <c:v>0.48767425818925147</c:v>
                </c:pt>
                <c:pt idx="8">
                  <c:v>0.4471081251315141</c:v>
                </c:pt>
                <c:pt idx="9">
                  <c:v>0.48245236078355624</c:v>
                </c:pt>
                <c:pt idx="10">
                  <c:v>0.5053872939027233</c:v>
                </c:pt>
                <c:pt idx="11">
                  <c:v>0.52053404809369397</c:v>
                </c:pt>
              </c:numCache>
            </c:numRef>
          </c:val>
          <c:extLst>
            <c:ext xmlns:c16="http://schemas.microsoft.com/office/drawing/2014/chart" uri="{C3380CC4-5D6E-409C-BE32-E72D297353CC}">
              <c16:uniqueId val="{00000010-A99C-4116-A3E5-FE00C0081B43}"/>
            </c:ext>
          </c:extLst>
        </c:ser>
        <c:ser>
          <c:idx val="17"/>
          <c:order val="17"/>
          <c:tx>
            <c:strRef>
              <c:f>[FanChart_19.09.2023.xlsx]Sheet4!$S$3</c:f>
              <c:strCache>
                <c:ptCount val="1"/>
              </c:strCache>
            </c:strRef>
          </c:tx>
          <c:spPr>
            <a:solidFill>
              <a:srgbClr val="FF0000">
                <a:alpha val="20000"/>
              </a:srgbClr>
            </a:solidFill>
          </c:spPr>
          <c:cat>
            <c:strRef>
              <c:f>[FanChart_19.09.2023.xlsx]Sheet4!$A$4:$A$103</c:f>
              <c:strCache>
                <c:ptCount val="12"/>
                <c:pt idx="0">
                  <c:v>2019/4</c:v>
                </c:pt>
                <c:pt idx="1">
                  <c:v>2020/4</c:v>
                </c:pt>
                <c:pt idx="2">
                  <c:v>2021/4</c:v>
                </c:pt>
                <c:pt idx="3">
                  <c:v>2022/4</c:v>
                </c:pt>
                <c:pt idx="4">
                  <c:v>2023/1</c:v>
                </c:pt>
                <c:pt idx="5">
                  <c:v>2023/2</c:v>
                </c:pt>
                <c:pt idx="6">
                  <c:v>2023/3*</c:v>
                </c:pt>
                <c:pt idx="7">
                  <c:v>2023/4*</c:v>
                </c:pt>
                <c:pt idx="8">
                  <c:v>2024/1*</c:v>
                </c:pt>
                <c:pt idx="9">
                  <c:v>2024/2*</c:v>
                </c:pt>
                <c:pt idx="10">
                  <c:v>2024/3*</c:v>
                </c:pt>
                <c:pt idx="11">
                  <c:v>2024/4*</c:v>
                </c:pt>
              </c:strCache>
            </c:strRef>
          </c:cat>
          <c:val>
            <c:numRef>
              <c:f>[FanChart_19.09.2023.xlsx]Sheet4!$S$4:$S$103</c:f>
              <c:numCache>
                <c:formatCode>General</c:formatCode>
                <c:ptCount val="12"/>
                <c:pt idx="6">
                  <c:v>0.53424260492411157</c:v>
                </c:pt>
                <c:pt idx="7">
                  <c:v>0.72280671368285709</c:v>
                </c:pt>
                <c:pt idx="8">
                  <c:v>0.66268159362596535</c:v>
                </c:pt>
                <c:pt idx="9">
                  <c:v>0.71506707510316936</c:v>
                </c:pt>
                <c:pt idx="10">
                  <c:v>0.74906010089451591</c:v>
                </c:pt>
                <c:pt idx="11">
                  <c:v>0.77150987230625034</c:v>
                </c:pt>
              </c:numCache>
            </c:numRef>
          </c:val>
          <c:extLst>
            <c:ext xmlns:c16="http://schemas.microsoft.com/office/drawing/2014/chart" uri="{C3380CC4-5D6E-409C-BE32-E72D297353CC}">
              <c16:uniqueId val="{00000011-A99C-4116-A3E5-FE00C0081B43}"/>
            </c:ext>
          </c:extLst>
        </c:ser>
        <c:dLbls>
          <c:showLegendKey val="0"/>
          <c:showVal val="0"/>
          <c:showCatName val="0"/>
          <c:showSerName val="0"/>
          <c:showPercent val="0"/>
          <c:showBubbleSize val="0"/>
        </c:dLbls>
        <c:axId val="648235328"/>
        <c:axId val="648236408"/>
      </c:areaChart>
      <c:lineChart>
        <c:grouping val="standard"/>
        <c:varyColors val="0"/>
        <c:ser>
          <c:idx val="18"/>
          <c:order val="18"/>
          <c:tx>
            <c:strRef>
              <c:f>[FanChart_19.09.2023.xlsx]Sheet4!$T$3</c:f>
              <c:strCache>
                <c:ptCount val="1"/>
              </c:strCache>
            </c:strRef>
          </c:tx>
          <c:marker>
            <c:symbol val="none"/>
          </c:marker>
          <c:cat>
            <c:strRef>
              <c:f>[FanChart_19.09.2023.xlsx]Sheet4!$A$4:$A$103</c:f>
              <c:strCache>
                <c:ptCount val="12"/>
                <c:pt idx="0">
                  <c:v>2019/4</c:v>
                </c:pt>
                <c:pt idx="1">
                  <c:v>2020/4</c:v>
                </c:pt>
                <c:pt idx="2">
                  <c:v>2021/4</c:v>
                </c:pt>
                <c:pt idx="3">
                  <c:v>2022/4</c:v>
                </c:pt>
                <c:pt idx="4">
                  <c:v>2023/1</c:v>
                </c:pt>
                <c:pt idx="5">
                  <c:v>2023/2</c:v>
                </c:pt>
                <c:pt idx="6">
                  <c:v>2023/3*</c:v>
                </c:pt>
                <c:pt idx="7">
                  <c:v>2023/4*</c:v>
                </c:pt>
                <c:pt idx="8">
                  <c:v>2024/1*</c:v>
                </c:pt>
                <c:pt idx="9">
                  <c:v>2024/2*</c:v>
                </c:pt>
                <c:pt idx="10">
                  <c:v>2024/3*</c:v>
                </c:pt>
                <c:pt idx="11">
                  <c:v>2024/4*</c:v>
                </c:pt>
              </c:strCache>
            </c:strRef>
          </c:cat>
          <c:val>
            <c:numRef>
              <c:f>[FanChart_19.09.2023.xlsx]Sheet4!$T$4:$T$103</c:f>
              <c:numCache>
                <c:formatCode>General</c:formatCode>
                <c:ptCount val="12"/>
                <c:pt idx="0">
                  <c:v>7</c:v>
                </c:pt>
                <c:pt idx="1">
                  <c:v>7</c:v>
                </c:pt>
                <c:pt idx="2">
                  <c:v>7</c:v>
                </c:pt>
                <c:pt idx="3">
                  <c:v>7</c:v>
                </c:pt>
                <c:pt idx="4">
                  <c:v>7</c:v>
                </c:pt>
                <c:pt idx="5">
                  <c:v>7</c:v>
                </c:pt>
                <c:pt idx="6">
                  <c:v>7</c:v>
                </c:pt>
                <c:pt idx="7">
                  <c:v>7</c:v>
                </c:pt>
                <c:pt idx="8">
                  <c:v>7</c:v>
                </c:pt>
                <c:pt idx="9">
                  <c:v>7</c:v>
                </c:pt>
                <c:pt idx="10">
                  <c:v>7</c:v>
                </c:pt>
                <c:pt idx="11">
                  <c:v>7</c:v>
                </c:pt>
              </c:numCache>
            </c:numRef>
          </c:val>
          <c:smooth val="0"/>
          <c:extLst>
            <c:ext xmlns:c16="http://schemas.microsoft.com/office/drawing/2014/chart" uri="{C3380CC4-5D6E-409C-BE32-E72D297353CC}">
              <c16:uniqueId val="{00000012-A99C-4116-A3E5-FE00C0081B43}"/>
            </c:ext>
          </c:extLst>
        </c:ser>
        <c:dLbls>
          <c:showLegendKey val="0"/>
          <c:showVal val="0"/>
          <c:showCatName val="0"/>
          <c:showSerName val="0"/>
          <c:showPercent val="0"/>
          <c:showBubbleSize val="0"/>
        </c:dLbls>
        <c:marker val="1"/>
        <c:smooth val="0"/>
        <c:axId val="648235328"/>
        <c:axId val="648236408"/>
      </c:lineChart>
      <c:catAx>
        <c:axId val="648235328"/>
        <c:scaling>
          <c:orientation val="minMax"/>
        </c:scaling>
        <c:delete val="0"/>
        <c:axPos val="b"/>
        <c:numFmt formatCode="General" sourceLinked="1"/>
        <c:majorTickMark val="out"/>
        <c:minorTickMark val="none"/>
        <c:tickLblPos val="nextTo"/>
        <c:crossAx val="648236408"/>
        <c:crosses val="autoZero"/>
        <c:auto val="1"/>
        <c:lblAlgn val="ctr"/>
        <c:lblOffset val="100"/>
        <c:noMultiLvlLbl val="0"/>
      </c:catAx>
      <c:valAx>
        <c:axId val="648236408"/>
        <c:scaling>
          <c:orientation val="minMax"/>
        </c:scaling>
        <c:delete val="0"/>
        <c:axPos val="l"/>
        <c:majorGridlines/>
        <c:numFmt formatCode="0.000" sourceLinked="1"/>
        <c:majorTickMark val="out"/>
        <c:minorTickMark val="none"/>
        <c:tickLblPos val="nextTo"/>
        <c:crossAx val="648235328"/>
        <c:crosses val="autoZero"/>
        <c:crossBetween val="between"/>
      </c:valAx>
    </c:plotArea>
    <c:plotVisOnly val="1"/>
    <c:dispBlanksAs val="gap"/>
    <c:showDLblsOverMax val="0"/>
    <c:extLst>
      <c:ext xmlns:c16r3="http://schemas.microsoft.com/office/drawing/2017/03/chart" uri="{56B9EC1D-385E-4148-901F-78D8002777C0}">
        <c16r3:dataDisplayOptions16>
          <c16r3:dispNaAsBlank val="1"/>
        </c16r3:dataDisplayOptions16>
      </c:ext>
    </c:extLst>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27069285385945"/>
          <c:y val="3.2161727544222377E-2"/>
          <c:w val="0.74834764722028391"/>
          <c:h val="0.67301906007441692"/>
        </c:manualLayout>
      </c:layout>
      <c:lineChart>
        <c:grouping val="standard"/>
        <c:varyColors val="0"/>
        <c:ser>
          <c:idx val="0"/>
          <c:order val="0"/>
          <c:tx>
            <c:strRef>
              <c:f>Sheet1!$D$1</c:f>
              <c:strCache>
                <c:ptCount val="1"/>
                <c:pt idx="0">
                  <c:v>Պղինձ, դոլար/տոննա</c:v>
                </c:pt>
              </c:strCache>
            </c:strRef>
          </c:tx>
          <c:spPr>
            <a:ln w="28575" cap="rnd">
              <a:solidFill>
                <a:schemeClr val="accent5">
                  <a:lumMod val="75000"/>
                </a:schemeClr>
              </a:solidFill>
              <a:round/>
            </a:ln>
            <a:effectLst/>
          </c:spPr>
          <c:marker>
            <c:symbol val="none"/>
          </c:marker>
          <c:cat>
            <c:multiLvlStrRef>
              <c:f>Sheet1!$A$2:$B$57</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Sheet1!$D$2:$D$57</c:f>
              <c:numCache>
                <c:formatCode>0</c:formatCode>
                <c:ptCount val="56"/>
                <c:pt idx="0">
                  <c:v>5939.1</c:v>
                </c:pt>
                <c:pt idx="1">
                  <c:v>6300.49</c:v>
                </c:pt>
                <c:pt idx="2">
                  <c:v>6439.46</c:v>
                </c:pt>
                <c:pt idx="3">
                  <c:v>6438.36</c:v>
                </c:pt>
                <c:pt idx="4">
                  <c:v>6017.9</c:v>
                </c:pt>
                <c:pt idx="5">
                  <c:v>5882.23</c:v>
                </c:pt>
                <c:pt idx="6">
                  <c:v>5941.2</c:v>
                </c:pt>
                <c:pt idx="7">
                  <c:v>5709.44</c:v>
                </c:pt>
                <c:pt idx="8">
                  <c:v>5759.25</c:v>
                </c:pt>
                <c:pt idx="9">
                  <c:v>5757.3</c:v>
                </c:pt>
                <c:pt idx="10">
                  <c:v>5859.95</c:v>
                </c:pt>
                <c:pt idx="11">
                  <c:v>6077.06</c:v>
                </c:pt>
                <c:pt idx="12">
                  <c:v>6031.21</c:v>
                </c:pt>
                <c:pt idx="13">
                  <c:v>5687.75</c:v>
                </c:pt>
                <c:pt idx="14">
                  <c:v>5182.63</c:v>
                </c:pt>
                <c:pt idx="15">
                  <c:v>5057.97</c:v>
                </c:pt>
                <c:pt idx="16">
                  <c:v>5239.83</c:v>
                </c:pt>
                <c:pt idx="17">
                  <c:v>5754.6</c:v>
                </c:pt>
                <c:pt idx="18">
                  <c:v>6372.46</c:v>
                </c:pt>
                <c:pt idx="19">
                  <c:v>6498.94</c:v>
                </c:pt>
                <c:pt idx="20">
                  <c:v>6704.9</c:v>
                </c:pt>
                <c:pt idx="21">
                  <c:v>6713.81</c:v>
                </c:pt>
                <c:pt idx="22">
                  <c:v>7068.91</c:v>
                </c:pt>
                <c:pt idx="23">
                  <c:v>7772.24</c:v>
                </c:pt>
                <c:pt idx="24">
                  <c:v>7972.15</c:v>
                </c:pt>
                <c:pt idx="25">
                  <c:v>8470.94</c:v>
                </c:pt>
                <c:pt idx="26">
                  <c:v>8988.25</c:v>
                </c:pt>
                <c:pt idx="27">
                  <c:v>9324.82</c:v>
                </c:pt>
                <c:pt idx="28">
                  <c:v>10161.969999999999</c:v>
                </c:pt>
                <c:pt idx="29">
                  <c:v>9631.5</c:v>
                </c:pt>
                <c:pt idx="30">
                  <c:v>9450.82</c:v>
                </c:pt>
                <c:pt idx="31">
                  <c:v>9370.14</c:v>
                </c:pt>
                <c:pt idx="32">
                  <c:v>9324.7099999999991</c:v>
                </c:pt>
                <c:pt idx="33">
                  <c:v>9829.2199999999993</c:v>
                </c:pt>
                <c:pt idx="34">
                  <c:v>9728.9</c:v>
                </c:pt>
                <c:pt idx="35">
                  <c:v>9551.18</c:v>
                </c:pt>
                <c:pt idx="36">
                  <c:v>9782.34</c:v>
                </c:pt>
                <c:pt idx="37">
                  <c:v>9943.17</c:v>
                </c:pt>
                <c:pt idx="38">
                  <c:v>10230.89</c:v>
                </c:pt>
                <c:pt idx="39">
                  <c:v>10161.379999999999</c:v>
                </c:pt>
                <c:pt idx="40">
                  <c:v>9377.15</c:v>
                </c:pt>
                <c:pt idx="41">
                  <c:v>9024.4599999999991</c:v>
                </c:pt>
                <c:pt idx="42">
                  <c:v>7544.81</c:v>
                </c:pt>
                <c:pt idx="43">
                  <c:v>7981.84</c:v>
                </c:pt>
                <c:pt idx="44">
                  <c:v>7746.01</c:v>
                </c:pt>
                <c:pt idx="45">
                  <c:v>7651.08</c:v>
                </c:pt>
                <c:pt idx="46">
                  <c:v>8049.86</c:v>
                </c:pt>
                <c:pt idx="47">
                  <c:v>8375.4</c:v>
                </c:pt>
                <c:pt idx="48" formatCode="General">
                  <c:v>9038</c:v>
                </c:pt>
                <c:pt idx="49">
                  <c:v>8936.6</c:v>
                </c:pt>
                <c:pt idx="50">
                  <c:v>8856.2999999999993</c:v>
                </c:pt>
                <c:pt idx="51">
                  <c:v>8809.42</c:v>
                </c:pt>
                <c:pt idx="52">
                  <c:v>8217.4699999999993</c:v>
                </c:pt>
                <c:pt idx="53">
                  <c:v>8396.52</c:v>
                </c:pt>
                <c:pt idx="54">
                  <c:v>8476.68</c:v>
                </c:pt>
                <c:pt idx="55">
                  <c:v>8349.1299999999992</c:v>
                </c:pt>
              </c:numCache>
            </c:numRef>
          </c:val>
          <c:smooth val="0"/>
          <c:extLst>
            <c:ext xmlns:c16="http://schemas.microsoft.com/office/drawing/2014/chart" uri="{C3380CC4-5D6E-409C-BE32-E72D297353CC}">
              <c16:uniqueId val="{00000000-0EF7-4046-8665-89991D51616F}"/>
            </c:ext>
          </c:extLst>
        </c:ser>
        <c:dLbls>
          <c:showLegendKey val="0"/>
          <c:showVal val="0"/>
          <c:showCatName val="0"/>
          <c:showSerName val="0"/>
          <c:showPercent val="0"/>
          <c:showBubbleSize val="0"/>
        </c:dLbls>
        <c:marker val="1"/>
        <c:smooth val="0"/>
        <c:axId val="-673907216"/>
        <c:axId val="-673913744"/>
      </c:lineChart>
      <c:lineChart>
        <c:grouping val="standard"/>
        <c:varyColors val="0"/>
        <c:ser>
          <c:idx val="1"/>
          <c:order val="1"/>
          <c:tx>
            <c:strRef>
              <c:f>Sheet1!$E$1</c:f>
              <c:strCache>
                <c:ptCount val="1"/>
                <c:pt idx="0">
                  <c:v>Մոլիբդեն, հազար դոլար/տոննա, աջ առանցք</c:v>
                </c:pt>
              </c:strCache>
            </c:strRef>
          </c:tx>
          <c:spPr>
            <a:ln w="28575" cap="rnd">
              <a:solidFill>
                <a:schemeClr val="accent2">
                  <a:lumMod val="60000"/>
                  <a:lumOff val="40000"/>
                </a:schemeClr>
              </a:solidFill>
              <a:round/>
            </a:ln>
            <a:effectLst/>
          </c:spPr>
          <c:marker>
            <c:symbol val="none"/>
          </c:marker>
          <c:cat>
            <c:multiLvlStrRef>
              <c:f>Sheet1!$A$2:$B$57</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Sheet1!$E$2:$E$57</c:f>
              <c:numCache>
                <c:formatCode>0</c:formatCode>
                <c:ptCount val="56"/>
                <c:pt idx="0">
                  <c:v>27.59</c:v>
                </c:pt>
                <c:pt idx="1">
                  <c:v>27.349</c:v>
                </c:pt>
                <c:pt idx="2">
                  <c:v>29.277000000000001</c:v>
                </c:pt>
                <c:pt idx="3">
                  <c:v>29.518000000000001</c:v>
                </c:pt>
                <c:pt idx="4">
                  <c:v>28.553999999999998</c:v>
                </c:pt>
                <c:pt idx="5">
                  <c:v>28.553999999999998</c:v>
                </c:pt>
                <c:pt idx="6">
                  <c:v>27.59</c:v>
                </c:pt>
                <c:pt idx="7">
                  <c:v>27.831</c:v>
                </c:pt>
                <c:pt idx="8">
                  <c:v>28.071999999999999</c:v>
                </c:pt>
                <c:pt idx="9">
                  <c:v>27.349</c:v>
                </c:pt>
                <c:pt idx="10">
                  <c:v>20.843</c:v>
                </c:pt>
                <c:pt idx="11">
                  <c:v>22.289000000000001</c:v>
                </c:pt>
                <c:pt idx="12">
                  <c:v>24.457999999999998</c:v>
                </c:pt>
                <c:pt idx="13">
                  <c:v>26.145</c:v>
                </c:pt>
                <c:pt idx="14">
                  <c:v>26.145</c:v>
                </c:pt>
                <c:pt idx="15">
                  <c:v>21.324999999999999</c:v>
                </c:pt>
                <c:pt idx="16">
                  <c:v>20.602</c:v>
                </c:pt>
                <c:pt idx="17">
                  <c:v>19.398</c:v>
                </c:pt>
                <c:pt idx="18">
                  <c:v>19.638999999999999</c:v>
                </c:pt>
                <c:pt idx="19">
                  <c:v>18.916</c:v>
                </c:pt>
                <c:pt idx="20">
                  <c:v>21.324999999999999</c:v>
                </c:pt>
                <c:pt idx="21">
                  <c:v>22.289000000000001</c:v>
                </c:pt>
                <c:pt idx="22">
                  <c:v>23.734999999999999</c:v>
                </c:pt>
                <c:pt idx="23">
                  <c:v>23.494</c:v>
                </c:pt>
                <c:pt idx="24">
                  <c:v>22.438650000000003</c:v>
                </c:pt>
                <c:pt idx="25">
                  <c:v>25.669520000000002</c:v>
                </c:pt>
                <c:pt idx="26">
                  <c:v>26.593499999999999</c:v>
                </c:pt>
                <c:pt idx="27">
                  <c:v>24.53304</c:v>
                </c:pt>
                <c:pt idx="28">
                  <c:v>28.057130000000001</c:v>
                </c:pt>
                <c:pt idx="29">
                  <c:v>38.750300000000003</c:v>
                </c:pt>
                <c:pt idx="30">
                  <c:v>40.744430000000001</c:v>
                </c:pt>
                <c:pt idx="31">
                  <c:v>41.846890000000002</c:v>
                </c:pt>
                <c:pt idx="32">
                  <c:v>43.57837</c:v>
                </c:pt>
                <c:pt idx="33">
                  <c:v>41.836390000000002</c:v>
                </c:pt>
                <c:pt idx="34">
                  <c:v>41.931919999999998</c:v>
                </c:pt>
                <c:pt idx="35">
                  <c:v>44.75</c:v>
                </c:pt>
                <c:pt idx="36">
                  <c:v>44.75</c:v>
                </c:pt>
                <c:pt idx="37">
                  <c:v>46.499724999999998</c:v>
                </c:pt>
                <c:pt idx="38">
                  <c:v>48.317864247499998</c:v>
                </c:pt>
                <c:pt idx="39">
                  <c:v>46.539000000000001</c:v>
                </c:pt>
                <c:pt idx="40">
                  <c:v>45.773857142857146</c:v>
                </c:pt>
                <c:pt idx="41">
                  <c:v>43.546999999999997</c:v>
                </c:pt>
                <c:pt idx="42">
                  <c:v>43.432000000000002</c:v>
                </c:pt>
                <c:pt idx="43">
                  <c:v>38.496499999999997</c:v>
                </c:pt>
                <c:pt idx="44">
                  <c:v>40.328000000000003</c:v>
                </c:pt>
                <c:pt idx="45">
                  <c:v>45.180999999999997</c:v>
                </c:pt>
                <c:pt idx="46">
                  <c:v>46.866999999999997</c:v>
                </c:pt>
                <c:pt idx="47">
                  <c:v>46.627000000000002</c:v>
                </c:pt>
                <c:pt idx="48">
                  <c:v>73.566000000000003</c:v>
                </c:pt>
                <c:pt idx="49">
                  <c:v>96.120999999999995</c:v>
                </c:pt>
                <c:pt idx="50">
                  <c:v>74.144999999999996</c:v>
                </c:pt>
                <c:pt idx="51">
                  <c:v>52.481999999999999</c:v>
                </c:pt>
                <c:pt idx="52">
                  <c:v>52.091000000000001</c:v>
                </c:pt>
                <c:pt idx="53">
                  <c:v>53.149000000000001</c:v>
                </c:pt>
                <c:pt idx="54">
                  <c:v>54.072000000000003</c:v>
                </c:pt>
                <c:pt idx="55">
                  <c:v>59.2</c:v>
                </c:pt>
              </c:numCache>
            </c:numRef>
          </c:val>
          <c:smooth val="0"/>
          <c:extLst>
            <c:ext xmlns:c16="http://schemas.microsoft.com/office/drawing/2014/chart" uri="{C3380CC4-5D6E-409C-BE32-E72D297353CC}">
              <c16:uniqueId val="{00000001-0EF7-4046-8665-89991D51616F}"/>
            </c:ext>
          </c:extLst>
        </c:ser>
        <c:ser>
          <c:idx val="2"/>
          <c:order val="2"/>
          <c:tx>
            <c:strRef>
              <c:f>Sheet1!$C$1</c:f>
              <c:strCache>
                <c:ptCount val="1"/>
                <c:pt idx="0">
                  <c:v>Նավթ, դոլար/բարել, աջ առանցք</c:v>
                </c:pt>
              </c:strCache>
            </c:strRef>
          </c:tx>
          <c:spPr>
            <a:ln w="28575" cap="rnd">
              <a:solidFill>
                <a:schemeClr val="accent3"/>
              </a:solidFill>
              <a:round/>
            </a:ln>
            <a:effectLst/>
          </c:spPr>
          <c:marker>
            <c:symbol val="none"/>
          </c:marker>
          <c:cat>
            <c:multiLvlStrRef>
              <c:f>Sheet1!$A$2:$B$57</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Sheet1!$C$2:$C$57</c:f>
              <c:numCache>
                <c:formatCode>0</c:formatCode>
                <c:ptCount val="56"/>
                <c:pt idx="0">
                  <c:v>59.27</c:v>
                </c:pt>
                <c:pt idx="1">
                  <c:v>64.13</c:v>
                </c:pt>
                <c:pt idx="2">
                  <c:v>66.41</c:v>
                </c:pt>
                <c:pt idx="3">
                  <c:v>71.2</c:v>
                </c:pt>
                <c:pt idx="4">
                  <c:v>70.53</c:v>
                </c:pt>
                <c:pt idx="5">
                  <c:v>63.3</c:v>
                </c:pt>
                <c:pt idx="6">
                  <c:v>64</c:v>
                </c:pt>
                <c:pt idx="7">
                  <c:v>59.25</c:v>
                </c:pt>
                <c:pt idx="8">
                  <c:v>62.33</c:v>
                </c:pt>
                <c:pt idx="9">
                  <c:v>59.37</c:v>
                </c:pt>
                <c:pt idx="10">
                  <c:v>62.74</c:v>
                </c:pt>
                <c:pt idx="11">
                  <c:v>65.849999999999994</c:v>
                </c:pt>
                <c:pt idx="12">
                  <c:v>63.6</c:v>
                </c:pt>
                <c:pt idx="13">
                  <c:v>55</c:v>
                </c:pt>
                <c:pt idx="14">
                  <c:v>32.979999999999997</c:v>
                </c:pt>
                <c:pt idx="15">
                  <c:v>23.34</c:v>
                </c:pt>
                <c:pt idx="16">
                  <c:v>31.02</c:v>
                </c:pt>
                <c:pt idx="17">
                  <c:v>39.93</c:v>
                </c:pt>
                <c:pt idx="18">
                  <c:v>42.81</c:v>
                </c:pt>
                <c:pt idx="19">
                  <c:v>44.26</c:v>
                </c:pt>
                <c:pt idx="20">
                  <c:v>41.09</c:v>
                </c:pt>
                <c:pt idx="21">
                  <c:v>40.47</c:v>
                </c:pt>
                <c:pt idx="22">
                  <c:v>43.23</c:v>
                </c:pt>
                <c:pt idx="23">
                  <c:v>49.87</c:v>
                </c:pt>
                <c:pt idx="24">
                  <c:v>54.55</c:v>
                </c:pt>
                <c:pt idx="25">
                  <c:v>61.96</c:v>
                </c:pt>
                <c:pt idx="26">
                  <c:v>65.19</c:v>
                </c:pt>
                <c:pt idx="27">
                  <c:v>64.77</c:v>
                </c:pt>
                <c:pt idx="28">
                  <c:v>68.040000000000006</c:v>
                </c:pt>
                <c:pt idx="29">
                  <c:v>73.069999999999993</c:v>
                </c:pt>
                <c:pt idx="30">
                  <c:v>74.39</c:v>
                </c:pt>
                <c:pt idx="31">
                  <c:v>70.02</c:v>
                </c:pt>
                <c:pt idx="32">
                  <c:v>74.599999999999994</c:v>
                </c:pt>
                <c:pt idx="33">
                  <c:v>83.65</c:v>
                </c:pt>
                <c:pt idx="34">
                  <c:v>80.77</c:v>
                </c:pt>
                <c:pt idx="35">
                  <c:v>74.31</c:v>
                </c:pt>
                <c:pt idx="36">
                  <c:v>85.53</c:v>
                </c:pt>
                <c:pt idx="37">
                  <c:v>95.76</c:v>
                </c:pt>
                <c:pt idx="38">
                  <c:v>115.59</c:v>
                </c:pt>
                <c:pt idx="39">
                  <c:v>105.78</c:v>
                </c:pt>
                <c:pt idx="40">
                  <c:v>112.37</c:v>
                </c:pt>
                <c:pt idx="41">
                  <c:v>120.08</c:v>
                </c:pt>
                <c:pt idx="42">
                  <c:v>108.92</c:v>
                </c:pt>
                <c:pt idx="43">
                  <c:v>98.6</c:v>
                </c:pt>
                <c:pt idx="44">
                  <c:v>90.16</c:v>
                </c:pt>
                <c:pt idx="45">
                  <c:v>93.13</c:v>
                </c:pt>
                <c:pt idx="46">
                  <c:v>91.07</c:v>
                </c:pt>
                <c:pt idx="47">
                  <c:v>80.900000000000006</c:v>
                </c:pt>
                <c:pt idx="48">
                  <c:v>83.1</c:v>
                </c:pt>
                <c:pt idx="49">
                  <c:v>82.7</c:v>
                </c:pt>
                <c:pt idx="50">
                  <c:v>78.5</c:v>
                </c:pt>
                <c:pt idx="51">
                  <c:v>84.11</c:v>
                </c:pt>
                <c:pt idx="52">
                  <c:v>75.7</c:v>
                </c:pt>
                <c:pt idx="53">
                  <c:v>74.89</c:v>
                </c:pt>
                <c:pt idx="54">
                  <c:v>80.099999999999994</c:v>
                </c:pt>
                <c:pt idx="55">
                  <c:v>86.162999999999997</c:v>
                </c:pt>
              </c:numCache>
            </c:numRef>
          </c:val>
          <c:smooth val="0"/>
          <c:extLst>
            <c:ext xmlns:c16="http://schemas.microsoft.com/office/drawing/2014/chart" uri="{C3380CC4-5D6E-409C-BE32-E72D297353CC}">
              <c16:uniqueId val="{00000002-0EF7-4046-8665-89991D51616F}"/>
            </c:ext>
          </c:extLst>
        </c:ser>
        <c:dLbls>
          <c:showLegendKey val="0"/>
          <c:showVal val="0"/>
          <c:showCatName val="0"/>
          <c:showSerName val="0"/>
          <c:showPercent val="0"/>
          <c:showBubbleSize val="0"/>
        </c:dLbls>
        <c:marker val="1"/>
        <c:smooth val="0"/>
        <c:axId val="-673912112"/>
        <c:axId val="-673913200"/>
      </c:lineChart>
      <c:catAx>
        <c:axId val="-67390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73913744"/>
        <c:crosses val="autoZero"/>
        <c:auto val="1"/>
        <c:lblAlgn val="ctr"/>
        <c:lblOffset val="0"/>
        <c:noMultiLvlLbl val="0"/>
      </c:catAx>
      <c:valAx>
        <c:axId val="-673913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73907216"/>
        <c:crosses val="autoZero"/>
        <c:crossBetween val="between"/>
      </c:valAx>
      <c:valAx>
        <c:axId val="-67391320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73912112"/>
        <c:crosses val="max"/>
        <c:crossBetween val="between"/>
      </c:valAx>
      <c:catAx>
        <c:axId val="-673912112"/>
        <c:scaling>
          <c:orientation val="minMax"/>
        </c:scaling>
        <c:delete val="1"/>
        <c:axPos val="b"/>
        <c:numFmt formatCode="General" sourceLinked="1"/>
        <c:majorTickMark val="out"/>
        <c:minorTickMark val="none"/>
        <c:tickLblPos val="nextTo"/>
        <c:crossAx val="-673913200"/>
        <c:crosses val="autoZero"/>
        <c:auto val="1"/>
        <c:lblAlgn val="ctr"/>
        <c:lblOffset val="100"/>
        <c:noMultiLvlLbl val="0"/>
      </c:catAx>
      <c:spPr>
        <a:noFill/>
        <a:ln>
          <a:noFill/>
        </a:ln>
        <a:effectLst/>
      </c:spPr>
    </c:plotArea>
    <c:legend>
      <c:legendPos val="b"/>
      <c:layout>
        <c:manualLayout>
          <c:xMode val="edge"/>
          <c:yMode val="edge"/>
          <c:x val="1.7859894770608526E-2"/>
          <c:y val="0.83454328718903248"/>
          <c:w val="0.9768796277617755"/>
          <c:h val="0.159111193113266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9.0829931972789116E-2"/>
          <c:w val="0.89217968048592944"/>
          <c:h val="0.61646182448347797"/>
        </c:manualLayout>
      </c:layout>
      <c:barChart>
        <c:barDir val="col"/>
        <c:grouping val="clustered"/>
        <c:varyColors val="0"/>
        <c:ser>
          <c:idx val="0"/>
          <c:order val="0"/>
          <c:tx>
            <c:strRef>
              <c:f>Sheet1!$C$1</c:f>
              <c:strCache>
                <c:ptCount val="1"/>
                <c:pt idx="0">
                  <c:v>հարկային եկամուտներ, մլրդ դրամ</c:v>
                </c:pt>
              </c:strCache>
            </c:strRef>
          </c:tx>
          <c:spPr>
            <a:solidFill>
              <a:srgbClr val="5B9BD5">
                <a:lumMod val="75000"/>
              </a:srgbClr>
            </a:solidFill>
          </c:spPr>
          <c:invertIfNegative val="0"/>
          <c:cat>
            <c:multiLvlStrRef>
              <c:f>Sheet1!$A$2:$B$21</c:f>
              <c:multiLvlStrCache>
                <c:ptCount val="2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lvl>
                <c:lvl>
                  <c:pt idx="0">
                    <c:v>2022</c:v>
                  </c:pt>
                  <c:pt idx="12">
                    <c:v>2023</c:v>
                  </c:pt>
                </c:lvl>
              </c:multiLvlStrCache>
            </c:multiLvlStrRef>
          </c:cat>
          <c:val>
            <c:numRef>
              <c:f>Sheet1!$C$2:$C$21</c:f>
              <c:numCache>
                <c:formatCode>0.0</c:formatCode>
                <c:ptCount val="20"/>
                <c:pt idx="0">
                  <c:v>144.16259246999996</c:v>
                </c:pt>
                <c:pt idx="1">
                  <c:v>254.69886229999994</c:v>
                </c:pt>
                <c:pt idx="2">
                  <c:v>400.55501477999991</c:v>
                </c:pt>
                <c:pt idx="3">
                  <c:v>631.81745195999997</c:v>
                </c:pt>
                <c:pt idx="4">
                  <c:v>761.82507057000009</c:v>
                </c:pt>
                <c:pt idx="5">
                  <c:v>927.89941157999999</c:v>
                </c:pt>
                <c:pt idx="6">
                  <c:v>1086.66392967</c:v>
                </c:pt>
                <c:pt idx="7">
                  <c:v>1232.1456895099998</c:v>
                </c:pt>
                <c:pt idx="8">
                  <c:v>1405.76629869</c:v>
                </c:pt>
                <c:pt idx="9">
                  <c:v>1559.1864912610001</c:v>
                </c:pt>
                <c:pt idx="10">
                  <c:v>1712.6331545299997</c:v>
                </c:pt>
                <c:pt idx="11">
                  <c:v>1925.9686770300002</c:v>
                </c:pt>
                <c:pt idx="12">
                  <c:v>166.26392567000002</c:v>
                </c:pt>
                <c:pt idx="13">
                  <c:v>287.00004775000002</c:v>
                </c:pt>
                <c:pt idx="14">
                  <c:v>461.35288835</c:v>
                </c:pt>
                <c:pt idx="15">
                  <c:v>758.10858009499998</c:v>
                </c:pt>
                <c:pt idx="16">
                  <c:v>912.22689144000003</c:v>
                </c:pt>
                <c:pt idx="17">
                  <c:v>1103.898628618</c:v>
                </c:pt>
                <c:pt idx="18">
                  <c:v>1265.0371619699999</c:v>
                </c:pt>
                <c:pt idx="19">
                  <c:v>1422.9129235099999</c:v>
                </c:pt>
              </c:numCache>
            </c:numRef>
          </c:val>
          <c:extLst>
            <c:ext xmlns:c16="http://schemas.microsoft.com/office/drawing/2014/chart" uri="{C3380CC4-5D6E-409C-BE32-E72D297353CC}">
              <c16:uniqueId val="{00000000-2B5C-4A2B-9C50-34283C48DAB0}"/>
            </c:ext>
          </c:extLst>
        </c:ser>
        <c:dLbls>
          <c:showLegendKey val="0"/>
          <c:showVal val="0"/>
          <c:showCatName val="0"/>
          <c:showSerName val="0"/>
          <c:showPercent val="0"/>
          <c:showBubbleSize val="0"/>
        </c:dLbls>
        <c:gapWidth val="150"/>
        <c:axId val="317155200"/>
        <c:axId val="317156736"/>
      </c:barChart>
      <c:lineChart>
        <c:grouping val="standard"/>
        <c:varyColors val="0"/>
        <c:ser>
          <c:idx val="2"/>
          <c:order val="1"/>
          <c:tx>
            <c:strRef>
              <c:f>Sheet1!$D$1</c:f>
              <c:strCache>
                <c:ptCount val="1"/>
                <c:pt idx="0">
                  <c:v>հարկային եկամուտների աճը, %</c:v>
                </c:pt>
              </c:strCache>
            </c:strRef>
          </c:tx>
          <c:spPr>
            <a:ln>
              <a:solidFill>
                <a:srgbClr val="ED7D31"/>
              </a:solidFill>
            </a:ln>
          </c:spPr>
          <c:marker>
            <c:symbol val="none"/>
          </c:marker>
          <c:cat>
            <c:multiLvlStrRef>
              <c:f>Sheet1!$A$2:$B$21</c:f>
              <c:multiLvlStrCache>
                <c:ptCount val="2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lvl>
                <c:lvl>
                  <c:pt idx="0">
                    <c:v>2022</c:v>
                  </c:pt>
                  <c:pt idx="12">
                    <c:v>2023</c:v>
                  </c:pt>
                </c:lvl>
              </c:multiLvlStrCache>
            </c:multiLvlStrRef>
          </c:cat>
          <c:val>
            <c:numRef>
              <c:f>Sheet1!$D$2:$D$21</c:f>
              <c:numCache>
                <c:formatCode>0.0</c:formatCode>
                <c:ptCount val="20"/>
                <c:pt idx="0">
                  <c:v>10.465495021107399</c:v>
                </c:pt>
                <c:pt idx="1">
                  <c:v>20.27752807035057</c:v>
                </c:pt>
                <c:pt idx="2">
                  <c:v>20.324942076471565</c:v>
                </c:pt>
                <c:pt idx="3">
                  <c:v>23.170028686693176</c:v>
                </c:pt>
                <c:pt idx="4">
                  <c:v>23.201233589844325</c:v>
                </c:pt>
                <c:pt idx="5">
                  <c:v>23.686651790698491</c:v>
                </c:pt>
                <c:pt idx="6">
                  <c:v>24.550950594910109</c:v>
                </c:pt>
                <c:pt idx="7">
                  <c:v>25.233917168127338</c:v>
                </c:pt>
                <c:pt idx="8">
                  <c:v>23.606120407191995</c:v>
                </c:pt>
                <c:pt idx="9">
                  <c:v>21.908585472703098</c:v>
                </c:pt>
                <c:pt idx="10">
                  <c:v>21.425143497537945</c:v>
                </c:pt>
                <c:pt idx="11">
                  <c:v>21.366717393270136</c:v>
                </c:pt>
                <c:pt idx="12">
                  <c:v>15.330837786230362</c:v>
                </c:pt>
                <c:pt idx="13">
                  <c:v>12.682108258478891</c:v>
                </c:pt>
                <c:pt idx="14">
                  <c:v>15.178407790848041</c:v>
                </c:pt>
                <c:pt idx="15">
                  <c:v>19.988546967676271</c:v>
                </c:pt>
                <c:pt idx="16">
                  <c:v>19.742303933036595</c:v>
                </c:pt>
                <c:pt idx="17">
                  <c:v>18.96748880768375</c:v>
                </c:pt>
                <c:pt idx="18">
                  <c:v>16.414755972821212</c:v>
                </c:pt>
                <c:pt idx="19">
                  <c:v>15.482522531557493</c:v>
                </c:pt>
              </c:numCache>
            </c:numRef>
          </c:val>
          <c:smooth val="0"/>
          <c:extLst>
            <c:ext xmlns:c16="http://schemas.microsoft.com/office/drawing/2014/chart" uri="{C3380CC4-5D6E-409C-BE32-E72D297353CC}">
              <c16:uniqueId val="{00000001-2B5C-4A2B-9C50-34283C48DAB0}"/>
            </c:ext>
          </c:extLst>
        </c:ser>
        <c:dLbls>
          <c:showLegendKey val="0"/>
          <c:showVal val="0"/>
          <c:showCatName val="0"/>
          <c:showSerName val="0"/>
          <c:showPercent val="0"/>
          <c:showBubbleSize val="0"/>
        </c:dLbls>
        <c:marker val="1"/>
        <c:smooth val="0"/>
        <c:axId val="1863500351"/>
        <c:axId val="1863513247"/>
      </c:lineChart>
      <c:catAx>
        <c:axId val="317155200"/>
        <c:scaling>
          <c:orientation val="minMax"/>
        </c:scaling>
        <c:delete val="0"/>
        <c:axPos val="b"/>
        <c:numFmt formatCode="General" sourceLinked="0"/>
        <c:majorTickMark val="none"/>
        <c:minorTickMark val="none"/>
        <c:tickLblPos val="nextTo"/>
        <c:txPr>
          <a:bodyPr rot="0" vert="horz"/>
          <a:lstStyle/>
          <a:p>
            <a:pPr>
              <a:defRPr sz="800" b="0" i="0" u="none" strike="noStrike" baseline="0">
                <a:solidFill>
                  <a:srgbClr val="000000"/>
                </a:solidFill>
                <a:latin typeface="GHEA Grapalat"/>
                <a:ea typeface="GHEA Grapalat"/>
                <a:cs typeface="GHEA Grapalat"/>
              </a:defRPr>
            </a:pPr>
            <a:endParaRPr lang="en-US"/>
          </a:p>
        </c:txPr>
        <c:crossAx val="317156736"/>
        <c:crosses val="autoZero"/>
        <c:auto val="1"/>
        <c:lblAlgn val="ctr"/>
        <c:lblOffset val="100"/>
        <c:tickLblSkip val="1"/>
        <c:noMultiLvlLbl val="0"/>
      </c:catAx>
      <c:valAx>
        <c:axId val="317156736"/>
        <c:scaling>
          <c:orientation val="minMax"/>
        </c:scaling>
        <c:delete val="0"/>
        <c:axPos val="l"/>
        <c:numFmt formatCode="0.0" sourceLinked="1"/>
        <c:majorTickMark val="none"/>
        <c:minorTickMark val="none"/>
        <c:tickLblPos val="nextTo"/>
        <c:spPr>
          <a:ln>
            <a:noFill/>
          </a:ln>
        </c:spPr>
        <c:txPr>
          <a:bodyPr rot="0" vert="horz"/>
          <a:lstStyle/>
          <a:p>
            <a:pPr>
              <a:defRPr sz="900" b="0" i="0" u="none" strike="noStrike" baseline="0">
                <a:solidFill>
                  <a:srgbClr val="000000"/>
                </a:solidFill>
                <a:latin typeface="GHEA Grapalat"/>
                <a:ea typeface="GHEA Grapalat"/>
                <a:cs typeface="GHEA Grapalat"/>
              </a:defRPr>
            </a:pPr>
            <a:endParaRPr lang="en-US"/>
          </a:p>
        </c:txPr>
        <c:crossAx val="317155200"/>
        <c:crosses val="autoZero"/>
        <c:crossBetween val="between"/>
      </c:valAx>
      <c:valAx>
        <c:axId val="1863513247"/>
        <c:scaling>
          <c:orientation val="minMax"/>
        </c:scaling>
        <c:delete val="0"/>
        <c:axPos val="r"/>
        <c:majorGridlines>
          <c:spPr>
            <a:ln>
              <a:solidFill>
                <a:srgbClr val="A5A5A5">
                  <a:lumMod val="40000"/>
                  <a:lumOff val="60000"/>
                </a:srgbClr>
              </a:solidFill>
            </a:ln>
          </c:spPr>
        </c:majorGridlines>
        <c:numFmt formatCode="0.0" sourceLinked="1"/>
        <c:majorTickMark val="out"/>
        <c:minorTickMark val="none"/>
        <c:tickLblPos val="nextTo"/>
        <c:spPr>
          <a:ln>
            <a:noFill/>
          </a:ln>
        </c:spPr>
        <c:crossAx val="1863500351"/>
        <c:crosses val="max"/>
        <c:crossBetween val="between"/>
      </c:valAx>
      <c:catAx>
        <c:axId val="1863500351"/>
        <c:scaling>
          <c:orientation val="minMax"/>
        </c:scaling>
        <c:delete val="1"/>
        <c:axPos val="b"/>
        <c:numFmt formatCode="General" sourceLinked="1"/>
        <c:majorTickMark val="out"/>
        <c:minorTickMark val="none"/>
        <c:tickLblPos val="nextTo"/>
        <c:crossAx val="1863513247"/>
        <c:crosses val="autoZero"/>
        <c:auto val="1"/>
        <c:lblAlgn val="ctr"/>
        <c:lblOffset val="100"/>
        <c:noMultiLvlLbl val="0"/>
      </c:catAx>
      <c:spPr>
        <a:ln w="25332">
          <a:noFill/>
        </a:ln>
      </c:spPr>
    </c:plotArea>
    <c:legend>
      <c:legendPos val="r"/>
      <c:layout>
        <c:manualLayout>
          <c:xMode val="edge"/>
          <c:yMode val="edge"/>
          <c:x val="5.1009457478459344E-3"/>
          <c:y val="0.89607294663388315"/>
          <c:w val="0.95524351924587592"/>
          <c:h val="0.10392705336611685"/>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solidFill>
        <a:srgbClr val="A5A5A5">
          <a:alpha val="30000"/>
        </a:srgbClr>
      </a:solidFill>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9.0829931972789116E-2"/>
          <c:w val="0.89217968048592944"/>
          <c:h val="0.57317176262058156"/>
        </c:manualLayout>
      </c:layout>
      <c:barChart>
        <c:barDir val="col"/>
        <c:grouping val="stacked"/>
        <c:varyColors val="0"/>
        <c:ser>
          <c:idx val="0"/>
          <c:order val="0"/>
          <c:tx>
            <c:strRef>
              <c:f>Sheet1!$C$1</c:f>
              <c:strCache>
                <c:ptCount val="1"/>
                <c:pt idx="0">
                  <c:v>Կապիտալ ծախսեր, %</c:v>
                </c:pt>
              </c:strCache>
            </c:strRef>
          </c:tx>
          <c:spPr>
            <a:solidFill>
              <a:srgbClr val="4472C4">
                <a:lumMod val="40000"/>
                <a:lumOff val="60000"/>
              </a:srgbClr>
            </a:solidFill>
            <a:ln>
              <a:solidFill>
                <a:srgbClr val="A5A5A5">
                  <a:lumMod val="40000"/>
                  <a:lumOff val="60000"/>
                </a:srgbClr>
              </a:solidFill>
            </a:ln>
          </c:spPr>
          <c:invertIfNegative val="0"/>
          <c:cat>
            <c:multiLvlStrRef>
              <c:f>Sheet1!$A$2:$B$21</c:f>
              <c:multiLvlStrCache>
                <c:ptCount val="2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lvl>
                <c:lvl>
                  <c:pt idx="0">
                    <c:v>2022</c:v>
                  </c:pt>
                  <c:pt idx="12">
                    <c:v>2023</c:v>
                  </c:pt>
                </c:lvl>
              </c:multiLvlStrCache>
            </c:multiLvlStrRef>
          </c:cat>
          <c:val>
            <c:numRef>
              <c:f>Sheet1!$C$2:$C$21</c:f>
              <c:numCache>
                <c:formatCode>0.0</c:formatCode>
                <c:ptCount val="20"/>
                <c:pt idx="0">
                  <c:v>9.1425547349560912</c:v>
                </c:pt>
                <c:pt idx="1">
                  <c:v>4.4295531970332629</c:v>
                </c:pt>
                <c:pt idx="2">
                  <c:v>-3.5657095864963337</c:v>
                </c:pt>
                <c:pt idx="3">
                  <c:v>1.4904540440588883</c:v>
                </c:pt>
                <c:pt idx="4">
                  <c:v>1.639518266857547</c:v>
                </c:pt>
                <c:pt idx="5">
                  <c:v>2.3041779007349392</c:v>
                </c:pt>
                <c:pt idx="6">
                  <c:v>2.39130759327734</c:v>
                </c:pt>
                <c:pt idx="7">
                  <c:v>3.6295481147845772</c:v>
                </c:pt>
                <c:pt idx="8">
                  <c:v>3.5832078012524891</c:v>
                </c:pt>
                <c:pt idx="9">
                  <c:v>3.6098867876512424</c:v>
                </c:pt>
                <c:pt idx="10">
                  <c:v>7.9562336897087924</c:v>
                </c:pt>
                <c:pt idx="11">
                  <c:v>8.1850143061454812</c:v>
                </c:pt>
                <c:pt idx="12">
                  <c:v>-4.6897051454313816</c:v>
                </c:pt>
                <c:pt idx="13">
                  <c:v>-3.3005162320076487</c:v>
                </c:pt>
                <c:pt idx="14">
                  <c:v>-1.5383530311647726</c:v>
                </c:pt>
                <c:pt idx="15">
                  <c:v>1.5999936524979186</c:v>
                </c:pt>
                <c:pt idx="16">
                  <c:v>1.7080740388690328</c:v>
                </c:pt>
                <c:pt idx="17">
                  <c:v>1.9153938439770533</c:v>
                </c:pt>
                <c:pt idx="18">
                  <c:v>2.9275538748615961</c:v>
                </c:pt>
                <c:pt idx="19">
                  <c:v>3.3959027337477083</c:v>
                </c:pt>
              </c:numCache>
            </c:numRef>
          </c:val>
          <c:extLst>
            <c:ext xmlns:c16="http://schemas.microsoft.com/office/drawing/2014/chart" uri="{C3380CC4-5D6E-409C-BE32-E72D297353CC}">
              <c16:uniqueId val="{00000000-4680-4E80-B408-71ABCF87A19B}"/>
            </c:ext>
          </c:extLst>
        </c:ser>
        <c:ser>
          <c:idx val="2"/>
          <c:order val="1"/>
          <c:tx>
            <c:strRef>
              <c:f>Sheet1!$D$1</c:f>
              <c:strCache>
                <c:ptCount val="1"/>
                <c:pt idx="0">
                  <c:v>ընթացիկ ծախսեր, %</c:v>
                </c:pt>
              </c:strCache>
            </c:strRef>
          </c:tx>
          <c:spPr>
            <a:solidFill>
              <a:srgbClr val="4472C4"/>
            </a:solidFill>
          </c:spPr>
          <c:invertIfNegative val="0"/>
          <c:cat>
            <c:multiLvlStrRef>
              <c:f>Sheet1!$A$2:$B$21</c:f>
              <c:multiLvlStrCache>
                <c:ptCount val="2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lvl>
                <c:lvl>
                  <c:pt idx="0">
                    <c:v>2022</c:v>
                  </c:pt>
                  <c:pt idx="12">
                    <c:v>2023</c:v>
                  </c:pt>
                </c:lvl>
              </c:multiLvlStrCache>
            </c:multiLvlStrRef>
          </c:cat>
          <c:val>
            <c:numRef>
              <c:f>Sheet1!$D$2:$D$21</c:f>
              <c:numCache>
                <c:formatCode>0.0</c:formatCode>
                <c:ptCount val="20"/>
                <c:pt idx="0">
                  <c:v>16.613533533184647</c:v>
                </c:pt>
                <c:pt idx="1">
                  <c:v>9.4936229013399043</c:v>
                </c:pt>
                <c:pt idx="2">
                  <c:v>1.5715294205918653</c:v>
                </c:pt>
                <c:pt idx="3">
                  <c:v>1.823891716401125</c:v>
                </c:pt>
                <c:pt idx="4">
                  <c:v>3.1604587240203283</c:v>
                </c:pt>
                <c:pt idx="5">
                  <c:v>2.7745815489374093</c:v>
                </c:pt>
                <c:pt idx="6">
                  <c:v>1.7208724017844197</c:v>
                </c:pt>
                <c:pt idx="7">
                  <c:v>2.6217330685818809</c:v>
                </c:pt>
                <c:pt idx="8">
                  <c:v>3.8436321255918586</c:v>
                </c:pt>
                <c:pt idx="9">
                  <c:v>4.2939386083779816</c:v>
                </c:pt>
                <c:pt idx="10">
                  <c:v>4.0685095591003924</c:v>
                </c:pt>
                <c:pt idx="11">
                  <c:v>3.7038904973197657</c:v>
                </c:pt>
                <c:pt idx="12">
                  <c:v>10.541672456010337</c:v>
                </c:pt>
                <c:pt idx="13">
                  <c:v>9.673775523733104</c:v>
                </c:pt>
                <c:pt idx="14">
                  <c:v>8.0503493866000397</c:v>
                </c:pt>
                <c:pt idx="15">
                  <c:v>0.135869347033865</c:v>
                </c:pt>
                <c:pt idx="16">
                  <c:v>10.963978313233877</c:v>
                </c:pt>
                <c:pt idx="17">
                  <c:v>10.831702087053829</c:v>
                </c:pt>
                <c:pt idx="18">
                  <c:v>10.103846253762322</c:v>
                </c:pt>
                <c:pt idx="19">
                  <c:v>10.312441020697616</c:v>
                </c:pt>
              </c:numCache>
            </c:numRef>
          </c:val>
          <c:extLst>
            <c:ext xmlns:c16="http://schemas.microsoft.com/office/drawing/2014/chart" uri="{C3380CC4-5D6E-409C-BE32-E72D297353CC}">
              <c16:uniqueId val="{00000001-4680-4E80-B408-71ABCF87A19B}"/>
            </c:ext>
          </c:extLst>
        </c:ser>
        <c:dLbls>
          <c:showLegendKey val="0"/>
          <c:showVal val="0"/>
          <c:showCatName val="0"/>
          <c:showSerName val="0"/>
          <c:showPercent val="0"/>
          <c:showBubbleSize val="0"/>
        </c:dLbls>
        <c:gapWidth val="150"/>
        <c:overlap val="100"/>
        <c:axId val="317155200"/>
        <c:axId val="317156736"/>
      </c:barChart>
      <c:lineChart>
        <c:grouping val="standard"/>
        <c:varyColors val="0"/>
        <c:ser>
          <c:idx val="1"/>
          <c:order val="2"/>
          <c:tx>
            <c:strRef>
              <c:f>Sheet1!$E$1</c:f>
              <c:strCache>
                <c:ptCount val="1"/>
                <c:pt idx="0">
                  <c:v>ծախսերի աճը, %</c:v>
                </c:pt>
              </c:strCache>
            </c:strRef>
          </c:tx>
          <c:spPr>
            <a:ln>
              <a:solidFill>
                <a:srgbClr val="ED7D31"/>
              </a:solidFill>
            </a:ln>
          </c:spPr>
          <c:marker>
            <c:symbol val="none"/>
          </c:marker>
          <c:cat>
            <c:multiLvlStrRef>
              <c:f>Sheet1!$A$2:$C$21</c:f>
              <c:multiLvlStrCache>
                <c:ptCount val="20"/>
                <c:lvl>
                  <c:pt idx="0">
                    <c:v>9.1</c:v>
                  </c:pt>
                  <c:pt idx="1">
                    <c:v>4.4</c:v>
                  </c:pt>
                  <c:pt idx="2">
                    <c:v>-3.6</c:v>
                  </c:pt>
                  <c:pt idx="3">
                    <c:v>1.5</c:v>
                  </c:pt>
                  <c:pt idx="4">
                    <c:v>1.6</c:v>
                  </c:pt>
                  <c:pt idx="5">
                    <c:v>2.3</c:v>
                  </c:pt>
                  <c:pt idx="6">
                    <c:v>2.4</c:v>
                  </c:pt>
                  <c:pt idx="7">
                    <c:v>3.6</c:v>
                  </c:pt>
                  <c:pt idx="8">
                    <c:v>3.6</c:v>
                  </c:pt>
                  <c:pt idx="9">
                    <c:v>3.6</c:v>
                  </c:pt>
                  <c:pt idx="10">
                    <c:v>8.0</c:v>
                  </c:pt>
                  <c:pt idx="11">
                    <c:v>8.2</c:v>
                  </c:pt>
                  <c:pt idx="12">
                    <c:v>-4.7</c:v>
                  </c:pt>
                  <c:pt idx="13">
                    <c:v>-3.3</c:v>
                  </c:pt>
                  <c:pt idx="14">
                    <c:v>-1.5</c:v>
                  </c:pt>
                  <c:pt idx="15">
                    <c:v>1.6</c:v>
                  </c:pt>
                  <c:pt idx="16">
                    <c:v>1.7</c:v>
                  </c:pt>
                  <c:pt idx="17">
                    <c:v>1.9</c:v>
                  </c:pt>
                  <c:pt idx="18">
                    <c:v>2.9</c:v>
                  </c:pt>
                  <c:pt idx="19">
                    <c:v>3.4</c:v>
                  </c:pt>
                </c:lvl>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lvl>
                <c:lvl>
                  <c:pt idx="0">
                    <c:v>2022</c:v>
                  </c:pt>
                  <c:pt idx="12">
                    <c:v>2023</c:v>
                  </c:pt>
                </c:lvl>
              </c:multiLvlStrCache>
            </c:multiLvlStrRef>
          </c:cat>
          <c:val>
            <c:numRef>
              <c:f>Sheet1!$E$2:$E$21</c:f>
              <c:numCache>
                <c:formatCode>0.0</c:formatCode>
                <c:ptCount val="20"/>
                <c:pt idx="0">
                  <c:v>25.756088268140733</c:v>
                </c:pt>
                <c:pt idx="1">
                  <c:v>13.923176098373146</c:v>
                </c:pt>
                <c:pt idx="2">
                  <c:v>-1.9941801659044811</c:v>
                </c:pt>
                <c:pt idx="3">
                  <c:v>3.3143457604600148</c:v>
                </c:pt>
                <c:pt idx="4">
                  <c:v>4.7999769908778802</c:v>
                </c:pt>
                <c:pt idx="5">
                  <c:v>5.0787594496723623</c:v>
                </c:pt>
                <c:pt idx="6">
                  <c:v>4.112179995061795</c:v>
                </c:pt>
                <c:pt idx="7">
                  <c:v>6.2512811833664435</c:v>
                </c:pt>
                <c:pt idx="8">
                  <c:v>7.4268399268443668</c:v>
                </c:pt>
                <c:pt idx="9">
                  <c:v>7.9038253960292346</c:v>
                </c:pt>
                <c:pt idx="10">
                  <c:v>12.02474324880917</c:v>
                </c:pt>
                <c:pt idx="11">
                  <c:v>11.888904803465223</c:v>
                </c:pt>
                <c:pt idx="12">
                  <c:v>5.8519673105789707</c:v>
                </c:pt>
                <c:pt idx="13">
                  <c:v>6.3732592917254465</c:v>
                </c:pt>
                <c:pt idx="14">
                  <c:v>6.5119963554352713</c:v>
                </c:pt>
                <c:pt idx="15">
                  <c:v>1.73586299953179</c:v>
                </c:pt>
                <c:pt idx="16">
                  <c:v>12.672052352102909</c:v>
                </c:pt>
                <c:pt idx="17">
                  <c:v>12.747095931030902</c:v>
                </c:pt>
                <c:pt idx="18">
                  <c:v>13.031400128623913</c:v>
                </c:pt>
                <c:pt idx="19">
                  <c:v>13.708343754445323</c:v>
                </c:pt>
              </c:numCache>
            </c:numRef>
          </c:val>
          <c:smooth val="0"/>
          <c:extLst>
            <c:ext xmlns:c16="http://schemas.microsoft.com/office/drawing/2014/chart" uri="{C3380CC4-5D6E-409C-BE32-E72D297353CC}">
              <c16:uniqueId val="{00000002-4680-4E80-B408-71ABCF87A19B}"/>
            </c:ext>
          </c:extLst>
        </c:ser>
        <c:dLbls>
          <c:showLegendKey val="0"/>
          <c:showVal val="0"/>
          <c:showCatName val="0"/>
          <c:showSerName val="0"/>
          <c:showPercent val="0"/>
          <c:showBubbleSize val="0"/>
        </c:dLbls>
        <c:marker val="1"/>
        <c:smooth val="0"/>
        <c:axId val="317155200"/>
        <c:axId val="317156736"/>
      </c:lineChart>
      <c:catAx>
        <c:axId val="317155200"/>
        <c:scaling>
          <c:orientation val="minMax"/>
        </c:scaling>
        <c:delete val="0"/>
        <c:axPos val="b"/>
        <c:numFmt formatCode="General" sourceLinked="0"/>
        <c:majorTickMark val="none"/>
        <c:minorTickMark val="none"/>
        <c:tickLblPos val="low"/>
        <c:txPr>
          <a:bodyPr rot="0" vert="horz"/>
          <a:lstStyle/>
          <a:p>
            <a:pPr>
              <a:defRPr sz="800" b="0" i="0" u="none" strike="noStrike" baseline="0">
                <a:solidFill>
                  <a:srgbClr val="000000"/>
                </a:solidFill>
                <a:latin typeface="GHEA Grapalat"/>
                <a:ea typeface="GHEA Grapalat"/>
                <a:cs typeface="GHEA Grapalat"/>
              </a:defRPr>
            </a:pPr>
            <a:endParaRPr lang="en-US"/>
          </a:p>
        </c:txPr>
        <c:crossAx val="317156736"/>
        <c:crosses val="autoZero"/>
        <c:auto val="1"/>
        <c:lblAlgn val="ctr"/>
        <c:lblOffset val="100"/>
        <c:tickLblSkip val="1"/>
        <c:noMultiLvlLbl val="0"/>
      </c:catAx>
      <c:valAx>
        <c:axId val="317156736"/>
        <c:scaling>
          <c:orientation val="minMax"/>
          <c:max val="26"/>
          <c:min val="-5"/>
        </c:scaling>
        <c:delete val="0"/>
        <c:axPos val="l"/>
        <c:majorGridlines>
          <c:spPr>
            <a:ln>
              <a:solidFill>
                <a:srgbClr val="A5A5A5">
                  <a:lumMod val="40000"/>
                  <a:lumOff val="60000"/>
                </a:srgbClr>
              </a:solidFill>
            </a:ln>
          </c:spPr>
        </c:majorGridlines>
        <c:numFmt formatCode="0.0" sourceLinked="1"/>
        <c:majorTickMark val="none"/>
        <c:minorTickMark val="none"/>
        <c:tickLblPos val="nextTo"/>
        <c:spPr>
          <a:ln>
            <a:noFill/>
          </a:ln>
        </c:spPr>
        <c:txPr>
          <a:bodyPr rot="0" vert="horz"/>
          <a:lstStyle/>
          <a:p>
            <a:pPr>
              <a:defRPr sz="900" b="0" i="0" u="none" strike="noStrike" baseline="0">
                <a:solidFill>
                  <a:srgbClr val="000000"/>
                </a:solidFill>
                <a:latin typeface="GHEA Grapalat"/>
                <a:ea typeface="GHEA Grapalat"/>
                <a:cs typeface="GHEA Grapalat"/>
              </a:defRPr>
            </a:pPr>
            <a:endParaRPr lang="en-US"/>
          </a:p>
        </c:txPr>
        <c:crossAx val="317155200"/>
        <c:crosses val="autoZero"/>
        <c:crossBetween val="between"/>
        <c:majorUnit val="3"/>
        <c:minorUnit val="1"/>
      </c:valAx>
      <c:spPr>
        <a:ln w="25332">
          <a:noFill/>
        </a:ln>
      </c:spPr>
    </c:plotArea>
    <c:legend>
      <c:legendPos val="r"/>
      <c:layout>
        <c:manualLayout>
          <c:xMode val="edge"/>
          <c:yMode val="edge"/>
          <c:x val="5.1009457478459344E-3"/>
          <c:y val="0.8311378123189147"/>
          <c:w val="0.96377101970843593"/>
          <c:h val="0.16886218768108535"/>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solidFill>
        <a:srgbClr val="A5A5A5">
          <a:alpha val="30000"/>
        </a:srgbClr>
      </a:solidFill>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97139780604335"/>
          <c:y val="4.1079906678331876E-2"/>
          <c:w val="0.784643986809341"/>
          <c:h val="0.69960069991251084"/>
        </c:manualLayout>
      </c:layout>
      <c:barChart>
        <c:barDir val="col"/>
        <c:grouping val="clustered"/>
        <c:varyColors val="0"/>
        <c:ser>
          <c:idx val="0"/>
          <c:order val="0"/>
          <c:tx>
            <c:strRef>
              <c:f>Sheet1!$B$1</c:f>
              <c:strCache>
                <c:ptCount val="1"/>
                <c:pt idx="0">
                  <c:v>Եկամուտներ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Sheet1!$A$2:$A$9</c:f>
              <c:numCache>
                <c:formatCode>0</c:formatCode>
                <c:ptCount val="7"/>
                <c:pt idx="0">
                  <c:v>2018</c:v>
                </c:pt>
                <c:pt idx="1">
                  <c:v>2019</c:v>
                </c:pt>
                <c:pt idx="2">
                  <c:v>2020</c:v>
                </c:pt>
                <c:pt idx="3">
                  <c:v>2021</c:v>
                </c:pt>
                <c:pt idx="4">
                  <c:v>2022</c:v>
                </c:pt>
                <c:pt idx="5">
                  <c:v>2023</c:v>
                </c:pt>
                <c:pt idx="6">
                  <c:v>2024</c:v>
                </c:pt>
              </c:numCache>
            </c:numRef>
          </c:cat>
          <c:val>
            <c:numRef>
              <c:f>Sheet1!$B$2:$B$9</c:f>
              <c:numCache>
                <c:formatCode>#,##0</c:formatCode>
                <c:ptCount val="7"/>
                <c:pt idx="0">
                  <c:v>1346.370483659</c:v>
                </c:pt>
                <c:pt idx="1">
                  <c:v>1573.3809515</c:v>
                </c:pt>
                <c:pt idx="2">
                  <c:v>1574.000385932</c:v>
                </c:pt>
                <c:pt idx="3">
                  <c:v>1706.5738292499998</c:v>
                </c:pt>
                <c:pt idx="4">
                  <c:v>2099.5970693249997</c:v>
                </c:pt>
                <c:pt idx="5">
                  <c:v>2408.0688221677483</c:v>
                </c:pt>
                <c:pt idx="6">
                  <c:v>2723.5924310000005</c:v>
                </c:pt>
              </c:numCache>
            </c:numRef>
          </c:val>
          <c:extLst>
            <c:ext xmlns:c16="http://schemas.microsoft.com/office/drawing/2014/chart" uri="{C3380CC4-5D6E-409C-BE32-E72D297353CC}">
              <c16:uniqueId val="{00000000-C96F-477D-862C-8BA0332A4CA9}"/>
            </c:ext>
          </c:extLst>
        </c:ser>
        <c:ser>
          <c:idx val="1"/>
          <c:order val="1"/>
          <c:tx>
            <c:strRef>
              <c:f>Sheet1!$C$1</c:f>
              <c:strCache>
                <c:ptCount val="1"/>
                <c:pt idx="0">
                  <c:v>Ծախսեր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Sheet1!$A$2:$A$9</c:f>
              <c:numCache>
                <c:formatCode>0</c:formatCode>
                <c:ptCount val="7"/>
                <c:pt idx="0">
                  <c:v>2018</c:v>
                </c:pt>
                <c:pt idx="1">
                  <c:v>2019</c:v>
                </c:pt>
                <c:pt idx="2">
                  <c:v>2020</c:v>
                </c:pt>
                <c:pt idx="3">
                  <c:v>2021</c:v>
                </c:pt>
                <c:pt idx="4">
                  <c:v>2022</c:v>
                </c:pt>
                <c:pt idx="5">
                  <c:v>2023</c:v>
                </c:pt>
                <c:pt idx="6">
                  <c:v>2024</c:v>
                </c:pt>
              </c:numCache>
            </c:numRef>
          </c:cat>
          <c:val>
            <c:numRef>
              <c:f>Sheet1!$C$2:$C$9</c:f>
              <c:numCache>
                <c:formatCode>#,##0</c:formatCode>
                <c:ptCount val="7"/>
                <c:pt idx="0">
                  <c:v>1451.7629042380001</c:v>
                </c:pt>
                <c:pt idx="1">
                  <c:v>1637.3446545500001</c:v>
                </c:pt>
                <c:pt idx="2">
                  <c:v>1907.9921401200002</c:v>
                </c:pt>
                <c:pt idx="3">
                  <c:v>2027.0433564700002</c:v>
                </c:pt>
                <c:pt idx="4">
                  <c:v>2279.1271803099999</c:v>
                </c:pt>
                <c:pt idx="5">
                  <c:v>2653.3680658134622</c:v>
                </c:pt>
                <c:pt idx="6">
                  <c:v>3206.5174996400001</c:v>
                </c:pt>
              </c:numCache>
            </c:numRef>
          </c:val>
          <c:extLst>
            <c:ext xmlns:c16="http://schemas.microsoft.com/office/drawing/2014/chart" uri="{C3380CC4-5D6E-409C-BE32-E72D297353CC}">
              <c16:uniqueId val="{00000001-C96F-477D-862C-8BA0332A4CA9}"/>
            </c:ext>
          </c:extLst>
        </c:ser>
        <c:ser>
          <c:idx val="2"/>
          <c:order val="2"/>
          <c:tx>
            <c:strRef>
              <c:f>Sheet1!$D$1</c:f>
              <c:strCache>
                <c:ptCount val="1"/>
                <c:pt idx="0">
                  <c:v>Եկամուտներ, առանց հիպոթեկի</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0</c:formatCode>
                <c:ptCount val="7"/>
                <c:pt idx="0">
                  <c:v>2018</c:v>
                </c:pt>
                <c:pt idx="1">
                  <c:v>2019</c:v>
                </c:pt>
                <c:pt idx="2">
                  <c:v>2020</c:v>
                </c:pt>
                <c:pt idx="3">
                  <c:v>2021</c:v>
                </c:pt>
                <c:pt idx="4">
                  <c:v>2022</c:v>
                </c:pt>
                <c:pt idx="5">
                  <c:v>2023</c:v>
                </c:pt>
                <c:pt idx="6">
                  <c:v>2024</c:v>
                </c:pt>
              </c:numCache>
            </c:numRef>
          </c:cat>
          <c:val>
            <c:numRef>
              <c:f>Sheet1!$D$2:$D$9</c:f>
            </c:numRef>
          </c:val>
          <c:extLst>
            <c:ext xmlns:c16="http://schemas.microsoft.com/office/drawing/2014/chart" uri="{C3380CC4-5D6E-409C-BE32-E72D297353CC}">
              <c16:uniqueId val="{00000002-C96F-477D-862C-8BA0332A4CA9}"/>
            </c:ext>
          </c:extLst>
        </c:ser>
        <c:ser>
          <c:idx val="5"/>
          <c:order val="5"/>
          <c:tx>
            <c:strRef>
              <c:f>Sheet1!$G$1</c:f>
              <c:strCache>
                <c:ptCount val="1"/>
                <c:pt idx="0">
                  <c:v>Ծախսեր, առանց առանց հիպոթեկի</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0</c:formatCode>
                <c:ptCount val="7"/>
                <c:pt idx="0">
                  <c:v>2018</c:v>
                </c:pt>
                <c:pt idx="1">
                  <c:v>2019</c:v>
                </c:pt>
                <c:pt idx="2">
                  <c:v>2020</c:v>
                </c:pt>
                <c:pt idx="3">
                  <c:v>2021</c:v>
                </c:pt>
                <c:pt idx="4">
                  <c:v>2022</c:v>
                </c:pt>
                <c:pt idx="5">
                  <c:v>2023</c:v>
                </c:pt>
                <c:pt idx="6">
                  <c:v>2024</c:v>
                </c:pt>
              </c:numCache>
            </c:numRef>
          </c:cat>
          <c:val>
            <c:numRef>
              <c:f>Sheet1!$G$2:$G$9</c:f>
            </c:numRef>
          </c:val>
          <c:extLst>
            <c:ext xmlns:c16="http://schemas.microsoft.com/office/drawing/2014/chart" uri="{C3380CC4-5D6E-409C-BE32-E72D297353CC}">
              <c16:uniqueId val="{00000003-C96F-477D-862C-8BA0332A4CA9}"/>
            </c:ext>
          </c:extLst>
        </c:ser>
        <c:ser>
          <c:idx val="3"/>
          <c:order val="3"/>
          <c:tx>
            <c:strRef>
              <c:f>Sheet1!$E$1</c:f>
              <c:strCache>
                <c:ptCount val="1"/>
                <c:pt idx="0">
                  <c:v>Պակասուրդ</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Sheet1!$A$2:$A$9</c:f>
              <c:numCache>
                <c:formatCode>0</c:formatCode>
                <c:ptCount val="7"/>
                <c:pt idx="0">
                  <c:v>2018</c:v>
                </c:pt>
                <c:pt idx="1">
                  <c:v>2019</c:v>
                </c:pt>
                <c:pt idx="2">
                  <c:v>2020</c:v>
                </c:pt>
                <c:pt idx="3">
                  <c:v>2021</c:v>
                </c:pt>
                <c:pt idx="4">
                  <c:v>2022</c:v>
                </c:pt>
                <c:pt idx="5">
                  <c:v>2023</c:v>
                </c:pt>
                <c:pt idx="6">
                  <c:v>2024</c:v>
                </c:pt>
              </c:numCache>
            </c:numRef>
          </c:cat>
          <c:val>
            <c:numRef>
              <c:f>Sheet1!$E$2:$E$9</c:f>
              <c:numCache>
                <c:formatCode>#,##0</c:formatCode>
                <c:ptCount val="7"/>
                <c:pt idx="0">
                  <c:v>-105.39242057900015</c:v>
                </c:pt>
                <c:pt idx="1">
                  <c:v>-63.963703050000049</c:v>
                </c:pt>
                <c:pt idx="2">
                  <c:v>-333.99175418800019</c:v>
                </c:pt>
                <c:pt idx="3">
                  <c:v>-320.46952722000037</c:v>
                </c:pt>
                <c:pt idx="4">
                  <c:v>-179.53011098500019</c:v>
                </c:pt>
                <c:pt idx="5">
                  <c:v>-245.29924364571389</c:v>
                </c:pt>
                <c:pt idx="6">
                  <c:v>-482.92506863999961</c:v>
                </c:pt>
              </c:numCache>
            </c:numRef>
          </c:val>
          <c:extLst>
            <c:ext xmlns:c16="http://schemas.microsoft.com/office/drawing/2014/chart" uri="{C3380CC4-5D6E-409C-BE32-E72D297353CC}">
              <c16:uniqueId val="{00000004-C96F-477D-862C-8BA0332A4CA9}"/>
            </c:ext>
          </c:extLst>
        </c:ser>
        <c:ser>
          <c:idx val="4"/>
          <c:order val="4"/>
          <c:tx>
            <c:strRef>
              <c:f>Sheet1!$F$1</c:f>
              <c:strCache>
                <c:ptCount val="1"/>
                <c:pt idx="0">
                  <c:v>Եկ․ հարկի վեր․</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Sheet1!$A$2:$A$9</c:f>
              <c:numCache>
                <c:formatCode>0</c:formatCode>
                <c:ptCount val="7"/>
                <c:pt idx="0">
                  <c:v>2018</c:v>
                </c:pt>
                <c:pt idx="1">
                  <c:v>2019</c:v>
                </c:pt>
                <c:pt idx="2">
                  <c:v>2020</c:v>
                </c:pt>
                <c:pt idx="3">
                  <c:v>2021</c:v>
                </c:pt>
                <c:pt idx="4">
                  <c:v>2022</c:v>
                </c:pt>
                <c:pt idx="5">
                  <c:v>2023</c:v>
                </c:pt>
                <c:pt idx="6">
                  <c:v>2024</c:v>
                </c:pt>
              </c:numCache>
            </c:numRef>
          </c:cat>
          <c:val>
            <c:numRef>
              <c:f>Sheet1!$F$2:$F$9</c:f>
              <c:numCache>
                <c:formatCode>#,##0</c:formatCode>
                <c:ptCount val="7"/>
                <c:pt idx="0">
                  <c:v>4.6798927580000509</c:v>
                </c:pt>
                <c:pt idx="1">
                  <c:v>7.9077921000000515</c:v>
                </c:pt>
                <c:pt idx="2">
                  <c:v>13.344998000000032</c:v>
                </c:pt>
                <c:pt idx="3">
                  <c:v>22.742366100000027</c:v>
                </c:pt>
                <c:pt idx="4">
                  <c:v>36.501726699999836</c:v>
                </c:pt>
                <c:pt idx="5">
                  <c:v>53</c:v>
                </c:pt>
                <c:pt idx="6">
                  <c:v>72</c:v>
                </c:pt>
              </c:numCache>
            </c:numRef>
          </c:val>
          <c:extLst>
            <c:ext xmlns:c16="http://schemas.microsoft.com/office/drawing/2014/chart" uri="{C3380CC4-5D6E-409C-BE32-E72D297353CC}">
              <c16:uniqueId val="{00000005-C96F-477D-862C-8BA0332A4CA9}"/>
            </c:ext>
          </c:extLst>
        </c:ser>
        <c:dLbls>
          <c:dLblPos val="outEnd"/>
          <c:showLegendKey val="0"/>
          <c:showVal val="1"/>
          <c:showCatName val="0"/>
          <c:showSerName val="0"/>
          <c:showPercent val="0"/>
          <c:showBubbleSize val="0"/>
        </c:dLbls>
        <c:gapWidth val="71"/>
        <c:axId val="438916224"/>
        <c:axId val="438917760"/>
      </c:barChart>
      <c:catAx>
        <c:axId val="438916224"/>
        <c:scaling>
          <c:orientation val="minMax"/>
        </c:scaling>
        <c:delete val="0"/>
        <c:axPos val="b"/>
        <c:numFmt formatCode="0"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438917760"/>
        <c:crosses val="autoZero"/>
        <c:auto val="1"/>
        <c:lblAlgn val="ctr"/>
        <c:lblOffset val="100"/>
        <c:noMultiLvlLbl val="0"/>
      </c:catAx>
      <c:valAx>
        <c:axId val="438917760"/>
        <c:scaling>
          <c:orientation val="minMax"/>
          <c:max val="3300"/>
          <c:min val="-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438916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3">
    <c:autoUpdate val="0"/>
  </c:externalData>
  <c:userShapes r:id="rId4"/>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46295207245282"/>
          <c:y val="5.203364604466193E-2"/>
          <c:w val="0.82012848918713577"/>
          <c:h val="0.67230936132983377"/>
        </c:manualLayout>
      </c:layout>
      <c:lineChart>
        <c:grouping val="standard"/>
        <c:varyColors val="0"/>
        <c:ser>
          <c:idx val="0"/>
          <c:order val="0"/>
          <c:tx>
            <c:strRef>
              <c:f>Sheet1!$B$1</c:f>
              <c:strCache>
                <c:ptCount val="1"/>
                <c:pt idx="0">
                  <c:v>Պակասուրդ, % ՀՆԱ-ում</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Sheet1!$A$2:$A$9</c:f>
              <c:numCache>
                <c:formatCode>0</c:formatCode>
                <c:ptCount val="7"/>
                <c:pt idx="0">
                  <c:v>2018</c:v>
                </c:pt>
                <c:pt idx="1">
                  <c:v>2019</c:v>
                </c:pt>
                <c:pt idx="2">
                  <c:v>2020</c:v>
                </c:pt>
                <c:pt idx="3">
                  <c:v>2021</c:v>
                </c:pt>
                <c:pt idx="4">
                  <c:v>2022</c:v>
                </c:pt>
                <c:pt idx="5">
                  <c:v>2023</c:v>
                </c:pt>
                <c:pt idx="6">
                  <c:v>2024</c:v>
                </c:pt>
              </c:numCache>
            </c:numRef>
          </c:cat>
          <c:val>
            <c:numRef>
              <c:f>Sheet1!$B$2:$B$9</c:f>
              <c:numCache>
                <c:formatCode>0.0</c:formatCode>
                <c:ptCount val="7"/>
                <c:pt idx="0">
                  <c:v>-1.7515672931246962</c:v>
                </c:pt>
                <c:pt idx="1">
                  <c:v>-0.97754175944701427</c:v>
                </c:pt>
                <c:pt idx="2">
                  <c:v>-5.4027340092352807</c:v>
                </c:pt>
                <c:pt idx="3">
                  <c:v>-4.5835199056240086</c:v>
                </c:pt>
                <c:pt idx="4">
                  <c:v>-2.1117623133763717</c:v>
                </c:pt>
                <c:pt idx="5">
                  <c:v>-2.5957287883581257</c:v>
                </c:pt>
                <c:pt idx="6">
                  <c:v>-4.592252272979569</c:v>
                </c:pt>
              </c:numCache>
            </c:numRef>
          </c:val>
          <c:smooth val="0"/>
          <c:extLst>
            <c:ext xmlns:c16="http://schemas.microsoft.com/office/drawing/2014/chart" uri="{C3380CC4-5D6E-409C-BE32-E72D297353CC}">
              <c16:uniqueId val="{00000000-294F-4964-806D-E6F87A7DB8EA}"/>
            </c:ext>
          </c:extLst>
        </c:ser>
        <c:ser>
          <c:idx val="1"/>
          <c:order val="1"/>
          <c:tx>
            <c:strRef>
              <c:f>Sheet1!$C$1</c:f>
              <c:strCache>
                <c:ptCount val="1"/>
                <c:pt idx="0">
                  <c:v>Առաջնային պակասուրդ, % ՀՆԱ-ում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5.163511187607573E-2"/>
                  <c:y val="0.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4F-4964-806D-E6F87A7DB8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0</c:formatCode>
                <c:ptCount val="7"/>
                <c:pt idx="0">
                  <c:v>2018</c:v>
                </c:pt>
                <c:pt idx="1">
                  <c:v>2019</c:v>
                </c:pt>
                <c:pt idx="2">
                  <c:v>2020</c:v>
                </c:pt>
                <c:pt idx="3">
                  <c:v>2021</c:v>
                </c:pt>
                <c:pt idx="4">
                  <c:v>2022</c:v>
                </c:pt>
                <c:pt idx="5">
                  <c:v>2023</c:v>
                </c:pt>
                <c:pt idx="6">
                  <c:v>2024</c:v>
                </c:pt>
              </c:numCache>
            </c:numRef>
          </c:cat>
          <c:val>
            <c:numRef>
              <c:f>Sheet1!$C$2:$C$9</c:f>
            </c:numRef>
          </c:val>
          <c:smooth val="0"/>
          <c:extLst>
            <c:ext xmlns:c16="http://schemas.microsoft.com/office/drawing/2014/chart" uri="{C3380CC4-5D6E-409C-BE32-E72D297353CC}">
              <c16:uniqueId val="{00000002-294F-4964-806D-E6F87A7DB8EA}"/>
            </c:ext>
          </c:extLst>
        </c:ser>
        <c:ser>
          <c:idx val="2"/>
          <c:order val="2"/>
          <c:tx>
            <c:strRef>
              <c:f>Sheet1!$D$1</c:f>
              <c:strCache>
                <c:ptCount val="1"/>
                <c:pt idx="0">
                  <c:v>Պակասուրդ և ԼՂ վարկավորում/ՀՆԱ, %</c:v>
                </c:pt>
              </c:strCache>
            </c:strRef>
          </c:tx>
          <c:spPr>
            <a:ln w="28575" cap="rnd">
              <a:solidFill>
                <a:schemeClr val="accent1"/>
              </a:solidFill>
              <a:prstDash val="sysDot"/>
              <a:round/>
            </a:ln>
            <a:effectLst/>
          </c:spPr>
          <c:marker>
            <c:symbol val="circle"/>
            <c:size val="4"/>
            <c:spPr>
              <a:solidFill>
                <a:schemeClr val="accent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Sheet1!$A$2:$A$9</c:f>
              <c:numCache>
                <c:formatCode>0</c:formatCode>
                <c:ptCount val="7"/>
                <c:pt idx="0">
                  <c:v>2018</c:v>
                </c:pt>
                <c:pt idx="1">
                  <c:v>2019</c:v>
                </c:pt>
                <c:pt idx="2">
                  <c:v>2020</c:v>
                </c:pt>
                <c:pt idx="3">
                  <c:v>2021</c:v>
                </c:pt>
                <c:pt idx="4">
                  <c:v>2022</c:v>
                </c:pt>
                <c:pt idx="5">
                  <c:v>2023</c:v>
                </c:pt>
                <c:pt idx="6">
                  <c:v>2024</c:v>
                </c:pt>
              </c:numCache>
            </c:numRef>
          </c:cat>
          <c:val>
            <c:numRef>
              <c:f>Sheet1!$D$2:$D$9</c:f>
              <c:numCache>
                <c:formatCode>0.0</c:formatCode>
                <c:ptCount val="7"/>
                <c:pt idx="0">
                  <c:v>-2.6062767570148195</c:v>
                </c:pt>
                <c:pt idx="1">
                  <c:v>-1.8616036681857835</c:v>
                </c:pt>
                <c:pt idx="2">
                  <c:v>-6.6179592248509387</c:v>
                </c:pt>
                <c:pt idx="3">
                  <c:v>-6.4250015642659637</c:v>
                </c:pt>
                <c:pt idx="4">
                  <c:v>-4.1820009219031302</c:v>
                </c:pt>
                <c:pt idx="5">
                  <c:v>-4.1116943332943281</c:v>
                </c:pt>
                <c:pt idx="6">
                  <c:v>-4.592252272979569</c:v>
                </c:pt>
              </c:numCache>
            </c:numRef>
          </c:val>
          <c:smooth val="0"/>
          <c:extLst>
            <c:ext xmlns:c16="http://schemas.microsoft.com/office/drawing/2014/chart" uri="{C3380CC4-5D6E-409C-BE32-E72D297353CC}">
              <c16:uniqueId val="{00000003-294F-4964-806D-E6F87A7DB8EA}"/>
            </c:ext>
          </c:extLst>
        </c:ser>
        <c:ser>
          <c:idx val="3"/>
          <c:order val="3"/>
          <c:tx>
            <c:strRef>
              <c:f>Sheet1!$E$1</c:f>
              <c:strCache>
                <c:ptCount val="1"/>
                <c:pt idx="0">
                  <c:v>Առաջնային պակասուրդ և ԼՂ վարկավորում, % ՀՆԱ-ում2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0</c:formatCode>
                <c:ptCount val="7"/>
                <c:pt idx="0">
                  <c:v>2018</c:v>
                </c:pt>
                <c:pt idx="1">
                  <c:v>2019</c:v>
                </c:pt>
                <c:pt idx="2">
                  <c:v>2020</c:v>
                </c:pt>
                <c:pt idx="3">
                  <c:v>2021</c:v>
                </c:pt>
                <c:pt idx="4">
                  <c:v>2022</c:v>
                </c:pt>
                <c:pt idx="5">
                  <c:v>2023</c:v>
                </c:pt>
                <c:pt idx="6">
                  <c:v>2024</c:v>
                </c:pt>
              </c:numCache>
            </c:numRef>
          </c:cat>
          <c:val>
            <c:numRef>
              <c:f>Sheet1!$E$2:$E$9</c:f>
            </c:numRef>
          </c:val>
          <c:smooth val="0"/>
          <c:extLst>
            <c:ext xmlns:c16="http://schemas.microsoft.com/office/drawing/2014/chart" uri="{C3380CC4-5D6E-409C-BE32-E72D297353CC}">
              <c16:uniqueId val="{00000004-294F-4964-806D-E6F87A7DB8EA}"/>
            </c:ext>
          </c:extLst>
        </c:ser>
        <c:dLbls>
          <c:showLegendKey val="0"/>
          <c:showVal val="0"/>
          <c:showCatName val="0"/>
          <c:showSerName val="0"/>
          <c:showPercent val="0"/>
          <c:showBubbleSize val="0"/>
        </c:dLbls>
        <c:marker val="1"/>
        <c:smooth val="0"/>
        <c:axId val="439182464"/>
        <c:axId val="439184000"/>
      </c:lineChart>
      <c:catAx>
        <c:axId val="439182464"/>
        <c:scaling>
          <c:orientation val="minMax"/>
        </c:scaling>
        <c:delete val="0"/>
        <c:axPos val="b"/>
        <c:numFmt formatCode="0"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39184000"/>
        <c:crosses val="autoZero"/>
        <c:auto val="1"/>
        <c:lblAlgn val="ctr"/>
        <c:lblOffset val="100"/>
        <c:noMultiLvlLbl val="0"/>
      </c:catAx>
      <c:valAx>
        <c:axId val="439184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391824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userShapes r:id="rId4"/>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Եկամուտների ազդակ</c:v>
                </c:pt>
              </c:strCache>
            </c:strRef>
          </c:tx>
          <c:spPr>
            <a:solidFill>
              <a:schemeClr val="accent1"/>
            </a:solidFill>
            <a:ln>
              <a:noFill/>
            </a:ln>
            <a:effectLst/>
          </c:spPr>
          <c:invertIfNegative val="0"/>
          <c:cat>
            <c:numRef>
              <c:f>Sheet1!$A$2:$A$8</c:f>
              <c:numCache>
                <c:formatCode>General</c:formatCode>
                <c:ptCount val="7"/>
                <c:pt idx="0">
                  <c:v>2018</c:v>
                </c:pt>
                <c:pt idx="1">
                  <c:v>2019</c:v>
                </c:pt>
                <c:pt idx="2">
                  <c:v>2020</c:v>
                </c:pt>
                <c:pt idx="3">
                  <c:v>2021</c:v>
                </c:pt>
                <c:pt idx="4">
                  <c:v>2022</c:v>
                </c:pt>
                <c:pt idx="5">
                  <c:v>2023</c:v>
                </c:pt>
                <c:pt idx="6">
                  <c:v>2024</c:v>
                </c:pt>
              </c:numCache>
            </c:numRef>
          </c:cat>
          <c:val>
            <c:numRef>
              <c:f>Sheet1!$B$2:$B$8</c:f>
              <c:numCache>
                <c:formatCode>#,##0.0</c:formatCode>
                <c:ptCount val="7"/>
                <c:pt idx="0">
                  <c:v>-1.2287752256907658</c:v>
                </c:pt>
                <c:pt idx="1">
                  <c:v>-1.2723477349224319</c:v>
                </c:pt>
                <c:pt idx="2">
                  <c:v>0.49525040611649429</c:v>
                </c:pt>
                <c:pt idx="3">
                  <c:v>-0.57298724948719038</c:v>
                </c:pt>
                <c:pt idx="4">
                  <c:v>-0.25960399906436143</c:v>
                </c:pt>
                <c:pt idx="5">
                  <c:v>-0.77889190761491545</c:v>
                </c:pt>
                <c:pt idx="6">
                  <c:v>-0.38794615307455016</c:v>
                </c:pt>
              </c:numCache>
            </c:numRef>
          </c:val>
          <c:extLst>
            <c:ext xmlns:c16="http://schemas.microsoft.com/office/drawing/2014/chart" uri="{C3380CC4-5D6E-409C-BE32-E72D297353CC}">
              <c16:uniqueId val="{00000000-2150-409E-BA45-626E55F4C1FE}"/>
            </c:ext>
          </c:extLst>
        </c:ser>
        <c:ser>
          <c:idx val="1"/>
          <c:order val="1"/>
          <c:tx>
            <c:strRef>
              <c:f>Sheet1!$C$1</c:f>
              <c:strCache>
                <c:ptCount val="1"/>
                <c:pt idx="0">
                  <c:v>Ծախսերի ազդակ</c:v>
                </c:pt>
              </c:strCache>
            </c:strRef>
          </c:tx>
          <c:spPr>
            <a:solidFill>
              <a:schemeClr val="accent2"/>
            </a:solidFill>
            <a:ln>
              <a:noFill/>
            </a:ln>
            <a:effectLst/>
          </c:spPr>
          <c:invertIfNegative val="0"/>
          <c:cat>
            <c:numRef>
              <c:f>Sheet1!$A$2:$A$8</c:f>
              <c:numCache>
                <c:formatCode>General</c:formatCode>
                <c:ptCount val="7"/>
                <c:pt idx="0">
                  <c:v>2018</c:v>
                </c:pt>
                <c:pt idx="1">
                  <c:v>2019</c:v>
                </c:pt>
                <c:pt idx="2">
                  <c:v>2020</c:v>
                </c:pt>
                <c:pt idx="3">
                  <c:v>2021</c:v>
                </c:pt>
                <c:pt idx="4">
                  <c:v>2022</c:v>
                </c:pt>
                <c:pt idx="5">
                  <c:v>2023</c:v>
                </c:pt>
                <c:pt idx="6">
                  <c:v>2024</c:v>
                </c:pt>
              </c:numCache>
            </c:numRef>
          </c:cat>
          <c:val>
            <c:numRef>
              <c:f>Sheet1!$C$2:$C$8</c:f>
              <c:numCache>
                <c:formatCode>#,##0.0</c:formatCode>
                <c:ptCount val="7"/>
                <c:pt idx="0">
                  <c:v>-1.1902780621633773</c:v>
                </c:pt>
                <c:pt idx="1">
                  <c:v>1.5759050717486214</c:v>
                </c:pt>
                <c:pt idx="2">
                  <c:v>3.3347738558755244</c:v>
                </c:pt>
                <c:pt idx="3">
                  <c:v>-0.49746767121424584</c:v>
                </c:pt>
                <c:pt idx="4">
                  <c:v>-1.6251066406390771</c:v>
                </c:pt>
                <c:pt idx="5">
                  <c:v>-0.16574543591375565</c:v>
                </c:pt>
                <c:pt idx="6">
                  <c:v>0.71454102050805846</c:v>
                </c:pt>
              </c:numCache>
            </c:numRef>
          </c:val>
          <c:extLst>
            <c:ext xmlns:c16="http://schemas.microsoft.com/office/drawing/2014/chart" uri="{C3380CC4-5D6E-409C-BE32-E72D297353CC}">
              <c16:uniqueId val="{00000001-2150-409E-BA45-626E55F4C1FE}"/>
            </c:ext>
          </c:extLst>
        </c:ser>
        <c:dLbls>
          <c:showLegendKey val="0"/>
          <c:showVal val="0"/>
          <c:showCatName val="0"/>
          <c:showSerName val="0"/>
          <c:showPercent val="0"/>
          <c:showBubbleSize val="0"/>
        </c:dLbls>
        <c:gapWidth val="219"/>
        <c:axId val="442293632"/>
        <c:axId val="443028608"/>
      </c:barChart>
      <c:lineChart>
        <c:grouping val="standard"/>
        <c:varyColors val="0"/>
        <c:ser>
          <c:idx val="2"/>
          <c:order val="2"/>
          <c:tx>
            <c:strRef>
              <c:f>Sheet1!$D$1</c:f>
              <c:strCache>
                <c:ptCount val="1"/>
                <c:pt idx="0">
                  <c:v>Հարկաբյուջետային ազդակ</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0586362874853801E-3"/>
                  <c:y val="5.617078399551200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150-409E-BA45-626E55F4C1FE}"/>
                </c:ext>
              </c:extLst>
            </c:dLbl>
            <c:dLbl>
              <c:idx val="2"/>
              <c:layout>
                <c:manualLayout>
                  <c:x val="-3.1484168202379037E-2"/>
                  <c:y val="-5.06994450121215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150-409E-BA45-626E55F4C1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2018</c:v>
                </c:pt>
                <c:pt idx="1">
                  <c:v>2019</c:v>
                </c:pt>
                <c:pt idx="2">
                  <c:v>2020</c:v>
                </c:pt>
                <c:pt idx="3">
                  <c:v>2021</c:v>
                </c:pt>
                <c:pt idx="4">
                  <c:v>2022</c:v>
                </c:pt>
                <c:pt idx="5">
                  <c:v>2023</c:v>
                </c:pt>
                <c:pt idx="6">
                  <c:v>2024</c:v>
                </c:pt>
              </c:numCache>
            </c:numRef>
          </c:cat>
          <c:val>
            <c:numRef>
              <c:f>Sheet1!$D$2:$D$8</c:f>
              <c:numCache>
                <c:formatCode>#,##0.0</c:formatCode>
                <c:ptCount val="7"/>
                <c:pt idx="0">
                  <c:v>-2.4190532878541431</c:v>
                </c:pt>
                <c:pt idx="1">
                  <c:v>0.30355733682618946</c:v>
                </c:pt>
                <c:pt idx="2">
                  <c:v>3.8300242619920186</c:v>
                </c:pt>
                <c:pt idx="3">
                  <c:v>-1.0704549207014362</c:v>
                </c:pt>
                <c:pt idx="4">
                  <c:v>-1.8847106397034386</c:v>
                </c:pt>
                <c:pt idx="5">
                  <c:v>-0.94463734352867113</c:v>
                </c:pt>
                <c:pt idx="6">
                  <c:v>0.3265948674335083</c:v>
                </c:pt>
              </c:numCache>
            </c:numRef>
          </c:val>
          <c:smooth val="0"/>
          <c:extLst>
            <c:ext xmlns:c16="http://schemas.microsoft.com/office/drawing/2014/chart" uri="{C3380CC4-5D6E-409C-BE32-E72D297353CC}">
              <c16:uniqueId val="{00000004-2150-409E-BA45-626E55F4C1FE}"/>
            </c:ext>
          </c:extLst>
        </c:ser>
        <c:dLbls>
          <c:showLegendKey val="0"/>
          <c:showVal val="0"/>
          <c:showCatName val="0"/>
          <c:showSerName val="0"/>
          <c:showPercent val="0"/>
          <c:showBubbleSize val="0"/>
        </c:dLbls>
        <c:marker val="1"/>
        <c:smooth val="0"/>
        <c:axId val="442293632"/>
        <c:axId val="443028608"/>
      </c:lineChart>
      <c:catAx>
        <c:axId val="4422936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43028608"/>
        <c:crosses val="autoZero"/>
        <c:auto val="1"/>
        <c:lblAlgn val="ctr"/>
        <c:lblOffset val="100"/>
        <c:noMultiLvlLbl val="0"/>
      </c:catAx>
      <c:valAx>
        <c:axId val="443028608"/>
        <c:scaling>
          <c:orientation val="minMax"/>
        </c:scaling>
        <c:delete val="0"/>
        <c:axPos val="l"/>
        <c:majorGridlines>
          <c:spPr>
            <a:ln w="317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42293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userShapes r:id="rId3"/>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2362300089968"/>
          <c:y val="6.0752269779507137E-2"/>
          <c:w val="0.80235521125059406"/>
          <c:h val="0.60515228468706761"/>
        </c:manualLayout>
      </c:layout>
      <c:barChart>
        <c:barDir val="col"/>
        <c:grouping val="clustered"/>
        <c:varyColors val="0"/>
        <c:ser>
          <c:idx val="2"/>
          <c:order val="0"/>
          <c:tx>
            <c:strRef>
              <c:f>Sheet1!$B$1</c:f>
              <c:strCache>
                <c:ptCount val="1"/>
                <c:pt idx="0">
                  <c:v>Ընթացիկ ծախսեր/ՀՆԱ,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Sheet1!$A$3:$A$9</c:f>
              <c:numCache>
                <c:formatCode>0</c:formatCode>
                <c:ptCount val="7"/>
                <c:pt idx="0">
                  <c:v>2018</c:v>
                </c:pt>
                <c:pt idx="1">
                  <c:v>2019</c:v>
                </c:pt>
                <c:pt idx="2">
                  <c:v>2020</c:v>
                </c:pt>
                <c:pt idx="3">
                  <c:v>2021</c:v>
                </c:pt>
                <c:pt idx="4">
                  <c:v>2022</c:v>
                </c:pt>
                <c:pt idx="5">
                  <c:v>2023</c:v>
                </c:pt>
                <c:pt idx="6">
                  <c:v>2024</c:v>
                </c:pt>
              </c:numCache>
            </c:numRef>
          </c:cat>
          <c:val>
            <c:numRef>
              <c:f>Sheet1!$B$2:$B$9</c:f>
              <c:numCache>
                <c:formatCode>0.0</c:formatCode>
                <c:ptCount val="7"/>
                <c:pt idx="0">
                  <c:v>21.666114859324733</c:v>
                </c:pt>
                <c:pt idx="1">
                  <c:v>22.08435920039879</c:v>
                </c:pt>
                <c:pt idx="2">
                  <c:v>27.205272058314211</c:v>
                </c:pt>
                <c:pt idx="3">
                  <c:v>25.897687436663109</c:v>
                </c:pt>
                <c:pt idx="4">
                  <c:v>22.334263995415824</c:v>
                </c:pt>
                <c:pt idx="5">
                  <c:v>22.129521723676365</c:v>
                </c:pt>
                <c:pt idx="6">
                  <c:v>23.879534770038227</c:v>
                </c:pt>
              </c:numCache>
            </c:numRef>
          </c:val>
          <c:extLst>
            <c:ext xmlns:c16="http://schemas.microsoft.com/office/drawing/2014/chart" uri="{C3380CC4-5D6E-409C-BE32-E72D297353CC}">
              <c16:uniqueId val="{00000000-D5FD-4A10-8FEB-419F621F26F9}"/>
            </c:ext>
          </c:extLst>
        </c:ser>
        <c:ser>
          <c:idx val="3"/>
          <c:order val="1"/>
          <c:tx>
            <c:strRef>
              <c:f>Sheet1!$C$1</c:f>
              <c:strCache>
                <c:ptCount val="1"/>
                <c:pt idx="0">
                  <c:v>Հարկային եկամուտներ/ՀՆԱ,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Sheet1!$A$3:$A$9</c:f>
              <c:numCache>
                <c:formatCode>0</c:formatCode>
                <c:ptCount val="7"/>
                <c:pt idx="0">
                  <c:v>2018</c:v>
                </c:pt>
                <c:pt idx="1">
                  <c:v>2019</c:v>
                </c:pt>
                <c:pt idx="2">
                  <c:v>2020</c:v>
                </c:pt>
                <c:pt idx="3">
                  <c:v>2021</c:v>
                </c:pt>
                <c:pt idx="4">
                  <c:v>2022</c:v>
                </c:pt>
                <c:pt idx="5">
                  <c:v>2023</c:v>
                </c:pt>
                <c:pt idx="6">
                  <c:v>2024</c:v>
                </c:pt>
              </c:numCache>
            </c:numRef>
          </c:cat>
          <c:val>
            <c:numRef>
              <c:f>Sheet1!$C$2:$C$9</c:f>
              <c:numCache>
                <c:formatCode>0.0</c:formatCode>
                <c:ptCount val="7"/>
                <c:pt idx="0">
                  <c:v>20.987097950316123</c:v>
                </c:pt>
                <c:pt idx="1">
                  <c:v>22.499394605657322</c:v>
                </c:pt>
                <c:pt idx="2">
                  <c:v>22.623301670912763</c:v>
                </c:pt>
                <c:pt idx="3">
                  <c:v>23.021935319368986</c:v>
                </c:pt>
                <c:pt idx="4">
                  <c:v>23.08398862434467</c:v>
                </c:pt>
                <c:pt idx="5">
                  <c:v>24.10373883796116</c:v>
                </c:pt>
                <c:pt idx="6">
                  <c:v>24.85373883796116</c:v>
                </c:pt>
              </c:numCache>
            </c:numRef>
          </c:val>
          <c:extLst>
            <c:ext xmlns:c16="http://schemas.microsoft.com/office/drawing/2014/chart" uri="{C3380CC4-5D6E-409C-BE32-E72D297353CC}">
              <c16:uniqueId val="{00000001-D5FD-4A10-8FEB-419F621F26F9}"/>
            </c:ext>
          </c:extLst>
        </c:ser>
        <c:ser>
          <c:idx val="0"/>
          <c:order val="2"/>
          <c:tx>
            <c:strRef>
              <c:f>Sheet1!$D$1</c:f>
              <c:strCache>
                <c:ptCount val="1"/>
                <c:pt idx="0">
                  <c:v>Հիպոթեկի վերադարձ/ՀՆԱ,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Sheet1!$A$3:$A$9</c:f>
              <c:numCache>
                <c:formatCode>0</c:formatCode>
                <c:ptCount val="7"/>
                <c:pt idx="0">
                  <c:v>2018</c:v>
                </c:pt>
                <c:pt idx="1">
                  <c:v>2019</c:v>
                </c:pt>
                <c:pt idx="2">
                  <c:v>2020</c:v>
                </c:pt>
                <c:pt idx="3">
                  <c:v>2021</c:v>
                </c:pt>
                <c:pt idx="4">
                  <c:v>2022</c:v>
                </c:pt>
                <c:pt idx="5">
                  <c:v>2023</c:v>
                </c:pt>
                <c:pt idx="6">
                  <c:v>2024</c:v>
                </c:pt>
              </c:numCache>
            </c:numRef>
          </c:cat>
          <c:val>
            <c:numRef>
              <c:f>Sheet1!$D$2:$D$9</c:f>
              <c:numCache>
                <c:formatCode>0.0</c:formatCode>
                <c:ptCount val="7"/>
                <c:pt idx="0">
                  <c:v>7.7777387075947502E-2</c:v>
                </c:pt>
                <c:pt idx="1">
                  <c:v>0.20833051675490211</c:v>
                </c:pt>
                <c:pt idx="2">
                  <c:v>0.22253791331686656</c:v>
                </c:pt>
                <c:pt idx="3">
                  <c:v>0.32527300996321884</c:v>
                </c:pt>
                <c:pt idx="4">
                  <c:v>0.42935956756950233</c:v>
                </c:pt>
                <c:pt idx="5">
                  <c:v>0.56083999175177313</c:v>
                </c:pt>
                <c:pt idx="6">
                  <c:v>0.68466556241145349</c:v>
                </c:pt>
              </c:numCache>
            </c:numRef>
          </c:val>
          <c:extLst>
            <c:ext xmlns:c16="http://schemas.microsoft.com/office/drawing/2014/chart" uri="{C3380CC4-5D6E-409C-BE32-E72D297353CC}">
              <c16:uniqueId val="{00000002-D5FD-4A10-8FEB-419F621F26F9}"/>
            </c:ext>
          </c:extLst>
        </c:ser>
        <c:dLbls>
          <c:showLegendKey val="0"/>
          <c:showVal val="0"/>
          <c:showCatName val="0"/>
          <c:showSerName val="0"/>
          <c:showPercent val="0"/>
          <c:showBubbleSize val="0"/>
        </c:dLbls>
        <c:gapWidth val="150"/>
        <c:axId val="443351040"/>
        <c:axId val="443352576"/>
      </c:barChart>
      <c:catAx>
        <c:axId val="443351040"/>
        <c:scaling>
          <c:orientation val="minMax"/>
        </c:scaling>
        <c:delete val="0"/>
        <c:axPos val="b"/>
        <c:numFmt formatCode="0"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443352576"/>
        <c:crosses val="autoZero"/>
        <c:auto val="1"/>
        <c:lblAlgn val="ctr"/>
        <c:lblOffset val="100"/>
        <c:noMultiLvlLbl val="0"/>
      </c:catAx>
      <c:valAx>
        <c:axId val="4433525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443351040"/>
        <c:crosses val="autoZero"/>
        <c:crossBetween val="between"/>
      </c:valAx>
      <c:spPr>
        <a:noFill/>
        <a:ln>
          <a:noFill/>
        </a:ln>
        <a:effectLst/>
      </c:spPr>
    </c:plotArea>
    <c:legend>
      <c:legendPos val="b"/>
      <c:layout>
        <c:manualLayout>
          <c:xMode val="edge"/>
          <c:yMode val="edge"/>
          <c:x val="7.7368034788334386E-2"/>
          <c:y val="0.78187476036208248"/>
          <c:w val="0.83655278608466621"/>
          <c:h val="0.1898965875560544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3">
    <c:autoUpdate val="0"/>
  </c:externalData>
  <c:userShapes r:id="rId4"/>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82080812768812"/>
          <c:y val="6.3554952510176385E-2"/>
          <c:w val="0.8257706331319018"/>
          <c:h val="0.63564952617015436"/>
        </c:manualLayout>
      </c:layout>
      <c:barChart>
        <c:barDir val="col"/>
        <c:grouping val="clustered"/>
        <c:varyColors val="0"/>
        <c:ser>
          <c:idx val="1"/>
          <c:order val="1"/>
          <c:tx>
            <c:strRef>
              <c:f>Sheet1!$C$1</c:f>
              <c:strCache>
                <c:ptCount val="1"/>
                <c:pt idx="0">
                  <c:v>Ոչ ֆին. ակիվ.գծով ծախսեր/ՀՆԱ%</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Sheet1!$A$2:$A$9</c:f>
              <c:numCache>
                <c:formatCode>0</c:formatCode>
                <c:ptCount val="7"/>
                <c:pt idx="0">
                  <c:v>2018</c:v>
                </c:pt>
                <c:pt idx="1">
                  <c:v>2019</c:v>
                </c:pt>
                <c:pt idx="2">
                  <c:v>2020</c:v>
                </c:pt>
                <c:pt idx="3">
                  <c:v>2021</c:v>
                </c:pt>
                <c:pt idx="4">
                  <c:v>2022</c:v>
                </c:pt>
                <c:pt idx="5">
                  <c:v>2023</c:v>
                </c:pt>
                <c:pt idx="6">
                  <c:v>2024</c:v>
                </c:pt>
              </c:numCache>
            </c:numRef>
          </c:cat>
          <c:val>
            <c:numRef>
              <c:f>Sheet1!$C$2:$C$9</c:f>
              <c:numCache>
                <c:formatCode>0.0</c:formatCode>
                <c:ptCount val="7"/>
                <c:pt idx="0">
                  <c:v>2.461430617524059</c:v>
                </c:pt>
                <c:pt idx="1">
                  <c:v>2.9387820204716206</c:v>
                </c:pt>
                <c:pt idx="2">
                  <c:v>3.6588852016206133</c:v>
                </c:pt>
                <c:pt idx="3">
                  <c:v>3.0941285857225038</c:v>
                </c:pt>
                <c:pt idx="4">
                  <c:v>4.4744694274278718</c:v>
                </c:pt>
                <c:pt idx="5">
                  <c:v>5.9481183545357572</c:v>
                </c:pt>
                <c:pt idx="6">
                  <c:v>6.7672629126607022</c:v>
                </c:pt>
              </c:numCache>
            </c:numRef>
          </c:val>
          <c:extLst>
            <c:ext xmlns:c16="http://schemas.microsoft.com/office/drawing/2014/chart" uri="{C3380CC4-5D6E-409C-BE32-E72D297353CC}">
              <c16:uniqueId val="{00000000-32D1-4117-99E3-296FFF9B11B2}"/>
            </c:ext>
          </c:extLst>
        </c:ser>
        <c:dLbls>
          <c:showLegendKey val="0"/>
          <c:showVal val="0"/>
          <c:showCatName val="0"/>
          <c:showSerName val="0"/>
          <c:showPercent val="0"/>
          <c:showBubbleSize val="0"/>
        </c:dLbls>
        <c:gapWidth val="219"/>
        <c:axId val="443396864"/>
        <c:axId val="443398400"/>
      </c:barChart>
      <c:lineChart>
        <c:grouping val="standard"/>
        <c:varyColors val="0"/>
        <c:ser>
          <c:idx val="0"/>
          <c:order val="0"/>
          <c:tx>
            <c:strRef>
              <c:f>Sheet1!$B$1</c:f>
              <c:strCache>
                <c:ptCount val="1"/>
                <c:pt idx="0">
                  <c:v>Պակասուրդ/ՀՆԱ%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6.4230924505450135E-2"/>
                  <c:y val="-5.02110971537120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2D1-4117-99E3-296FFF9B11B2}"/>
                </c:ext>
              </c:extLst>
            </c:dLbl>
            <c:dLbl>
              <c:idx val="5"/>
              <c:layout>
                <c:manualLayout>
                  <c:x val="-2.1166561496886059E-3"/>
                  <c:y val="2.48882615855093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2D1-4117-99E3-296FFF9B11B2}"/>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Sheet1!$A$2:$A$9</c:f>
              <c:numCache>
                <c:formatCode>0</c:formatCode>
                <c:ptCount val="7"/>
                <c:pt idx="0">
                  <c:v>2018</c:v>
                </c:pt>
                <c:pt idx="1">
                  <c:v>2019</c:v>
                </c:pt>
                <c:pt idx="2">
                  <c:v>2020</c:v>
                </c:pt>
                <c:pt idx="3">
                  <c:v>2021</c:v>
                </c:pt>
                <c:pt idx="4">
                  <c:v>2022</c:v>
                </c:pt>
                <c:pt idx="5">
                  <c:v>2023</c:v>
                </c:pt>
                <c:pt idx="6">
                  <c:v>2024</c:v>
                </c:pt>
              </c:numCache>
            </c:numRef>
          </c:cat>
          <c:val>
            <c:numRef>
              <c:f>Sheet1!$B$2:$B$9</c:f>
              <c:numCache>
                <c:formatCode>0.0</c:formatCode>
                <c:ptCount val="7"/>
                <c:pt idx="0">
                  <c:v>1.7515672931246957</c:v>
                </c:pt>
                <c:pt idx="1">
                  <c:v>0.973720551834374</c:v>
                </c:pt>
                <c:pt idx="2">
                  <c:v>5.4027340092352807</c:v>
                </c:pt>
                <c:pt idx="3">
                  <c:v>4.5835199056240086</c:v>
                </c:pt>
                <c:pt idx="4">
                  <c:v>2.1117623133763717</c:v>
                </c:pt>
                <c:pt idx="5">
                  <c:v>2.5957287883581301</c:v>
                </c:pt>
                <c:pt idx="6">
                  <c:v>4.5922522729795698</c:v>
                </c:pt>
              </c:numCache>
            </c:numRef>
          </c:val>
          <c:smooth val="0"/>
          <c:extLst>
            <c:ext xmlns:c16="http://schemas.microsoft.com/office/drawing/2014/chart" uri="{C3380CC4-5D6E-409C-BE32-E72D297353CC}">
              <c16:uniqueId val="{00000003-32D1-4117-99E3-296FFF9B11B2}"/>
            </c:ext>
          </c:extLst>
        </c:ser>
        <c:dLbls>
          <c:showLegendKey val="0"/>
          <c:showVal val="0"/>
          <c:showCatName val="0"/>
          <c:showSerName val="0"/>
          <c:showPercent val="0"/>
          <c:showBubbleSize val="0"/>
        </c:dLbls>
        <c:marker val="1"/>
        <c:smooth val="0"/>
        <c:axId val="443396864"/>
        <c:axId val="443398400"/>
      </c:lineChart>
      <c:catAx>
        <c:axId val="443396864"/>
        <c:scaling>
          <c:orientation val="minMax"/>
        </c:scaling>
        <c:delete val="0"/>
        <c:axPos val="b"/>
        <c:numFmt formatCode="0"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443398400"/>
        <c:crosses val="autoZero"/>
        <c:auto val="1"/>
        <c:lblAlgn val="ctr"/>
        <c:lblOffset val="100"/>
        <c:noMultiLvlLbl val="0"/>
      </c:catAx>
      <c:valAx>
        <c:axId val="4433984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4433968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3">
    <c:autoUpdate val="0"/>
  </c:externalData>
  <c:userShapes r:id="rId4"/>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y-AM" sz="1000" b="1">
                <a:solidFill>
                  <a:sysClr val="windowText" lastClr="000000"/>
                </a:solidFill>
                <a:latin typeface="GHEA Grapalat" panose="02000506050000020003" pitchFamily="50" charset="0"/>
              </a:rPr>
              <a:t>Կառավարության պարտքի</a:t>
            </a:r>
            <a:r>
              <a:rPr lang="hy-AM" sz="1000" b="1" baseline="0">
                <a:solidFill>
                  <a:sysClr val="windowText" lastClr="000000"/>
                </a:solidFill>
                <a:latin typeface="GHEA Grapalat" panose="02000506050000020003" pitchFamily="50" charset="0"/>
              </a:rPr>
              <a:t> դինամիկան</a:t>
            </a:r>
            <a:endParaRPr lang="en-US" sz="1000" b="1">
              <a:solidFill>
                <a:sysClr val="windowText" lastClr="000000"/>
              </a:solidFill>
              <a:latin typeface="GHEA Grapalat" panose="02000506050000020003" pitchFamily="50" charset="0"/>
            </a:endParaRPr>
          </a:p>
        </c:rich>
      </c:tx>
      <c:layout/>
      <c:overlay val="0"/>
      <c:spPr>
        <a:noFill/>
        <a:ln>
          <a:noFill/>
        </a:ln>
        <a:effectLst/>
      </c:spPr>
    </c:title>
    <c:autoTitleDeleted val="0"/>
    <c:plotArea>
      <c:layout/>
      <c:barChart>
        <c:barDir val="col"/>
        <c:grouping val="clustered"/>
        <c:varyColors val="0"/>
        <c:ser>
          <c:idx val="1"/>
          <c:order val="1"/>
          <c:tx>
            <c:strRef>
              <c:f>Sheet1!$C$1</c:f>
              <c:strCache>
                <c:ptCount val="1"/>
                <c:pt idx="0">
                  <c:v>ՀՀ կառավարության պարտք, մլրդ դրամ</c:v>
                </c:pt>
              </c:strCache>
            </c:strRef>
          </c:tx>
          <c:spPr>
            <a:solidFill>
              <a:schemeClr val="accent2"/>
            </a:solidFill>
            <a:ln>
              <a:noFill/>
            </a:ln>
            <a:effectLst/>
          </c:spPr>
          <c:invertIfNegative val="0"/>
          <c:cat>
            <c:numRef>
              <c:f>Sheet1!$A$2:$A$9</c:f>
              <c:numCache>
                <c:formatCode>General</c:formatCode>
                <c:ptCount val="8"/>
                <c:pt idx="0">
                  <c:v>2017</c:v>
                </c:pt>
                <c:pt idx="1">
                  <c:v>2018</c:v>
                </c:pt>
                <c:pt idx="2">
                  <c:v>2019</c:v>
                </c:pt>
                <c:pt idx="3">
                  <c:v>2020</c:v>
                </c:pt>
                <c:pt idx="4">
                  <c:v>2021</c:v>
                </c:pt>
                <c:pt idx="5">
                  <c:v>2022</c:v>
                </c:pt>
                <c:pt idx="6">
                  <c:v>2023</c:v>
                </c:pt>
                <c:pt idx="7">
                  <c:v>2024</c:v>
                </c:pt>
              </c:numCache>
            </c:numRef>
          </c:cat>
          <c:val>
            <c:numRef>
              <c:f>Sheet1!$C$2:$C$9</c:f>
              <c:numCache>
                <c:formatCode>0.0</c:formatCode>
                <c:ptCount val="8"/>
                <c:pt idx="0">
                  <c:v>2988.3796278717332</c:v>
                </c:pt>
                <c:pt idx="1">
                  <c:v>3082.8664640448101</c:v>
                </c:pt>
                <c:pt idx="2">
                  <c:v>3277.2813769668846</c:v>
                </c:pt>
                <c:pt idx="3">
                  <c:v>3923.8890671175195</c:v>
                </c:pt>
                <c:pt idx="4">
                  <c:v>4209.8379084366852</c:v>
                </c:pt>
                <c:pt idx="5">
                  <c:v>3969.6861616886908</c:v>
                </c:pt>
                <c:pt idx="6">
                  <c:v>4446.1232487679463</c:v>
                </c:pt>
                <c:pt idx="7">
                  <c:v>5082.9020707066893</c:v>
                </c:pt>
              </c:numCache>
            </c:numRef>
          </c:val>
          <c:extLst>
            <c:ext xmlns:c16="http://schemas.microsoft.com/office/drawing/2014/chart" uri="{C3380CC4-5D6E-409C-BE32-E72D297353CC}">
              <c16:uniqueId val="{00000000-CC18-4C41-95AD-5553DC5ADA6C}"/>
            </c:ext>
          </c:extLst>
        </c:ser>
        <c:dLbls>
          <c:showLegendKey val="0"/>
          <c:showVal val="0"/>
          <c:showCatName val="0"/>
          <c:showSerName val="0"/>
          <c:showPercent val="0"/>
          <c:showBubbleSize val="0"/>
        </c:dLbls>
        <c:gapWidth val="219"/>
        <c:axId val="444647296"/>
        <c:axId val="444648832"/>
      </c:barChart>
      <c:lineChart>
        <c:grouping val="standard"/>
        <c:varyColors val="0"/>
        <c:ser>
          <c:idx val="0"/>
          <c:order val="0"/>
          <c:tx>
            <c:strRef>
              <c:f>Sheet1!$B$1</c:f>
              <c:strCache>
                <c:ptCount val="1"/>
                <c:pt idx="0">
                  <c:v>Կառավարության պարտք/ՀՆԱ, % (աջ առանցք)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2017</c:v>
                </c:pt>
                <c:pt idx="1">
                  <c:v>2018</c:v>
                </c:pt>
                <c:pt idx="2">
                  <c:v>2019</c:v>
                </c:pt>
                <c:pt idx="3">
                  <c:v>2020</c:v>
                </c:pt>
                <c:pt idx="4">
                  <c:v>2021</c:v>
                </c:pt>
                <c:pt idx="5">
                  <c:v>2022</c:v>
                </c:pt>
                <c:pt idx="6">
                  <c:v>2023</c:v>
                </c:pt>
                <c:pt idx="7">
                  <c:v>2024</c:v>
                </c:pt>
              </c:numCache>
            </c:numRef>
          </c:cat>
          <c:val>
            <c:numRef>
              <c:f>Sheet1!$B$2:$B$9</c:f>
              <c:numCache>
                <c:formatCode>0.0</c:formatCode>
                <c:ptCount val="8"/>
                <c:pt idx="0">
                  <c:v>53.704433930610207</c:v>
                </c:pt>
                <c:pt idx="1">
                  <c:v>51.235639506393603</c:v>
                </c:pt>
                <c:pt idx="2">
                  <c:v>49.890110777392067</c:v>
                </c:pt>
                <c:pt idx="3">
                  <c:v>63.476258231461003</c:v>
                </c:pt>
                <c:pt idx="4">
                  <c:v>60.211265701788832</c:v>
                </c:pt>
                <c:pt idx="5">
                  <c:v>46.69430429353595</c:v>
                </c:pt>
                <c:pt idx="6">
                  <c:v>47.04837219181853</c:v>
                </c:pt>
                <c:pt idx="7">
                  <c:v>48.334555623926903</c:v>
                </c:pt>
              </c:numCache>
            </c:numRef>
          </c:val>
          <c:smooth val="0"/>
          <c:extLst>
            <c:ext xmlns:c16="http://schemas.microsoft.com/office/drawing/2014/chart" uri="{C3380CC4-5D6E-409C-BE32-E72D297353CC}">
              <c16:uniqueId val="{00000001-CC18-4C41-95AD-5553DC5ADA6C}"/>
            </c:ext>
          </c:extLst>
        </c:ser>
        <c:dLbls>
          <c:showLegendKey val="0"/>
          <c:showVal val="0"/>
          <c:showCatName val="0"/>
          <c:showSerName val="0"/>
          <c:showPercent val="0"/>
          <c:showBubbleSize val="0"/>
        </c:dLbls>
        <c:marker val="1"/>
        <c:smooth val="0"/>
        <c:axId val="444652160"/>
        <c:axId val="444650624"/>
      </c:lineChart>
      <c:catAx>
        <c:axId val="44464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648832"/>
        <c:crosses val="autoZero"/>
        <c:auto val="1"/>
        <c:lblAlgn val="ctr"/>
        <c:lblOffset val="100"/>
        <c:noMultiLvlLbl val="0"/>
      </c:catAx>
      <c:valAx>
        <c:axId val="4446488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647296"/>
        <c:crosses val="autoZero"/>
        <c:crossBetween val="between"/>
      </c:valAx>
      <c:valAx>
        <c:axId val="44465062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652160"/>
        <c:crosses val="max"/>
        <c:crossBetween val="between"/>
      </c:valAx>
      <c:catAx>
        <c:axId val="444652160"/>
        <c:scaling>
          <c:orientation val="minMax"/>
        </c:scaling>
        <c:delete val="1"/>
        <c:axPos val="b"/>
        <c:numFmt formatCode="General" sourceLinked="1"/>
        <c:majorTickMark val="out"/>
        <c:minorTickMark val="none"/>
        <c:tickLblPos val="none"/>
        <c:crossAx val="444650624"/>
        <c:crosses val="autoZero"/>
        <c:auto val="1"/>
        <c:lblAlgn val="ctr"/>
        <c:lblOffset val="100"/>
        <c:noMultiLvlLbl val="0"/>
      </c:catAx>
      <c:spPr>
        <a:noFill/>
        <a:ln>
          <a:noFill/>
        </a:ln>
        <a:effectLst/>
      </c:spPr>
    </c:plotArea>
    <c:legend>
      <c:legendPos val="b"/>
      <c:layout>
        <c:manualLayout>
          <c:xMode val="edge"/>
          <c:yMode val="edge"/>
          <c:x val="0"/>
          <c:y val="0.78088601993439488"/>
          <c:w val="0.99724612736660856"/>
          <c:h val="0.219113980065605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99"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899" b="1" baseline="0">
                <a:solidFill>
                  <a:sysClr val="windowText" lastClr="000000"/>
                </a:solidFill>
              </a:rPr>
              <a:t>Կառավարության պարտքի բեռի փոփոխությանը նպաստող գործոնները, </a:t>
            </a:r>
            <a:r>
              <a:rPr lang="en-US" sz="899" b="1" baseline="0">
                <a:solidFill>
                  <a:sysClr val="windowText" lastClr="000000"/>
                </a:solidFill>
              </a:rPr>
              <a:t>%-</a:t>
            </a:r>
            <a:r>
              <a:rPr lang="hy-AM" sz="899" b="1" baseline="0">
                <a:solidFill>
                  <a:sysClr val="windowText" lastClr="000000"/>
                </a:solidFill>
              </a:rPr>
              <a:t>ային կետ</a:t>
            </a:r>
            <a:endParaRPr lang="en-US" sz="900" b="1">
              <a:solidFill>
                <a:sysClr val="windowText" lastClr="000000"/>
              </a:solidFill>
            </a:endParaRPr>
          </a:p>
        </c:rich>
      </c:tx>
      <c:layout>
        <c:manualLayout>
          <c:xMode val="edge"/>
          <c:yMode val="edge"/>
          <c:x val="8.4826303261163777E-2"/>
          <c:y val="3.4761154855643046E-3"/>
        </c:manualLayout>
      </c:layout>
      <c:overlay val="0"/>
      <c:spPr>
        <a:noFill/>
        <a:ln w="25384">
          <a:noFill/>
        </a:ln>
      </c:spPr>
    </c:title>
    <c:autoTitleDeleted val="0"/>
    <c:plotArea>
      <c:layout>
        <c:manualLayout>
          <c:layoutTarget val="inner"/>
          <c:xMode val="edge"/>
          <c:yMode val="edge"/>
          <c:x val="0.11882213353467802"/>
          <c:y val="0.21861594033419091"/>
          <c:w val="0.49000876204041866"/>
          <c:h val="0.65598537806536561"/>
        </c:manualLayout>
      </c:layout>
      <c:barChart>
        <c:barDir val="col"/>
        <c:grouping val="stacked"/>
        <c:varyColors val="0"/>
        <c:ser>
          <c:idx val="0"/>
          <c:order val="0"/>
          <c:tx>
            <c:strRef>
              <c:f>Sheet1!$B$1</c:f>
              <c:strCache>
                <c:ptCount val="1"/>
                <c:pt idx="0">
                  <c:v>Առաջնային պակասուրդ</c:v>
                </c:pt>
              </c:strCache>
            </c:strRef>
          </c:tx>
          <c:spPr>
            <a:solidFill>
              <a:srgbClr val="4F81BD"/>
            </a:solidFill>
            <a:ln w="25384">
              <a:noFill/>
            </a:ln>
          </c:spPr>
          <c:invertIfNegative val="0"/>
          <c:cat>
            <c:numRef>
              <c:f>Sheet1!$A$2:$A$10</c:f>
              <c:numCache>
                <c:formatCode>General</c:formatCode>
                <c:ptCount val="7"/>
                <c:pt idx="0">
                  <c:v>2018</c:v>
                </c:pt>
                <c:pt idx="1">
                  <c:v>2019</c:v>
                </c:pt>
                <c:pt idx="2">
                  <c:v>2020</c:v>
                </c:pt>
                <c:pt idx="3">
                  <c:v>2021</c:v>
                </c:pt>
                <c:pt idx="4">
                  <c:v>2022</c:v>
                </c:pt>
                <c:pt idx="5">
                  <c:v>2023</c:v>
                </c:pt>
                <c:pt idx="6">
                  <c:v>2024</c:v>
                </c:pt>
              </c:numCache>
            </c:numRef>
          </c:cat>
          <c:val>
            <c:numRef>
              <c:f>Sheet1!$B$2:$B$10</c:f>
              <c:numCache>
                <c:formatCode>0.0</c:formatCode>
                <c:ptCount val="7"/>
                <c:pt idx="0">
                  <c:v>-0.57258085880967613</c:v>
                </c:pt>
                <c:pt idx="1">
                  <c:v>-1.4284363292094469</c:v>
                </c:pt>
                <c:pt idx="2">
                  <c:v>2.7324762509823195</c:v>
                </c:pt>
                <c:pt idx="3">
                  <c:v>2.1826159296250589</c:v>
                </c:pt>
                <c:pt idx="4">
                  <c:v>-0.37885727665999891</c:v>
                </c:pt>
                <c:pt idx="5">
                  <c:v>-0.33673744093600522</c:v>
                </c:pt>
                <c:pt idx="6">
                  <c:v>0.34466328390954093</c:v>
                </c:pt>
              </c:numCache>
            </c:numRef>
          </c:val>
          <c:extLst>
            <c:ext xmlns:c16="http://schemas.microsoft.com/office/drawing/2014/chart" uri="{C3380CC4-5D6E-409C-BE32-E72D297353CC}">
              <c16:uniqueId val="{00000000-AD57-4A4A-8D4A-AFA1532D50C2}"/>
            </c:ext>
          </c:extLst>
        </c:ser>
        <c:ser>
          <c:idx val="1"/>
          <c:order val="1"/>
          <c:tx>
            <c:strRef>
              <c:f>Sheet1!$C$1</c:f>
              <c:strCache>
                <c:ptCount val="1"/>
                <c:pt idx="0">
                  <c:v>Իրական տոկոսադրույք</c:v>
                </c:pt>
              </c:strCache>
            </c:strRef>
          </c:tx>
          <c:spPr>
            <a:solidFill>
              <a:srgbClr val="C0504D"/>
            </a:solidFill>
            <a:ln w="25384">
              <a:noFill/>
            </a:ln>
          </c:spPr>
          <c:invertIfNegative val="0"/>
          <c:cat>
            <c:numRef>
              <c:f>Sheet1!$A$2:$A$10</c:f>
              <c:numCache>
                <c:formatCode>General</c:formatCode>
                <c:ptCount val="7"/>
                <c:pt idx="0">
                  <c:v>2018</c:v>
                </c:pt>
                <c:pt idx="1">
                  <c:v>2019</c:v>
                </c:pt>
                <c:pt idx="2">
                  <c:v>2020</c:v>
                </c:pt>
                <c:pt idx="3">
                  <c:v>2021</c:v>
                </c:pt>
                <c:pt idx="4">
                  <c:v>2022</c:v>
                </c:pt>
                <c:pt idx="5">
                  <c:v>2023</c:v>
                </c:pt>
                <c:pt idx="6">
                  <c:v>2024</c:v>
                </c:pt>
              </c:numCache>
            </c:numRef>
          </c:cat>
          <c:val>
            <c:numRef>
              <c:f>Sheet1!$C$2:$C$10</c:f>
              <c:numCache>
                <c:formatCode>0.0</c:formatCode>
                <c:ptCount val="7"/>
                <c:pt idx="0">
                  <c:v>0.98012789078743601</c:v>
                </c:pt>
                <c:pt idx="1">
                  <c:v>1.6930478859443168</c:v>
                </c:pt>
                <c:pt idx="2">
                  <c:v>1.6692093790760498</c:v>
                </c:pt>
                <c:pt idx="3">
                  <c:v>-1.5186370629788788</c:v>
                </c:pt>
                <c:pt idx="4">
                  <c:v>-1.6238836096552502</c:v>
                </c:pt>
                <c:pt idx="5">
                  <c:v>1.3279738960932617</c:v>
                </c:pt>
                <c:pt idx="6">
                  <c:v>1.117526718669972</c:v>
                </c:pt>
              </c:numCache>
            </c:numRef>
          </c:val>
          <c:extLst>
            <c:ext xmlns:c16="http://schemas.microsoft.com/office/drawing/2014/chart" uri="{C3380CC4-5D6E-409C-BE32-E72D297353CC}">
              <c16:uniqueId val="{00000001-AD57-4A4A-8D4A-AFA1532D50C2}"/>
            </c:ext>
          </c:extLst>
        </c:ser>
        <c:ser>
          <c:idx val="2"/>
          <c:order val="2"/>
          <c:tx>
            <c:strRef>
              <c:f>Sheet1!$D$1</c:f>
              <c:strCache>
                <c:ptCount val="1"/>
                <c:pt idx="0">
                  <c:v>Իրական ՀՆԱ աճ</c:v>
                </c:pt>
              </c:strCache>
            </c:strRef>
          </c:tx>
          <c:spPr>
            <a:solidFill>
              <a:srgbClr val="9BBB59"/>
            </a:solidFill>
            <a:ln w="25384">
              <a:noFill/>
            </a:ln>
          </c:spPr>
          <c:invertIfNegative val="0"/>
          <c:cat>
            <c:numRef>
              <c:f>Sheet1!$A$2:$A$10</c:f>
              <c:numCache>
                <c:formatCode>General</c:formatCode>
                <c:ptCount val="7"/>
                <c:pt idx="0">
                  <c:v>2018</c:v>
                </c:pt>
                <c:pt idx="1">
                  <c:v>2019</c:v>
                </c:pt>
                <c:pt idx="2">
                  <c:v>2020</c:v>
                </c:pt>
                <c:pt idx="3">
                  <c:v>2021</c:v>
                </c:pt>
                <c:pt idx="4">
                  <c:v>2022</c:v>
                </c:pt>
                <c:pt idx="5">
                  <c:v>2023</c:v>
                </c:pt>
                <c:pt idx="6">
                  <c:v>2024</c:v>
                </c:pt>
              </c:numCache>
            </c:numRef>
          </c:cat>
          <c:val>
            <c:numRef>
              <c:f>Sheet1!$D$2:$D$10</c:f>
              <c:numCache>
                <c:formatCode>0.0</c:formatCode>
                <c:ptCount val="7"/>
                <c:pt idx="0">
                  <c:v>-2.6039370723394306</c:v>
                </c:pt>
                <c:pt idx="1">
                  <c:v>-3.5727954124852048</c:v>
                </c:pt>
                <c:pt idx="2">
                  <c:v>3.927730789386175</c:v>
                </c:pt>
                <c:pt idx="3">
                  <c:v>-3.1805094702168866</c:v>
                </c:pt>
                <c:pt idx="4">
                  <c:v>-6.2472885197173937</c:v>
                </c:pt>
                <c:pt idx="5">
                  <c:v>-3.0301300644734557</c:v>
                </c:pt>
                <c:pt idx="6">
                  <c:v>-3.0301300644734557</c:v>
                </c:pt>
              </c:numCache>
            </c:numRef>
          </c:val>
          <c:extLst>
            <c:ext xmlns:c16="http://schemas.microsoft.com/office/drawing/2014/chart" uri="{C3380CC4-5D6E-409C-BE32-E72D297353CC}">
              <c16:uniqueId val="{00000002-AD57-4A4A-8D4A-AFA1532D50C2}"/>
            </c:ext>
          </c:extLst>
        </c:ser>
        <c:ser>
          <c:idx val="3"/>
          <c:order val="3"/>
          <c:tx>
            <c:strRef>
              <c:f>Sheet1!$E$1</c:f>
              <c:strCache>
                <c:ptCount val="1"/>
                <c:pt idx="0">
                  <c:v>Փոխարժեքի արժեզրկում</c:v>
                </c:pt>
              </c:strCache>
            </c:strRef>
          </c:tx>
          <c:spPr>
            <a:solidFill>
              <a:srgbClr val="8064A2"/>
            </a:solidFill>
            <a:ln w="25384">
              <a:noFill/>
            </a:ln>
          </c:spPr>
          <c:invertIfNegative val="0"/>
          <c:cat>
            <c:numRef>
              <c:f>Sheet1!$A$2:$A$10</c:f>
              <c:numCache>
                <c:formatCode>General</c:formatCode>
                <c:ptCount val="7"/>
                <c:pt idx="0">
                  <c:v>2018</c:v>
                </c:pt>
                <c:pt idx="1">
                  <c:v>2019</c:v>
                </c:pt>
                <c:pt idx="2">
                  <c:v>2020</c:v>
                </c:pt>
                <c:pt idx="3">
                  <c:v>2021</c:v>
                </c:pt>
                <c:pt idx="4">
                  <c:v>2022</c:v>
                </c:pt>
                <c:pt idx="5">
                  <c:v>2023</c:v>
                </c:pt>
                <c:pt idx="6">
                  <c:v>2024</c:v>
                </c:pt>
              </c:numCache>
            </c:numRef>
          </c:cat>
          <c:val>
            <c:numRef>
              <c:f>Sheet1!$E$2:$E$10</c:f>
              <c:numCache>
                <c:formatCode>0.0</c:formatCode>
                <c:ptCount val="7"/>
                <c:pt idx="0">
                  <c:v>-3.0355942288865109E-2</c:v>
                </c:pt>
                <c:pt idx="1">
                  <c:v>-0.33045922768254016</c:v>
                </c:pt>
                <c:pt idx="2">
                  <c:v>3.869772584163178</c:v>
                </c:pt>
                <c:pt idx="3">
                  <c:v>-4.106412737413172</c:v>
                </c:pt>
                <c:pt idx="4">
                  <c:v>-10.851859860827291</c:v>
                </c:pt>
              </c:numCache>
            </c:numRef>
          </c:val>
          <c:extLst>
            <c:ext xmlns:c16="http://schemas.microsoft.com/office/drawing/2014/chart" uri="{C3380CC4-5D6E-409C-BE32-E72D297353CC}">
              <c16:uniqueId val="{00000003-AD57-4A4A-8D4A-AFA1532D50C2}"/>
            </c:ext>
          </c:extLst>
        </c:ser>
        <c:ser>
          <c:idx val="4"/>
          <c:order val="4"/>
          <c:tx>
            <c:strRef>
              <c:f>Sheet1!$F$1</c:f>
              <c:strCache>
                <c:ptCount val="1"/>
                <c:pt idx="0">
                  <c:v>Զուտ վարկավորում բյուջեից</c:v>
                </c:pt>
              </c:strCache>
            </c:strRef>
          </c:tx>
          <c:spPr>
            <a:solidFill>
              <a:srgbClr val="4BACC6"/>
            </a:solidFill>
            <a:ln w="25384">
              <a:noFill/>
            </a:ln>
          </c:spPr>
          <c:invertIfNegative val="0"/>
          <c:cat>
            <c:numRef>
              <c:f>Sheet1!$A$2:$A$10</c:f>
              <c:numCache>
                <c:formatCode>General</c:formatCode>
                <c:ptCount val="7"/>
                <c:pt idx="0">
                  <c:v>2018</c:v>
                </c:pt>
                <c:pt idx="1">
                  <c:v>2019</c:v>
                </c:pt>
                <c:pt idx="2">
                  <c:v>2020</c:v>
                </c:pt>
                <c:pt idx="3">
                  <c:v>2021</c:v>
                </c:pt>
                <c:pt idx="4">
                  <c:v>2022</c:v>
                </c:pt>
                <c:pt idx="5">
                  <c:v>2023</c:v>
                </c:pt>
                <c:pt idx="6">
                  <c:v>2024</c:v>
                </c:pt>
              </c:numCache>
            </c:numRef>
          </c:cat>
          <c:val>
            <c:numRef>
              <c:f>Sheet1!$F$2:$F$10</c:f>
              <c:numCache>
                <c:formatCode>0.0</c:formatCode>
                <c:ptCount val="7"/>
                <c:pt idx="0">
                  <c:v>0.81037920761112525</c:v>
                </c:pt>
                <c:pt idx="1">
                  <c:v>1.0104016885491129</c:v>
                </c:pt>
                <c:pt idx="2">
                  <c:v>1.6545023656332283</c:v>
                </c:pt>
                <c:pt idx="3">
                  <c:v>1.8936427014800208</c:v>
                </c:pt>
                <c:pt idx="4">
                  <c:v>1.9356766900099158</c:v>
                </c:pt>
                <c:pt idx="5">
                  <c:v>2.3156060360292883</c:v>
                </c:pt>
                <c:pt idx="6">
                  <c:v>1.459508824904131</c:v>
                </c:pt>
              </c:numCache>
            </c:numRef>
          </c:val>
          <c:extLst>
            <c:ext xmlns:c16="http://schemas.microsoft.com/office/drawing/2014/chart" uri="{C3380CC4-5D6E-409C-BE32-E72D297353CC}">
              <c16:uniqueId val="{00000004-AD57-4A4A-8D4A-AFA1532D50C2}"/>
            </c:ext>
          </c:extLst>
        </c:ser>
        <c:ser>
          <c:idx val="5"/>
          <c:order val="5"/>
          <c:tx>
            <c:strRef>
              <c:f>Sheet1!$G$1</c:f>
              <c:strCache>
                <c:ptCount val="1"/>
                <c:pt idx="0">
                  <c:v>Մնացորդ</c:v>
                </c:pt>
              </c:strCache>
            </c:strRef>
          </c:tx>
          <c:spPr>
            <a:solidFill>
              <a:srgbClr val="F79646"/>
            </a:solidFill>
            <a:ln w="25384">
              <a:noFill/>
            </a:ln>
          </c:spPr>
          <c:invertIfNegative val="0"/>
          <c:cat>
            <c:numRef>
              <c:f>Sheet1!$A$2:$A$10</c:f>
              <c:numCache>
                <c:formatCode>General</c:formatCode>
                <c:ptCount val="7"/>
                <c:pt idx="0">
                  <c:v>2018</c:v>
                </c:pt>
                <c:pt idx="1">
                  <c:v>2019</c:v>
                </c:pt>
                <c:pt idx="2">
                  <c:v>2020</c:v>
                </c:pt>
                <c:pt idx="3">
                  <c:v>2021</c:v>
                </c:pt>
                <c:pt idx="4">
                  <c:v>2022</c:v>
                </c:pt>
                <c:pt idx="5">
                  <c:v>2023</c:v>
                </c:pt>
                <c:pt idx="6">
                  <c:v>2024</c:v>
                </c:pt>
              </c:numCache>
            </c:numRef>
          </c:cat>
          <c:val>
            <c:numRef>
              <c:f>Sheet1!$G$2:$G$10</c:f>
              <c:numCache>
                <c:formatCode>0.0</c:formatCode>
                <c:ptCount val="7"/>
                <c:pt idx="0">
                  <c:v>-0.90772701057372629</c:v>
                </c:pt>
                <c:pt idx="1">
                  <c:v>1.3324296052555091</c:v>
                </c:pt>
                <c:pt idx="2">
                  <c:v>-0.48467011139045901</c:v>
                </c:pt>
                <c:pt idx="3">
                  <c:v>1.5413022514064032</c:v>
                </c:pt>
                <c:pt idx="4">
                  <c:v>3.5732403965873196</c:v>
                </c:pt>
                <c:pt idx="5">
                  <c:v>4.9777201618937728E-2</c:v>
                </c:pt>
                <c:pt idx="6">
                  <c:v>1.4825726861832922</c:v>
                </c:pt>
              </c:numCache>
            </c:numRef>
          </c:val>
          <c:extLst>
            <c:ext xmlns:c16="http://schemas.microsoft.com/office/drawing/2014/chart" uri="{C3380CC4-5D6E-409C-BE32-E72D297353CC}">
              <c16:uniqueId val="{00000005-AD57-4A4A-8D4A-AFA1532D50C2}"/>
            </c:ext>
          </c:extLst>
        </c:ser>
        <c:dLbls>
          <c:showLegendKey val="0"/>
          <c:showVal val="0"/>
          <c:showCatName val="0"/>
          <c:showSerName val="0"/>
          <c:showPercent val="0"/>
          <c:showBubbleSize val="0"/>
        </c:dLbls>
        <c:gapWidth val="81"/>
        <c:overlap val="100"/>
        <c:axId val="153985024"/>
        <c:axId val="153986944"/>
      </c:barChart>
      <c:lineChart>
        <c:grouping val="standard"/>
        <c:varyColors val="0"/>
        <c:ser>
          <c:idx val="6"/>
          <c:order val="6"/>
          <c:tx>
            <c:strRef>
              <c:f>Sheet1!$H$1</c:f>
              <c:strCache>
                <c:ptCount val="1"/>
                <c:pt idx="0">
                  <c:v>Պարտք/ՀՆԱ փոփոխություն, %-ային կետ </c:v>
                </c:pt>
              </c:strCache>
            </c:strRef>
          </c:tx>
          <c:spPr>
            <a:ln w="28557" cap="rnd">
              <a:solidFill>
                <a:schemeClr val="accent1">
                  <a:lumMod val="60000"/>
                </a:schemeClr>
              </a:solidFill>
              <a:round/>
            </a:ln>
            <a:effectLst/>
          </c:spPr>
          <c:marker>
            <c:symbol val="circle"/>
            <c:size val="4"/>
            <c:spPr>
              <a:solidFill>
                <a:schemeClr val="accent1">
                  <a:lumMod val="60000"/>
                </a:schemeClr>
              </a:solidFill>
              <a:ln w="9519">
                <a:solidFill>
                  <a:schemeClr val="accent1">
                    <a:lumMod val="60000"/>
                  </a:schemeClr>
                </a:solidFill>
              </a:ln>
              <a:effectLst/>
            </c:spPr>
          </c:marker>
          <c:cat>
            <c:numRef>
              <c:f>Sheet1!$A$2:$A$10</c:f>
              <c:numCache>
                <c:formatCode>General</c:formatCode>
                <c:ptCount val="7"/>
                <c:pt idx="0">
                  <c:v>2018</c:v>
                </c:pt>
                <c:pt idx="1">
                  <c:v>2019</c:v>
                </c:pt>
                <c:pt idx="2">
                  <c:v>2020</c:v>
                </c:pt>
                <c:pt idx="3">
                  <c:v>2021</c:v>
                </c:pt>
                <c:pt idx="4">
                  <c:v>2022</c:v>
                </c:pt>
                <c:pt idx="5">
                  <c:v>2023</c:v>
                </c:pt>
                <c:pt idx="6">
                  <c:v>2024</c:v>
                </c:pt>
              </c:numCache>
            </c:numRef>
          </c:cat>
          <c:val>
            <c:numRef>
              <c:f>Sheet1!$H$2:$H$10</c:f>
              <c:numCache>
                <c:formatCode>0.0</c:formatCode>
                <c:ptCount val="7"/>
                <c:pt idx="0">
                  <c:v>-2.3240937856131367</c:v>
                </c:pt>
                <c:pt idx="1">
                  <c:v>-1.2958117896282531</c:v>
                </c:pt>
                <c:pt idx="2">
                  <c:v>13.369021257850491</c:v>
                </c:pt>
                <c:pt idx="3">
                  <c:v>-3.1879983880974549</c:v>
                </c:pt>
                <c:pt idx="4">
                  <c:v>-13.592972180262699</c:v>
                </c:pt>
                <c:pt idx="5">
                  <c:v>0.32648962833202688</c:v>
                </c:pt>
                <c:pt idx="6">
                  <c:v>1.3741414491934805</c:v>
                </c:pt>
              </c:numCache>
            </c:numRef>
          </c:val>
          <c:smooth val="0"/>
          <c:extLst>
            <c:ext xmlns:c16="http://schemas.microsoft.com/office/drawing/2014/chart" uri="{C3380CC4-5D6E-409C-BE32-E72D297353CC}">
              <c16:uniqueId val="{00000006-AD57-4A4A-8D4A-AFA1532D50C2}"/>
            </c:ext>
          </c:extLst>
        </c:ser>
        <c:dLbls>
          <c:showLegendKey val="0"/>
          <c:showVal val="0"/>
          <c:showCatName val="0"/>
          <c:showSerName val="0"/>
          <c:showPercent val="0"/>
          <c:showBubbleSize val="0"/>
        </c:dLbls>
        <c:marker val="1"/>
        <c:smooth val="0"/>
        <c:axId val="153985024"/>
        <c:axId val="153986944"/>
      </c:lineChart>
      <c:catAx>
        <c:axId val="153985024"/>
        <c:scaling>
          <c:orientation val="minMax"/>
        </c:scaling>
        <c:delete val="0"/>
        <c:axPos val="b"/>
        <c:numFmt formatCode="General" sourceLinked="1"/>
        <c:majorTickMark val="none"/>
        <c:minorTickMark val="none"/>
        <c:tickLblPos val="low"/>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53986944"/>
        <c:crosses val="autoZero"/>
        <c:auto val="1"/>
        <c:lblAlgn val="ctr"/>
        <c:lblOffset val="100"/>
        <c:noMultiLvlLbl val="0"/>
      </c:catAx>
      <c:valAx>
        <c:axId val="153986944"/>
        <c:scaling>
          <c:orientation val="minMax"/>
        </c:scaling>
        <c:delete val="0"/>
        <c:axPos val="l"/>
        <c:majorGridlines>
          <c:spPr>
            <a:ln w="9519" cap="flat" cmpd="sng" algn="ctr">
              <a:solidFill>
                <a:schemeClr val="tx1">
                  <a:lumMod val="15000"/>
                  <a:lumOff val="85000"/>
                </a:schemeClr>
              </a:solidFill>
              <a:round/>
            </a:ln>
            <a:effectLst/>
          </c:spPr>
        </c:majorGridlines>
        <c:numFmt formatCode="0.0" sourceLinked="1"/>
        <c:majorTickMark val="none"/>
        <c:minorTickMark val="none"/>
        <c:tickLblPos val="nextTo"/>
        <c:spPr>
          <a:ln w="9519">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53985024"/>
        <c:crosses val="autoZero"/>
        <c:crossBetween val="between"/>
      </c:valAx>
      <c:spPr>
        <a:noFill/>
        <a:ln w="25384">
          <a:noFill/>
        </a:ln>
      </c:spPr>
    </c:plotArea>
    <c:legend>
      <c:legendPos val="r"/>
      <c:legendEntry>
        <c:idx val="1"/>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0.6235197988129122"/>
          <c:y val="0.18021083998163598"/>
          <c:w val="0.34414221460698219"/>
          <c:h val="0.81679270289233652"/>
        </c:manualLayout>
      </c:layout>
      <c:overlay val="0"/>
      <c:spPr>
        <a:noFill/>
        <a:ln w="25384">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userShapes r:id="rId3"/>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392771830487487E-2"/>
          <c:y val="6.5289442986293383E-2"/>
          <c:w val="0.78658475625940016"/>
          <c:h val="0.89719889180519097"/>
        </c:manualLayout>
      </c:layout>
      <c:areaChart>
        <c:grouping val="stacked"/>
        <c:varyColors val="0"/>
        <c:ser>
          <c:idx val="0"/>
          <c:order val="0"/>
          <c:tx>
            <c:strRef>
              <c:f>Fanchart!$B$3</c:f>
              <c:strCache>
                <c:ptCount val="1"/>
              </c:strCache>
            </c:strRef>
          </c:tx>
          <c:spPr>
            <a:noFill/>
          </c:spPr>
          <c:cat>
            <c:strRef>
              <c:f>Fanchart!$A$4:$A$99</c:f>
              <c:strCache>
                <c:ptCount val="9"/>
                <c:pt idx="0">
                  <c:v>2019</c:v>
                </c:pt>
                <c:pt idx="1">
                  <c:v>2020</c:v>
                </c:pt>
                <c:pt idx="2">
                  <c:v>2021</c:v>
                </c:pt>
                <c:pt idx="3">
                  <c:v>2022</c:v>
                </c:pt>
                <c:pt idx="4">
                  <c:v>2023*</c:v>
                </c:pt>
                <c:pt idx="5">
                  <c:v>2024/1*</c:v>
                </c:pt>
                <c:pt idx="6">
                  <c:v>2024/2*</c:v>
                </c:pt>
                <c:pt idx="7">
                  <c:v>2024/3*</c:v>
                </c:pt>
                <c:pt idx="8">
                  <c:v>2024/4*</c:v>
                </c:pt>
              </c:strCache>
            </c:strRef>
          </c:cat>
          <c:val>
            <c:numRef>
              <c:f>Fanchart!$B$4:$B$99</c:f>
              <c:numCache>
                <c:formatCode>General</c:formatCode>
                <c:ptCount val="9"/>
                <c:pt idx="0">
                  <c:v>16.389092714898766</c:v>
                </c:pt>
                <c:pt idx="1">
                  <c:v>-5.402548022928471</c:v>
                </c:pt>
                <c:pt idx="2">
                  <c:v>14.560636925162981</c:v>
                </c:pt>
                <c:pt idx="3">
                  <c:v>21.366717393270122</c:v>
                </c:pt>
                <c:pt idx="4">
                  <c:v>6.9295155183169204</c:v>
                </c:pt>
                <c:pt idx="5">
                  <c:v>1.163572017331111</c:v>
                </c:pt>
                <c:pt idx="6">
                  <c:v>4.0174501434125585</c:v>
                </c:pt>
                <c:pt idx="7">
                  <c:v>3.8487541479062575</c:v>
                </c:pt>
                <c:pt idx="8">
                  <c:v>4.4355571514164183</c:v>
                </c:pt>
              </c:numCache>
            </c:numRef>
          </c:val>
          <c:extLst>
            <c:ext xmlns:c16="http://schemas.microsoft.com/office/drawing/2014/chart" uri="{C3380CC4-5D6E-409C-BE32-E72D297353CC}">
              <c16:uniqueId val="{00000000-FEF5-41D8-9C11-2BFC5A158EE3}"/>
            </c:ext>
          </c:extLst>
        </c:ser>
        <c:ser>
          <c:idx val="1"/>
          <c:order val="1"/>
          <c:tx>
            <c:strRef>
              <c:f>Fanchart!$C$3</c:f>
              <c:strCache>
                <c:ptCount val="1"/>
              </c:strCache>
            </c:strRef>
          </c:tx>
          <c:spPr>
            <a:solidFill>
              <a:srgbClr val="FF0000">
                <a:alpha val="20000"/>
              </a:srgbClr>
            </a:solidFill>
          </c:spPr>
          <c:cat>
            <c:strRef>
              <c:f>Fanchart!$A$4:$A$99</c:f>
              <c:strCache>
                <c:ptCount val="9"/>
                <c:pt idx="0">
                  <c:v>2019</c:v>
                </c:pt>
                <c:pt idx="1">
                  <c:v>2020</c:v>
                </c:pt>
                <c:pt idx="2">
                  <c:v>2021</c:v>
                </c:pt>
                <c:pt idx="3">
                  <c:v>2022</c:v>
                </c:pt>
                <c:pt idx="4">
                  <c:v>2023*</c:v>
                </c:pt>
                <c:pt idx="5">
                  <c:v>2024/1*</c:v>
                </c:pt>
                <c:pt idx="6">
                  <c:v>2024/2*</c:v>
                </c:pt>
                <c:pt idx="7">
                  <c:v>2024/3*</c:v>
                </c:pt>
                <c:pt idx="8">
                  <c:v>2024/4*</c:v>
                </c:pt>
              </c:strCache>
            </c:strRef>
          </c:cat>
          <c:val>
            <c:numRef>
              <c:f>Fanchart!$C$4:$C$99</c:f>
              <c:numCache>
                <c:formatCode>General</c:formatCode>
                <c:ptCount val="9"/>
                <c:pt idx="4">
                  <c:v>2.0180476920325301</c:v>
                </c:pt>
                <c:pt idx="5">
                  <c:v>2.251085213527606</c:v>
                </c:pt>
                <c:pt idx="6">
                  <c:v>2.2734025880714679</c:v>
                </c:pt>
                <c:pt idx="7">
                  <c:v>2.2846690845007913</c:v>
                </c:pt>
                <c:pt idx="8">
                  <c:v>2.2904285721732602</c:v>
                </c:pt>
              </c:numCache>
            </c:numRef>
          </c:val>
          <c:extLst>
            <c:ext xmlns:c16="http://schemas.microsoft.com/office/drawing/2014/chart" uri="{C3380CC4-5D6E-409C-BE32-E72D297353CC}">
              <c16:uniqueId val="{00000001-FEF5-41D8-9C11-2BFC5A158EE3}"/>
            </c:ext>
          </c:extLst>
        </c:ser>
        <c:ser>
          <c:idx val="2"/>
          <c:order val="2"/>
          <c:tx>
            <c:strRef>
              <c:f>Fanchart!$D$3</c:f>
              <c:strCache>
                <c:ptCount val="1"/>
              </c:strCache>
            </c:strRef>
          </c:tx>
          <c:spPr>
            <a:solidFill>
              <a:srgbClr val="FF0000">
                <a:alpha val="30000"/>
              </a:srgbClr>
            </a:solidFill>
          </c:spPr>
          <c:cat>
            <c:strRef>
              <c:f>Fanchart!$A$4:$A$99</c:f>
              <c:strCache>
                <c:ptCount val="9"/>
                <c:pt idx="0">
                  <c:v>2019</c:v>
                </c:pt>
                <c:pt idx="1">
                  <c:v>2020</c:v>
                </c:pt>
                <c:pt idx="2">
                  <c:v>2021</c:v>
                </c:pt>
                <c:pt idx="3">
                  <c:v>2022</c:v>
                </c:pt>
                <c:pt idx="4">
                  <c:v>2023*</c:v>
                </c:pt>
                <c:pt idx="5">
                  <c:v>2024/1*</c:v>
                </c:pt>
                <c:pt idx="6">
                  <c:v>2024/2*</c:v>
                </c:pt>
                <c:pt idx="7">
                  <c:v>2024/3*</c:v>
                </c:pt>
                <c:pt idx="8">
                  <c:v>2024/4*</c:v>
                </c:pt>
              </c:strCache>
            </c:strRef>
          </c:cat>
          <c:val>
            <c:numRef>
              <c:f>Fanchart!$D$4:$D$99</c:f>
              <c:numCache>
                <c:formatCode>General</c:formatCode>
                <c:ptCount val="9"/>
                <c:pt idx="4">
                  <c:v>1.3615671971114427</c:v>
                </c:pt>
                <c:pt idx="5">
                  <c:v>1.5187965065160531</c:v>
                </c:pt>
                <c:pt idx="6">
                  <c:v>1.5338539331688228</c:v>
                </c:pt>
                <c:pt idx="7">
                  <c:v>1.5414553848218775</c:v>
                </c:pt>
                <c:pt idx="8">
                  <c:v>1.545341283811263</c:v>
                </c:pt>
              </c:numCache>
            </c:numRef>
          </c:val>
          <c:extLst>
            <c:ext xmlns:c16="http://schemas.microsoft.com/office/drawing/2014/chart" uri="{C3380CC4-5D6E-409C-BE32-E72D297353CC}">
              <c16:uniqueId val="{00000002-FEF5-41D8-9C11-2BFC5A158EE3}"/>
            </c:ext>
          </c:extLst>
        </c:ser>
        <c:ser>
          <c:idx val="3"/>
          <c:order val="3"/>
          <c:tx>
            <c:strRef>
              <c:f>Fanchart!$E$3</c:f>
              <c:strCache>
                <c:ptCount val="1"/>
              </c:strCache>
            </c:strRef>
          </c:tx>
          <c:spPr>
            <a:solidFill>
              <a:srgbClr val="FF0000">
                <a:alpha val="40000"/>
              </a:srgbClr>
            </a:solidFill>
          </c:spPr>
          <c:cat>
            <c:strRef>
              <c:f>Fanchart!$A$4:$A$99</c:f>
              <c:strCache>
                <c:ptCount val="9"/>
                <c:pt idx="0">
                  <c:v>2019</c:v>
                </c:pt>
                <c:pt idx="1">
                  <c:v>2020</c:v>
                </c:pt>
                <c:pt idx="2">
                  <c:v>2021</c:v>
                </c:pt>
                <c:pt idx="3">
                  <c:v>2022</c:v>
                </c:pt>
                <c:pt idx="4">
                  <c:v>2023*</c:v>
                </c:pt>
                <c:pt idx="5">
                  <c:v>2024/1*</c:v>
                </c:pt>
                <c:pt idx="6">
                  <c:v>2024/2*</c:v>
                </c:pt>
                <c:pt idx="7">
                  <c:v>2024/3*</c:v>
                </c:pt>
                <c:pt idx="8">
                  <c:v>2024/4*</c:v>
                </c:pt>
              </c:strCache>
            </c:strRef>
          </c:cat>
          <c:val>
            <c:numRef>
              <c:f>Fanchart!$E$4:$E$99</c:f>
              <c:numCache>
                <c:formatCode>General</c:formatCode>
                <c:ptCount val="9"/>
                <c:pt idx="4">
                  <c:v>1.0821304457056602</c:v>
                </c:pt>
                <c:pt idx="5">
                  <c:v>1.2070913165499091</c:v>
                </c:pt>
                <c:pt idx="6">
                  <c:v>1.2190584819233923</c:v>
                </c:pt>
                <c:pt idx="7">
                  <c:v>1.2250998747263155</c:v>
                </c:pt>
                <c:pt idx="8">
                  <c:v>1.228188264057577</c:v>
                </c:pt>
              </c:numCache>
            </c:numRef>
          </c:val>
          <c:extLst>
            <c:ext xmlns:c16="http://schemas.microsoft.com/office/drawing/2014/chart" uri="{C3380CC4-5D6E-409C-BE32-E72D297353CC}">
              <c16:uniqueId val="{00000003-FEF5-41D8-9C11-2BFC5A158EE3}"/>
            </c:ext>
          </c:extLst>
        </c:ser>
        <c:ser>
          <c:idx val="4"/>
          <c:order val="4"/>
          <c:tx>
            <c:strRef>
              <c:f>Fanchart!$F$3</c:f>
              <c:strCache>
                <c:ptCount val="1"/>
              </c:strCache>
            </c:strRef>
          </c:tx>
          <c:spPr>
            <a:solidFill>
              <a:srgbClr val="FF0000">
                <a:alpha val="50000"/>
              </a:srgbClr>
            </a:solidFill>
          </c:spPr>
          <c:cat>
            <c:strRef>
              <c:f>Fanchart!$A$4:$A$99</c:f>
              <c:strCache>
                <c:ptCount val="9"/>
                <c:pt idx="0">
                  <c:v>2019</c:v>
                </c:pt>
                <c:pt idx="1">
                  <c:v>2020</c:v>
                </c:pt>
                <c:pt idx="2">
                  <c:v>2021</c:v>
                </c:pt>
                <c:pt idx="3">
                  <c:v>2022</c:v>
                </c:pt>
                <c:pt idx="4">
                  <c:v>2023*</c:v>
                </c:pt>
                <c:pt idx="5">
                  <c:v>2024/1*</c:v>
                </c:pt>
                <c:pt idx="6">
                  <c:v>2024/2*</c:v>
                </c:pt>
                <c:pt idx="7">
                  <c:v>2024/3*</c:v>
                </c:pt>
                <c:pt idx="8">
                  <c:v>2024/4*</c:v>
                </c:pt>
              </c:strCache>
            </c:strRef>
          </c:cat>
          <c:val>
            <c:numRef>
              <c:f>Fanchart!$F$4:$F$99</c:f>
              <c:numCache>
                <c:formatCode>General</c:formatCode>
                <c:ptCount val="9"/>
                <c:pt idx="4">
                  <c:v>0.92837156769353513</c:v>
                </c:pt>
                <c:pt idx="5">
                  <c:v>1.0355768681509767</c:v>
                </c:pt>
                <c:pt idx="6">
                  <c:v>1.0458436304648142</c:v>
                </c:pt>
                <c:pt idx="7">
                  <c:v>1.0510266075539114</c:v>
                </c:pt>
                <c:pt idx="8">
                  <c:v>1.0536761706047297</c:v>
                </c:pt>
              </c:numCache>
            </c:numRef>
          </c:val>
          <c:extLst>
            <c:ext xmlns:c16="http://schemas.microsoft.com/office/drawing/2014/chart" uri="{C3380CC4-5D6E-409C-BE32-E72D297353CC}">
              <c16:uniqueId val="{00000004-FEF5-41D8-9C11-2BFC5A158EE3}"/>
            </c:ext>
          </c:extLst>
        </c:ser>
        <c:ser>
          <c:idx val="5"/>
          <c:order val="5"/>
          <c:tx>
            <c:strRef>
              <c:f>Fanchart!$G$3</c:f>
              <c:strCache>
                <c:ptCount val="1"/>
              </c:strCache>
            </c:strRef>
          </c:tx>
          <c:spPr>
            <a:solidFill>
              <a:srgbClr val="FF0000">
                <a:alpha val="60000"/>
              </a:srgbClr>
            </a:solidFill>
          </c:spPr>
          <c:cat>
            <c:strRef>
              <c:f>Fanchart!$A$4:$A$99</c:f>
              <c:strCache>
                <c:ptCount val="9"/>
                <c:pt idx="0">
                  <c:v>2019</c:v>
                </c:pt>
                <c:pt idx="1">
                  <c:v>2020</c:v>
                </c:pt>
                <c:pt idx="2">
                  <c:v>2021</c:v>
                </c:pt>
                <c:pt idx="3">
                  <c:v>2022</c:v>
                </c:pt>
                <c:pt idx="4">
                  <c:v>2023*</c:v>
                </c:pt>
                <c:pt idx="5">
                  <c:v>2024/1*</c:v>
                </c:pt>
                <c:pt idx="6">
                  <c:v>2024/2*</c:v>
                </c:pt>
                <c:pt idx="7">
                  <c:v>2024/3*</c:v>
                </c:pt>
                <c:pt idx="8">
                  <c:v>2024/4*</c:v>
                </c:pt>
              </c:strCache>
            </c:strRef>
          </c:cat>
          <c:val>
            <c:numRef>
              <c:f>Fanchart!$G$4:$G$99</c:f>
              <c:numCache>
                <c:formatCode>General</c:formatCode>
                <c:ptCount val="9"/>
                <c:pt idx="4">
                  <c:v>0.83370636031831324</c:v>
                </c:pt>
                <c:pt idx="5">
                  <c:v>0.92998003344819846</c:v>
                </c:pt>
                <c:pt idx="6">
                  <c:v>0.93919990331365355</c:v>
                </c:pt>
                <c:pt idx="7">
                  <c:v>0.9438543769263017</c:v>
                </c:pt>
                <c:pt idx="8">
                  <c:v>0.94623376643412804</c:v>
                </c:pt>
              </c:numCache>
            </c:numRef>
          </c:val>
          <c:extLst>
            <c:ext xmlns:c16="http://schemas.microsoft.com/office/drawing/2014/chart" uri="{C3380CC4-5D6E-409C-BE32-E72D297353CC}">
              <c16:uniqueId val="{00000005-FEF5-41D8-9C11-2BFC5A158EE3}"/>
            </c:ext>
          </c:extLst>
        </c:ser>
        <c:ser>
          <c:idx val="6"/>
          <c:order val="6"/>
          <c:tx>
            <c:strRef>
              <c:f>Fanchart!$H$3</c:f>
              <c:strCache>
                <c:ptCount val="1"/>
              </c:strCache>
            </c:strRef>
          </c:tx>
          <c:spPr>
            <a:solidFill>
              <a:srgbClr val="FF0000">
                <a:alpha val="70000"/>
              </a:srgbClr>
            </a:solidFill>
          </c:spPr>
          <c:cat>
            <c:strRef>
              <c:f>Fanchart!$A$4:$A$99</c:f>
              <c:strCache>
                <c:ptCount val="9"/>
                <c:pt idx="0">
                  <c:v>2019</c:v>
                </c:pt>
                <c:pt idx="1">
                  <c:v>2020</c:v>
                </c:pt>
                <c:pt idx="2">
                  <c:v>2021</c:v>
                </c:pt>
                <c:pt idx="3">
                  <c:v>2022</c:v>
                </c:pt>
                <c:pt idx="4">
                  <c:v>2023*</c:v>
                </c:pt>
                <c:pt idx="5">
                  <c:v>2024/1*</c:v>
                </c:pt>
                <c:pt idx="6">
                  <c:v>2024/2*</c:v>
                </c:pt>
                <c:pt idx="7">
                  <c:v>2024/3*</c:v>
                </c:pt>
                <c:pt idx="8">
                  <c:v>2024/4*</c:v>
                </c:pt>
              </c:strCache>
            </c:strRef>
          </c:cat>
          <c:val>
            <c:numRef>
              <c:f>Fanchart!$H$4:$H$99</c:f>
              <c:numCache>
                <c:formatCode>General</c:formatCode>
                <c:ptCount val="9"/>
                <c:pt idx="4">
                  <c:v>0.77255318992015454</c:v>
                </c:pt>
                <c:pt idx="5">
                  <c:v>0.86176509572044857</c:v>
                </c:pt>
                <c:pt idx="6">
                  <c:v>0.87030867918607946</c:v>
                </c:pt>
                <c:pt idx="7">
                  <c:v>0.87462174264343062</c:v>
                </c:pt>
                <c:pt idx="8">
                  <c:v>0.87682660162235315</c:v>
                </c:pt>
              </c:numCache>
            </c:numRef>
          </c:val>
          <c:extLst>
            <c:ext xmlns:c16="http://schemas.microsoft.com/office/drawing/2014/chart" uri="{C3380CC4-5D6E-409C-BE32-E72D297353CC}">
              <c16:uniqueId val="{00000006-FEF5-41D8-9C11-2BFC5A158EE3}"/>
            </c:ext>
          </c:extLst>
        </c:ser>
        <c:ser>
          <c:idx val="7"/>
          <c:order val="7"/>
          <c:tx>
            <c:strRef>
              <c:f>Fanchart!$I$3</c:f>
              <c:strCache>
                <c:ptCount val="1"/>
              </c:strCache>
            </c:strRef>
          </c:tx>
          <c:spPr>
            <a:solidFill>
              <a:srgbClr val="FF0000">
                <a:alpha val="80000"/>
              </a:srgbClr>
            </a:solidFill>
          </c:spPr>
          <c:cat>
            <c:strRef>
              <c:f>Fanchart!$A$4:$A$99</c:f>
              <c:strCache>
                <c:ptCount val="9"/>
                <c:pt idx="0">
                  <c:v>2019</c:v>
                </c:pt>
                <c:pt idx="1">
                  <c:v>2020</c:v>
                </c:pt>
                <c:pt idx="2">
                  <c:v>2021</c:v>
                </c:pt>
                <c:pt idx="3">
                  <c:v>2022</c:v>
                </c:pt>
                <c:pt idx="4">
                  <c:v>2023*</c:v>
                </c:pt>
                <c:pt idx="5">
                  <c:v>2024/1*</c:v>
                </c:pt>
                <c:pt idx="6">
                  <c:v>2024/2*</c:v>
                </c:pt>
                <c:pt idx="7">
                  <c:v>2024/3*</c:v>
                </c:pt>
                <c:pt idx="8">
                  <c:v>2024/4*</c:v>
                </c:pt>
              </c:strCache>
            </c:strRef>
          </c:cat>
          <c:val>
            <c:numRef>
              <c:f>Fanchart!$I$4:$I$99</c:f>
              <c:numCache>
                <c:formatCode>General</c:formatCode>
                <c:ptCount val="9"/>
                <c:pt idx="4">
                  <c:v>0.73307742909307017</c:v>
                </c:pt>
                <c:pt idx="5">
                  <c:v>0.81773080364625983</c:v>
                </c:pt>
                <c:pt idx="6">
                  <c:v>0.82583782887629553</c:v>
                </c:pt>
                <c:pt idx="7">
                  <c:v>0.82993050432192739</c:v>
                </c:pt>
                <c:pt idx="8">
                  <c:v>0.83202269987929611</c:v>
                </c:pt>
              </c:numCache>
            </c:numRef>
          </c:val>
          <c:extLst>
            <c:ext xmlns:c16="http://schemas.microsoft.com/office/drawing/2014/chart" uri="{C3380CC4-5D6E-409C-BE32-E72D297353CC}">
              <c16:uniqueId val="{00000007-FEF5-41D8-9C11-2BFC5A158EE3}"/>
            </c:ext>
          </c:extLst>
        </c:ser>
        <c:ser>
          <c:idx val="8"/>
          <c:order val="8"/>
          <c:tx>
            <c:strRef>
              <c:f>Fanchart!$J$3</c:f>
              <c:strCache>
                <c:ptCount val="1"/>
              </c:strCache>
            </c:strRef>
          </c:tx>
          <c:spPr>
            <a:solidFill>
              <a:srgbClr val="FF0000">
                <a:alpha val="90000"/>
              </a:srgbClr>
            </a:solidFill>
          </c:spPr>
          <c:cat>
            <c:strRef>
              <c:f>Fanchart!$A$4:$A$99</c:f>
              <c:strCache>
                <c:ptCount val="9"/>
                <c:pt idx="0">
                  <c:v>2019</c:v>
                </c:pt>
                <c:pt idx="1">
                  <c:v>2020</c:v>
                </c:pt>
                <c:pt idx="2">
                  <c:v>2021</c:v>
                </c:pt>
                <c:pt idx="3">
                  <c:v>2022</c:v>
                </c:pt>
                <c:pt idx="4">
                  <c:v>2023*</c:v>
                </c:pt>
                <c:pt idx="5">
                  <c:v>2024/1*</c:v>
                </c:pt>
                <c:pt idx="6">
                  <c:v>2024/2*</c:v>
                </c:pt>
                <c:pt idx="7">
                  <c:v>2024/3*</c:v>
                </c:pt>
                <c:pt idx="8">
                  <c:v>2024/4*</c:v>
                </c:pt>
              </c:strCache>
            </c:strRef>
          </c:cat>
          <c:val>
            <c:numRef>
              <c:f>Fanchart!$J$4:$J$99</c:f>
              <c:numCache>
                <c:formatCode>General</c:formatCode>
                <c:ptCount val="9"/>
                <c:pt idx="4">
                  <c:v>0.70926089648351187</c:v>
                </c:pt>
                <c:pt idx="5">
                  <c:v>0.79116401604924569</c:v>
                </c:pt>
                <c:pt idx="6">
                  <c:v>0.79900765678114105</c:v>
                </c:pt>
                <c:pt idx="7">
                  <c:v>0.80296736763893861</c:v>
                </c:pt>
                <c:pt idx="8">
                  <c:v>0.80499159105347395</c:v>
                </c:pt>
              </c:numCache>
            </c:numRef>
          </c:val>
          <c:extLst>
            <c:ext xmlns:c16="http://schemas.microsoft.com/office/drawing/2014/chart" uri="{C3380CC4-5D6E-409C-BE32-E72D297353CC}">
              <c16:uniqueId val="{00000008-FEF5-41D8-9C11-2BFC5A158EE3}"/>
            </c:ext>
          </c:extLst>
        </c:ser>
        <c:ser>
          <c:idx val="9"/>
          <c:order val="9"/>
          <c:tx>
            <c:strRef>
              <c:f>Fanchart!$K$3</c:f>
              <c:strCache>
                <c:ptCount val="1"/>
              </c:strCache>
            </c:strRef>
          </c:tx>
          <c:spPr>
            <a:solidFill>
              <a:srgbClr val="FF0000"/>
            </a:solidFill>
            <a:ln>
              <a:solidFill>
                <a:srgbClr val="FF0000"/>
              </a:solidFill>
              <a:prstDash val="solid"/>
            </a:ln>
          </c:spPr>
          <c:cat>
            <c:strRef>
              <c:f>Fanchart!$A$4:$A$99</c:f>
              <c:strCache>
                <c:ptCount val="9"/>
                <c:pt idx="0">
                  <c:v>2019</c:v>
                </c:pt>
                <c:pt idx="1">
                  <c:v>2020</c:v>
                </c:pt>
                <c:pt idx="2">
                  <c:v>2021</c:v>
                </c:pt>
                <c:pt idx="3">
                  <c:v>2022</c:v>
                </c:pt>
                <c:pt idx="4">
                  <c:v>2023*</c:v>
                </c:pt>
                <c:pt idx="5">
                  <c:v>2024/1*</c:v>
                </c:pt>
                <c:pt idx="6">
                  <c:v>2024/2*</c:v>
                </c:pt>
                <c:pt idx="7">
                  <c:v>2024/3*</c:v>
                </c:pt>
                <c:pt idx="8">
                  <c:v>2024/4*</c:v>
                </c:pt>
              </c:strCache>
            </c:strRef>
          </c:cat>
          <c:val>
            <c:numRef>
              <c:f>Fanchart!$K$4:$K$99</c:f>
              <c:numCache>
                <c:formatCode>General</c:formatCode>
                <c:ptCount val="9"/>
                <c:pt idx="4">
                  <c:v>0.87666472299483367</c:v>
                </c:pt>
                <c:pt idx="5">
                  <c:v>0.97204862338882769</c:v>
                </c:pt>
                <c:pt idx="6">
                  <c:v>0.98748718893173226</c:v>
                </c:pt>
                <c:pt idx="7">
                  <c:v>0.9952810512080088</c:v>
                </c:pt>
                <c:pt idx="8">
                  <c:v>0.99926531144212483</c:v>
                </c:pt>
              </c:numCache>
            </c:numRef>
          </c:val>
          <c:extLst>
            <c:ext xmlns:c16="http://schemas.microsoft.com/office/drawing/2014/chart" uri="{C3380CC4-5D6E-409C-BE32-E72D297353CC}">
              <c16:uniqueId val="{00000009-FEF5-41D8-9C11-2BFC5A158EE3}"/>
            </c:ext>
          </c:extLst>
        </c:ser>
        <c:ser>
          <c:idx val="10"/>
          <c:order val="10"/>
          <c:tx>
            <c:strRef>
              <c:f>Fanchart!$L$3</c:f>
              <c:strCache>
                <c:ptCount val="1"/>
              </c:strCache>
            </c:strRef>
          </c:tx>
          <c:spPr>
            <a:solidFill>
              <a:srgbClr val="FF0000">
                <a:alpha val="90000"/>
              </a:srgbClr>
            </a:solidFill>
          </c:spPr>
          <c:cat>
            <c:strRef>
              <c:f>Fanchart!$A$4:$A$99</c:f>
              <c:strCache>
                <c:ptCount val="9"/>
                <c:pt idx="0">
                  <c:v>2019</c:v>
                </c:pt>
                <c:pt idx="1">
                  <c:v>2020</c:v>
                </c:pt>
                <c:pt idx="2">
                  <c:v>2021</c:v>
                </c:pt>
                <c:pt idx="3">
                  <c:v>2022</c:v>
                </c:pt>
                <c:pt idx="4">
                  <c:v>2023*</c:v>
                </c:pt>
                <c:pt idx="5">
                  <c:v>2024/1*</c:v>
                </c:pt>
                <c:pt idx="6">
                  <c:v>2024/2*</c:v>
                </c:pt>
                <c:pt idx="7">
                  <c:v>2024/3*</c:v>
                </c:pt>
                <c:pt idx="8">
                  <c:v>2024/4*</c:v>
                </c:pt>
              </c:strCache>
            </c:strRef>
          </c:cat>
          <c:val>
            <c:numRef>
              <c:f>Fanchart!$L$4:$L$99</c:f>
              <c:numCache>
                <c:formatCode>General</c:formatCode>
                <c:ptCount val="9"/>
                <c:pt idx="4">
                  <c:v>0.18152693097249895</c:v>
                </c:pt>
                <c:pt idx="5">
                  <c:v>0.19654435032840567</c:v>
                </c:pt>
                <c:pt idx="6">
                  <c:v>0.20438799106030103</c:v>
                </c:pt>
                <c:pt idx="7">
                  <c:v>0.20834770191809859</c:v>
                </c:pt>
                <c:pt idx="8">
                  <c:v>0.21037192533263394</c:v>
                </c:pt>
              </c:numCache>
            </c:numRef>
          </c:val>
          <c:extLst>
            <c:ext xmlns:c16="http://schemas.microsoft.com/office/drawing/2014/chart" uri="{C3380CC4-5D6E-409C-BE32-E72D297353CC}">
              <c16:uniqueId val="{0000000A-FEF5-41D8-9C11-2BFC5A158EE3}"/>
            </c:ext>
          </c:extLst>
        </c:ser>
        <c:ser>
          <c:idx val="11"/>
          <c:order val="11"/>
          <c:tx>
            <c:strRef>
              <c:f>Fanchart!$M$3</c:f>
              <c:strCache>
                <c:ptCount val="1"/>
              </c:strCache>
            </c:strRef>
          </c:tx>
          <c:spPr>
            <a:solidFill>
              <a:srgbClr val="FF0000">
                <a:alpha val="80000"/>
              </a:srgbClr>
            </a:solidFill>
          </c:spPr>
          <c:cat>
            <c:strRef>
              <c:f>Fanchart!$A$4:$A$99</c:f>
              <c:strCache>
                <c:ptCount val="9"/>
                <c:pt idx="0">
                  <c:v>2019</c:v>
                </c:pt>
                <c:pt idx="1">
                  <c:v>2020</c:v>
                </c:pt>
                <c:pt idx="2">
                  <c:v>2021</c:v>
                </c:pt>
                <c:pt idx="3">
                  <c:v>2022</c:v>
                </c:pt>
                <c:pt idx="4">
                  <c:v>2023*</c:v>
                </c:pt>
                <c:pt idx="5">
                  <c:v>2024/1*</c:v>
                </c:pt>
                <c:pt idx="6">
                  <c:v>2024/2*</c:v>
                </c:pt>
                <c:pt idx="7">
                  <c:v>2024/3*</c:v>
                </c:pt>
                <c:pt idx="8">
                  <c:v>2024/4*</c:v>
                </c:pt>
              </c:strCache>
            </c:strRef>
          </c:cat>
          <c:val>
            <c:numRef>
              <c:f>Fanchart!$M$4:$M$99</c:f>
              <c:numCache>
                <c:formatCode>General</c:formatCode>
                <c:ptCount val="9"/>
                <c:pt idx="4">
                  <c:v>0.18762249057891722</c:v>
                </c:pt>
                <c:pt idx="5">
                  <c:v>0.20314418538491097</c:v>
                </c:pt>
                <c:pt idx="6">
                  <c:v>0.2112512106149449</c:v>
                </c:pt>
                <c:pt idx="7">
                  <c:v>0.21534388606057675</c:v>
                </c:pt>
                <c:pt idx="8">
                  <c:v>0.2174360816179437</c:v>
                </c:pt>
              </c:numCache>
            </c:numRef>
          </c:val>
          <c:extLst>
            <c:ext xmlns:c16="http://schemas.microsoft.com/office/drawing/2014/chart" uri="{C3380CC4-5D6E-409C-BE32-E72D297353CC}">
              <c16:uniqueId val="{0000000B-FEF5-41D8-9C11-2BFC5A158EE3}"/>
            </c:ext>
          </c:extLst>
        </c:ser>
        <c:ser>
          <c:idx val="12"/>
          <c:order val="12"/>
          <c:tx>
            <c:strRef>
              <c:f>Fanchart!$N$3</c:f>
              <c:strCache>
                <c:ptCount val="1"/>
              </c:strCache>
            </c:strRef>
          </c:tx>
          <c:spPr>
            <a:solidFill>
              <a:srgbClr val="FF0000">
                <a:alpha val="70000"/>
              </a:srgbClr>
            </a:solidFill>
          </c:spPr>
          <c:cat>
            <c:strRef>
              <c:f>Fanchart!$A$4:$A$99</c:f>
              <c:strCache>
                <c:ptCount val="9"/>
                <c:pt idx="0">
                  <c:v>2019</c:v>
                </c:pt>
                <c:pt idx="1">
                  <c:v>2020</c:v>
                </c:pt>
                <c:pt idx="2">
                  <c:v>2021</c:v>
                </c:pt>
                <c:pt idx="3">
                  <c:v>2022</c:v>
                </c:pt>
                <c:pt idx="4">
                  <c:v>2023*</c:v>
                </c:pt>
                <c:pt idx="5">
                  <c:v>2024/1*</c:v>
                </c:pt>
                <c:pt idx="6">
                  <c:v>2024/2*</c:v>
                </c:pt>
                <c:pt idx="7">
                  <c:v>2024/3*</c:v>
                </c:pt>
                <c:pt idx="8">
                  <c:v>2024/4*</c:v>
                </c:pt>
              </c:strCache>
            </c:strRef>
          </c:cat>
          <c:val>
            <c:numRef>
              <c:f>Fanchart!$N$4:$N$99</c:f>
              <c:numCache>
                <c:formatCode>General</c:formatCode>
                <c:ptCount val="9"/>
                <c:pt idx="4">
                  <c:v>0.19772584429019346</c:v>
                </c:pt>
                <c:pt idx="5">
                  <c:v>0.21408337264864663</c:v>
                </c:pt>
                <c:pt idx="6">
                  <c:v>0.22262695611427752</c:v>
                </c:pt>
                <c:pt idx="7">
                  <c:v>0.22694001957162868</c:v>
                </c:pt>
                <c:pt idx="8">
                  <c:v>0.22914487855055299</c:v>
                </c:pt>
              </c:numCache>
            </c:numRef>
          </c:val>
          <c:extLst>
            <c:ext xmlns:c16="http://schemas.microsoft.com/office/drawing/2014/chart" uri="{C3380CC4-5D6E-409C-BE32-E72D297353CC}">
              <c16:uniqueId val="{0000000C-FEF5-41D8-9C11-2BFC5A158EE3}"/>
            </c:ext>
          </c:extLst>
        </c:ser>
        <c:ser>
          <c:idx val="13"/>
          <c:order val="13"/>
          <c:tx>
            <c:strRef>
              <c:f>Fanchart!$O$3</c:f>
              <c:strCache>
                <c:ptCount val="1"/>
              </c:strCache>
            </c:strRef>
          </c:tx>
          <c:spPr>
            <a:solidFill>
              <a:srgbClr val="FF0000">
                <a:alpha val="60000"/>
              </a:srgbClr>
            </a:solidFill>
          </c:spPr>
          <c:cat>
            <c:strRef>
              <c:f>Fanchart!$A$4:$A$99</c:f>
              <c:strCache>
                <c:ptCount val="9"/>
                <c:pt idx="0">
                  <c:v>2019</c:v>
                </c:pt>
                <c:pt idx="1">
                  <c:v>2020</c:v>
                </c:pt>
                <c:pt idx="2">
                  <c:v>2021</c:v>
                </c:pt>
                <c:pt idx="3">
                  <c:v>2022</c:v>
                </c:pt>
                <c:pt idx="4">
                  <c:v>2023*</c:v>
                </c:pt>
                <c:pt idx="5">
                  <c:v>2024/1*</c:v>
                </c:pt>
                <c:pt idx="6">
                  <c:v>2024/2*</c:v>
                </c:pt>
                <c:pt idx="7">
                  <c:v>2024/3*</c:v>
                </c:pt>
                <c:pt idx="8">
                  <c:v>2024/4*</c:v>
                </c:pt>
              </c:strCache>
            </c:strRef>
          </c:cat>
          <c:val>
            <c:numRef>
              <c:f>Fanchart!$O$4:$O$99</c:f>
              <c:numCache>
                <c:formatCode>General</c:formatCode>
                <c:ptCount val="9"/>
                <c:pt idx="4">
                  <c:v>0.21337727438686116</c:v>
                </c:pt>
                <c:pt idx="5">
                  <c:v>0.23102961937678401</c:v>
                </c:pt>
                <c:pt idx="6">
                  <c:v>0.24024948924223821</c:v>
                </c:pt>
                <c:pt idx="7">
                  <c:v>0.24490396285488636</c:v>
                </c:pt>
                <c:pt idx="8">
                  <c:v>0.24728335236271271</c:v>
                </c:pt>
              </c:numCache>
            </c:numRef>
          </c:val>
          <c:extLst>
            <c:ext xmlns:c16="http://schemas.microsoft.com/office/drawing/2014/chart" uri="{C3380CC4-5D6E-409C-BE32-E72D297353CC}">
              <c16:uniqueId val="{0000000D-FEF5-41D8-9C11-2BFC5A158EE3}"/>
            </c:ext>
          </c:extLst>
        </c:ser>
        <c:ser>
          <c:idx val="14"/>
          <c:order val="14"/>
          <c:tx>
            <c:strRef>
              <c:f>Fanchart!$P$3</c:f>
              <c:strCache>
                <c:ptCount val="1"/>
              </c:strCache>
            </c:strRef>
          </c:tx>
          <c:spPr>
            <a:solidFill>
              <a:srgbClr val="FF0000">
                <a:alpha val="50000"/>
              </a:srgbClr>
            </a:solidFill>
          </c:spPr>
          <c:cat>
            <c:strRef>
              <c:f>Fanchart!$A$4:$A$99</c:f>
              <c:strCache>
                <c:ptCount val="9"/>
                <c:pt idx="0">
                  <c:v>2019</c:v>
                </c:pt>
                <c:pt idx="1">
                  <c:v>2020</c:v>
                </c:pt>
                <c:pt idx="2">
                  <c:v>2021</c:v>
                </c:pt>
                <c:pt idx="3">
                  <c:v>2022</c:v>
                </c:pt>
                <c:pt idx="4">
                  <c:v>2023*</c:v>
                </c:pt>
                <c:pt idx="5">
                  <c:v>2024/1*</c:v>
                </c:pt>
                <c:pt idx="6">
                  <c:v>2024/2*</c:v>
                </c:pt>
                <c:pt idx="7">
                  <c:v>2024/3*</c:v>
                </c:pt>
                <c:pt idx="8">
                  <c:v>2024/4*</c:v>
                </c:pt>
              </c:strCache>
            </c:strRef>
          </c:cat>
          <c:val>
            <c:numRef>
              <c:f>Fanchart!$P$4:$P$99</c:f>
              <c:numCache>
                <c:formatCode>General</c:formatCode>
                <c:ptCount val="9"/>
                <c:pt idx="4">
                  <c:v>0.23760571366766925</c:v>
                </c:pt>
                <c:pt idx="5">
                  <c:v>0.25726243691192963</c:v>
                </c:pt>
                <c:pt idx="6">
                  <c:v>0.26752919922576979</c:v>
                </c:pt>
                <c:pt idx="7">
                  <c:v>0.27271217631486344</c:v>
                </c:pt>
                <c:pt idx="8">
                  <c:v>0.27536173936568353</c:v>
                </c:pt>
              </c:numCache>
            </c:numRef>
          </c:val>
          <c:extLst>
            <c:ext xmlns:c16="http://schemas.microsoft.com/office/drawing/2014/chart" uri="{C3380CC4-5D6E-409C-BE32-E72D297353CC}">
              <c16:uniqueId val="{0000000E-FEF5-41D8-9C11-2BFC5A158EE3}"/>
            </c:ext>
          </c:extLst>
        </c:ser>
        <c:ser>
          <c:idx val="15"/>
          <c:order val="15"/>
          <c:tx>
            <c:strRef>
              <c:f>Fanchart!$Q$3</c:f>
              <c:strCache>
                <c:ptCount val="1"/>
              </c:strCache>
            </c:strRef>
          </c:tx>
          <c:spPr>
            <a:solidFill>
              <a:srgbClr val="FF0000">
                <a:alpha val="40000"/>
              </a:srgbClr>
            </a:solidFill>
          </c:spPr>
          <c:cat>
            <c:strRef>
              <c:f>Fanchart!$A$4:$A$99</c:f>
              <c:strCache>
                <c:ptCount val="9"/>
                <c:pt idx="0">
                  <c:v>2019</c:v>
                </c:pt>
                <c:pt idx="1">
                  <c:v>2020</c:v>
                </c:pt>
                <c:pt idx="2">
                  <c:v>2021</c:v>
                </c:pt>
                <c:pt idx="3">
                  <c:v>2022</c:v>
                </c:pt>
                <c:pt idx="4">
                  <c:v>2023*</c:v>
                </c:pt>
                <c:pt idx="5">
                  <c:v>2024/1*</c:v>
                </c:pt>
                <c:pt idx="6">
                  <c:v>2024/2*</c:v>
                </c:pt>
                <c:pt idx="7">
                  <c:v>2024/3*</c:v>
                </c:pt>
                <c:pt idx="8">
                  <c:v>2024/4*</c:v>
                </c:pt>
              </c:strCache>
            </c:strRef>
          </c:cat>
          <c:val>
            <c:numRef>
              <c:f>Fanchart!$Q$4:$Q$99</c:f>
              <c:numCache>
                <c:formatCode>General</c:formatCode>
                <c:ptCount val="9"/>
                <c:pt idx="4">
                  <c:v>0.27695847845943788</c:v>
                </c:pt>
                <c:pt idx="5">
                  <c:v>0.29987079010882667</c:v>
                </c:pt>
                <c:pt idx="6">
                  <c:v>0.31183795548230897</c:v>
                </c:pt>
                <c:pt idx="7">
                  <c:v>0.3178793482852349</c:v>
                </c:pt>
                <c:pt idx="8">
                  <c:v>0.32096773761649544</c:v>
                </c:pt>
              </c:numCache>
            </c:numRef>
          </c:val>
          <c:extLst>
            <c:ext xmlns:c16="http://schemas.microsoft.com/office/drawing/2014/chart" uri="{C3380CC4-5D6E-409C-BE32-E72D297353CC}">
              <c16:uniqueId val="{0000000F-FEF5-41D8-9C11-2BFC5A158EE3}"/>
            </c:ext>
          </c:extLst>
        </c:ser>
        <c:ser>
          <c:idx val="16"/>
          <c:order val="16"/>
          <c:tx>
            <c:strRef>
              <c:f>Fanchart!$R$3</c:f>
              <c:strCache>
                <c:ptCount val="1"/>
              </c:strCache>
            </c:strRef>
          </c:tx>
          <c:spPr>
            <a:solidFill>
              <a:srgbClr val="FF0000">
                <a:alpha val="30000"/>
              </a:srgbClr>
            </a:solidFill>
          </c:spPr>
          <c:cat>
            <c:strRef>
              <c:f>Fanchart!$A$4:$A$99</c:f>
              <c:strCache>
                <c:ptCount val="9"/>
                <c:pt idx="0">
                  <c:v>2019</c:v>
                </c:pt>
                <c:pt idx="1">
                  <c:v>2020</c:v>
                </c:pt>
                <c:pt idx="2">
                  <c:v>2021</c:v>
                </c:pt>
                <c:pt idx="3">
                  <c:v>2022</c:v>
                </c:pt>
                <c:pt idx="4">
                  <c:v>2023*</c:v>
                </c:pt>
                <c:pt idx="5">
                  <c:v>2024/1*</c:v>
                </c:pt>
                <c:pt idx="6">
                  <c:v>2024/2*</c:v>
                </c:pt>
                <c:pt idx="7">
                  <c:v>2024/3*</c:v>
                </c:pt>
                <c:pt idx="8">
                  <c:v>2024/4*</c:v>
                </c:pt>
              </c:strCache>
            </c:strRef>
          </c:cat>
          <c:val>
            <c:numRef>
              <c:f>Fanchart!$R$4:$R$99</c:f>
              <c:numCache>
                <c:formatCode>General</c:formatCode>
                <c:ptCount val="9"/>
                <c:pt idx="4">
                  <c:v>0.34847700730419717</c:v>
                </c:pt>
                <c:pt idx="5">
                  <c:v>0.37730592721455203</c:v>
                </c:pt>
                <c:pt idx="6">
                  <c:v>0.39236335386731902</c:v>
                </c:pt>
                <c:pt idx="7">
                  <c:v>0.39996480552037283</c:v>
                </c:pt>
                <c:pt idx="8">
                  <c:v>0.40385070450976102</c:v>
                </c:pt>
              </c:numCache>
            </c:numRef>
          </c:val>
          <c:extLst>
            <c:ext xmlns:c16="http://schemas.microsoft.com/office/drawing/2014/chart" uri="{C3380CC4-5D6E-409C-BE32-E72D297353CC}">
              <c16:uniqueId val="{00000010-FEF5-41D8-9C11-2BFC5A158EE3}"/>
            </c:ext>
          </c:extLst>
        </c:ser>
        <c:ser>
          <c:idx val="17"/>
          <c:order val="17"/>
          <c:tx>
            <c:strRef>
              <c:f>Fanchart!$S$3</c:f>
              <c:strCache>
                <c:ptCount val="1"/>
              </c:strCache>
            </c:strRef>
          </c:tx>
          <c:spPr>
            <a:solidFill>
              <a:srgbClr val="FF0000">
                <a:alpha val="20000"/>
              </a:srgbClr>
            </a:solidFill>
          </c:spPr>
          <c:cat>
            <c:strRef>
              <c:f>Fanchart!$A$4:$A$99</c:f>
              <c:strCache>
                <c:ptCount val="9"/>
                <c:pt idx="0">
                  <c:v>2019</c:v>
                </c:pt>
                <c:pt idx="1">
                  <c:v>2020</c:v>
                </c:pt>
                <c:pt idx="2">
                  <c:v>2021</c:v>
                </c:pt>
                <c:pt idx="3">
                  <c:v>2022</c:v>
                </c:pt>
                <c:pt idx="4">
                  <c:v>2023*</c:v>
                </c:pt>
                <c:pt idx="5">
                  <c:v>2024/1*</c:v>
                </c:pt>
                <c:pt idx="6">
                  <c:v>2024/2*</c:v>
                </c:pt>
                <c:pt idx="7">
                  <c:v>2024/3*</c:v>
                </c:pt>
                <c:pt idx="8">
                  <c:v>2024/4*</c:v>
                </c:pt>
              </c:strCache>
            </c:strRef>
          </c:cat>
          <c:val>
            <c:numRef>
              <c:f>Fanchart!$S$4:$S$99</c:f>
              <c:numCache>
                <c:formatCode>General</c:formatCode>
                <c:ptCount val="9"/>
                <c:pt idx="4">
                  <c:v>0.51649541925552356</c:v>
                </c:pt>
                <c:pt idx="5">
                  <c:v>0.55922422133910921</c:v>
                </c:pt>
                <c:pt idx="6">
                  <c:v>0.58154159588297105</c:v>
                </c:pt>
                <c:pt idx="7">
                  <c:v>0.59280809231229625</c:v>
                </c:pt>
                <c:pt idx="8">
                  <c:v>0.5985675799847634</c:v>
                </c:pt>
              </c:numCache>
            </c:numRef>
          </c:val>
          <c:extLst>
            <c:ext xmlns:c16="http://schemas.microsoft.com/office/drawing/2014/chart" uri="{C3380CC4-5D6E-409C-BE32-E72D297353CC}">
              <c16:uniqueId val="{00000011-FEF5-41D8-9C11-2BFC5A158EE3}"/>
            </c:ext>
          </c:extLst>
        </c:ser>
        <c:dLbls>
          <c:showLegendKey val="0"/>
          <c:showVal val="0"/>
          <c:showCatName val="0"/>
          <c:showSerName val="0"/>
          <c:showPercent val="0"/>
          <c:showBubbleSize val="0"/>
        </c:dLbls>
        <c:axId val="638764400"/>
        <c:axId val="638757200"/>
      </c:areaChart>
      <c:catAx>
        <c:axId val="638764400"/>
        <c:scaling>
          <c:orientation val="minMax"/>
        </c:scaling>
        <c:delete val="0"/>
        <c:axPos val="b"/>
        <c:numFmt formatCode="General" sourceLinked="1"/>
        <c:majorTickMark val="out"/>
        <c:minorTickMark val="none"/>
        <c:tickLblPos val="nextTo"/>
        <c:crossAx val="638757200"/>
        <c:crosses val="autoZero"/>
        <c:auto val="1"/>
        <c:lblAlgn val="ctr"/>
        <c:lblOffset val="100"/>
        <c:noMultiLvlLbl val="0"/>
      </c:catAx>
      <c:valAx>
        <c:axId val="638757200"/>
        <c:scaling>
          <c:orientation val="minMax"/>
        </c:scaling>
        <c:delete val="0"/>
        <c:axPos val="l"/>
        <c:majorGridlines/>
        <c:numFmt formatCode="General" sourceLinked="1"/>
        <c:majorTickMark val="out"/>
        <c:minorTickMark val="none"/>
        <c:tickLblPos val="nextTo"/>
        <c:crossAx val="638764400"/>
        <c:crosses val="autoZero"/>
        <c:crossBetween val="between"/>
      </c:valAx>
    </c:plotArea>
    <c:plotVisOnly val="1"/>
    <c:dispBlanksAs val="gap"/>
    <c:showDLblsOverMax val="0"/>
    <c:extLs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93043549998624"/>
          <c:y val="3.2277022190408018E-2"/>
          <c:w val="0.78411874883509181"/>
          <c:h val="0.6461463851109519"/>
        </c:manualLayout>
      </c:layout>
      <c:lineChart>
        <c:grouping val="standard"/>
        <c:varyColors val="0"/>
        <c:ser>
          <c:idx val="0"/>
          <c:order val="0"/>
          <c:tx>
            <c:strRef>
              <c:f>Sheet1!$D$1</c:f>
              <c:strCache>
                <c:ptCount val="1"/>
                <c:pt idx="0">
                  <c:v>Միս</c:v>
                </c:pt>
              </c:strCache>
            </c:strRef>
          </c:tx>
          <c:spPr>
            <a:ln w="15875" cap="rnd">
              <a:solidFill>
                <a:schemeClr val="accent1"/>
              </a:solidFill>
              <a:round/>
            </a:ln>
            <a:effectLst/>
          </c:spPr>
          <c:marker>
            <c:symbol val="none"/>
          </c:marker>
          <c:cat>
            <c:multiLvlStrRef>
              <c:f>Sheet1!$A$2:$B$57</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Sheet1!$D$2:$D$57</c:f>
              <c:numCache>
                <c:formatCode>0.0</c:formatCode>
                <c:ptCount val="56"/>
                <c:pt idx="0">
                  <c:v>100</c:v>
                </c:pt>
                <c:pt idx="1">
                  <c:v>100.89382651043778</c:v>
                </c:pt>
                <c:pt idx="2">
                  <c:v>102.50156164381458</c:v>
                </c:pt>
                <c:pt idx="3">
                  <c:v>105.94542842382498</c:v>
                </c:pt>
                <c:pt idx="4">
                  <c:v>108.9578899623221</c:v>
                </c:pt>
                <c:pt idx="5">
                  <c:v>109.7112869950171</c:v>
                </c:pt>
                <c:pt idx="6">
                  <c:v>111.02445504971973</c:v>
                </c:pt>
                <c:pt idx="7">
                  <c:v>110.84259704419428</c:v>
                </c:pt>
                <c:pt idx="8">
                  <c:v>109.47961507107598</c:v>
                </c:pt>
                <c:pt idx="9">
                  <c:v>110.05895691544292</c:v>
                </c:pt>
                <c:pt idx="10">
                  <c:v>115.45079898372904</c:v>
                </c:pt>
                <c:pt idx="11">
                  <c:v>115.58266625358216</c:v>
                </c:pt>
                <c:pt idx="12">
                  <c:v>112.29051058854664</c:v>
                </c:pt>
                <c:pt idx="13">
                  <c:v>108.87962695707913</c:v>
                </c:pt>
                <c:pt idx="14">
                  <c:v>107.75461124716239</c:v>
                </c:pt>
                <c:pt idx="15">
                  <c:v>105.02501121896981</c:v>
                </c:pt>
                <c:pt idx="16">
                  <c:v>103.40959303622228</c:v>
                </c:pt>
                <c:pt idx="17">
                  <c:v>102.75986548640878</c:v>
                </c:pt>
                <c:pt idx="18">
                  <c:v>99.953576839975611</c:v>
                </c:pt>
                <c:pt idx="19">
                  <c:v>99.927529852408483</c:v>
                </c:pt>
                <c:pt idx="20">
                  <c:v>99.137473353780067</c:v>
                </c:pt>
                <c:pt idx="21">
                  <c:v>99.472804816040963</c:v>
                </c:pt>
                <c:pt idx="22">
                  <c:v>101.13605313987937</c:v>
                </c:pt>
                <c:pt idx="23">
                  <c:v>102.79097619978188</c:v>
                </c:pt>
                <c:pt idx="24">
                  <c:v>104.00018051327531</c:v>
                </c:pt>
                <c:pt idx="25">
                  <c:v>105.95893633292587</c:v>
                </c:pt>
                <c:pt idx="26">
                  <c:v>109.20436144823053</c:v>
                </c:pt>
                <c:pt idx="27">
                  <c:v>113.08705779161301</c:v>
                </c:pt>
                <c:pt idx="28">
                  <c:v>116.38077467368926</c:v>
                </c:pt>
                <c:pt idx="29">
                  <c:v>119.95958468735375</c:v>
                </c:pt>
                <c:pt idx="30">
                  <c:v>123.67339307268786</c:v>
                </c:pt>
                <c:pt idx="31">
                  <c:v>122.9359923531395</c:v>
                </c:pt>
                <c:pt idx="32">
                  <c:v>122.12209010220813</c:v>
                </c:pt>
                <c:pt idx="33">
                  <c:v>121.34972751815869</c:v>
                </c:pt>
                <c:pt idx="34">
                  <c:v>121.93538976479982</c:v>
                </c:pt>
                <c:pt idx="35">
                  <c:v>120.3316311831653</c:v>
                </c:pt>
                <c:pt idx="36">
                  <c:v>121.54282491034134</c:v>
                </c:pt>
                <c:pt idx="37">
                  <c:v>123.41343700517467</c:v>
                </c:pt>
                <c:pt idx="38">
                  <c:v>129.31863354144474</c:v>
                </c:pt>
                <c:pt idx="39">
                  <c:v>132.11451837876544</c:v>
                </c:pt>
                <c:pt idx="40">
                  <c:v>133.16726615138023</c:v>
                </c:pt>
                <c:pt idx="41">
                  <c:v>136.47240432057984</c:v>
                </c:pt>
                <c:pt idx="42">
                  <c:v>134.44629883580902</c:v>
                </c:pt>
                <c:pt idx="43">
                  <c:v>131.23894152039051</c:v>
                </c:pt>
                <c:pt idx="44">
                  <c:v>130.3523200881308</c:v>
                </c:pt>
                <c:pt idx="45">
                  <c:v>126.61319947289506</c:v>
                </c:pt>
                <c:pt idx="46">
                  <c:v>124.22928767560416</c:v>
                </c:pt>
                <c:pt idx="47">
                  <c:v>121.8208849987623</c:v>
                </c:pt>
                <c:pt idx="48">
                  <c:v>120.43665627393959</c:v>
                </c:pt>
                <c:pt idx="49">
                  <c:v>122.81408036116085</c:v>
                </c:pt>
                <c:pt idx="50">
                  <c:v>124.29910044912482</c:v>
                </c:pt>
                <c:pt idx="51">
                  <c:v>126.51713517444848</c:v>
                </c:pt>
                <c:pt idx="52">
                  <c:v>127.98607374743</c:v>
                </c:pt>
                <c:pt idx="53">
                  <c:v>128.92475665580287</c:v>
                </c:pt>
                <c:pt idx="54">
                  <c:v>128.09285636595342</c:v>
                </c:pt>
                <c:pt idx="55">
                  <c:v>124.21162726840694</c:v>
                </c:pt>
              </c:numCache>
            </c:numRef>
          </c:val>
          <c:smooth val="0"/>
          <c:extLst>
            <c:ext xmlns:c16="http://schemas.microsoft.com/office/drawing/2014/chart" uri="{C3380CC4-5D6E-409C-BE32-E72D297353CC}">
              <c16:uniqueId val="{00000000-058E-4F44-8E0B-E62645370F56}"/>
            </c:ext>
          </c:extLst>
        </c:ser>
        <c:ser>
          <c:idx val="1"/>
          <c:order val="1"/>
          <c:tx>
            <c:strRef>
              <c:f>Sheet1!$E$1</c:f>
              <c:strCache>
                <c:ptCount val="1"/>
                <c:pt idx="0">
                  <c:v>Կաթնամթերք</c:v>
                </c:pt>
              </c:strCache>
            </c:strRef>
          </c:tx>
          <c:spPr>
            <a:ln w="15875" cap="rnd">
              <a:solidFill>
                <a:schemeClr val="accent2">
                  <a:lumMod val="60000"/>
                  <a:lumOff val="40000"/>
                </a:schemeClr>
              </a:solidFill>
              <a:round/>
            </a:ln>
            <a:effectLst/>
          </c:spPr>
          <c:marker>
            <c:symbol val="none"/>
          </c:marker>
          <c:cat>
            <c:multiLvlStrRef>
              <c:f>Sheet1!$A$2:$B$57</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Sheet1!$E$2:$E$57</c:f>
              <c:numCache>
                <c:formatCode>0.0</c:formatCode>
                <c:ptCount val="56"/>
                <c:pt idx="0">
                  <c:v>100</c:v>
                </c:pt>
                <c:pt idx="1">
                  <c:v>102.79088173953953</c:v>
                </c:pt>
                <c:pt idx="2">
                  <c:v>104.65645969082081</c:v>
                </c:pt>
                <c:pt idx="3">
                  <c:v>105.13242449586475</c:v>
                </c:pt>
                <c:pt idx="4">
                  <c:v>105.59289868247235</c:v>
                </c:pt>
                <c:pt idx="5">
                  <c:v>101.9258681400421</c:v>
                </c:pt>
                <c:pt idx="6">
                  <c:v>100.11613268066765</c:v>
                </c:pt>
                <c:pt idx="7">
                  <c:v>99.358745923751528</c:v>
                </c:pt>
                <c:pt idx="8">
                  <c:v>98.70342642414947</c:v>
                </c:pt>
                <c:pt idx="9">
                  <c:v>99.874433528895068</c:v>
                </c:pt>
                <c:pt idx="10">
                  <c:v>101.49237329423926</c:v>
                </c:pt>
                <c:pt idx="11">
                  <c:v>102.57162094379964</c:v>
                </c:pt>
                <c:pt idx="12">
                  <c:v>102.87063092330064</c:v>
                </c:pt>
                <c:pt idx="13">
                  <c:v>101.88671873852967</c:v>
                </c:pt>
                <c:pt idx="14">
                  <c:v>100.57216594765747</c:v>
                </c:pt>
                <c:pt idx="15">
                  <c:v>94.85541180536778</c:v>
                </c:pt>
                <c:pt idx="16">
                  <c:v>93.539673582469774</c:v>
                </c:pt>
                <c:pt idx="17">
                  <c:v>97.410138227753947</c:v>
                </c:pt>
                <c:pt idx="18">
                  <c:v>100.83250143127985</c:v>
                </c:pt>
                <c:pt idx="19">
                  <c:v>101.14264602784645</c:v>
                </c:pt>
                <c:pt idx="20">
                  <c:v>101.35839722165771</c:v>
                </c:pt>
                <c:pt idx="21">
                  <c:v>103.4998133741383</c:v>
                </c:pt>
                <c:pt idx="22">
                  <c:v>104.39330368509646</c:v>
                </c:pt>
                <c:pt idx="23">
                  <c:v>108.1614192133524</c:v>
                </c:pt>
                <c:pt idx="24">
                  <c:v>110.20312246920356</c:v>
                </c:pt>
                <c:pt idx="25">
                  <c:v>112.01347204740341</c:v>
                </c:pt>
                <c:pt idx="26">
                  <c:v>116.35791851074396</c:v>
                </c:pt>
                <c:pt idx="27">
                  <c:v>117.98773818082701</c:v>
                </c:pt>
                <c:pt idx="28">
                  <c:v>119.99502104091046</c:v>
                </c:pt>
                <c:pt idx="29">
                  <c:v>118.78863620491821</c:v>
                </c:pt>
                <c:pt idx="30">
                  <c:v>115.63454509861253</c:v>
                </c:pt>
                <c:pt idx="31">
                  <c:v>115.07162667689985</c:v>
                </c:pt>
                <c:pt idx="32">
                  <c:v>117.02290932854433</c:v>
                </c:pt>
                <c:pt idx="33">
                  <c:v>120.32030282356355</c:v>
                </c:pt>
                <c:pt idx="34">
                  <c:v>124.80382329993753</c:v>
                </c:pt>
                <c:pt idx="35">
                  <c:v>127.75314168728802</c:v>
                </c:pt>
                <c:pt idx="36">
                  <c:v>131.38839047060878</c:v>
                </c:pt>
                <c:pt idx="37">
                  <c:v>140.20189444991058</c:v>
                </c:pt>
                <c:pt idx="38">
                  <c:v>144.46315367173901</c:v>
                </c:pt>
                <c:pt idx="39">
                  <c:v>145.31319437878705</c:v>
                </c:pt>
                <c:pt idx="40">
                  <c:v>142.82546142349045</c:v>
                </c:pt>
                <c:pt idx="41">
                  <c:v>148.77295834364918</c:v>
                </c:pt>
                <c:pt idx="42">
                  <c:v>145.09144041732978</c:v>
                </c:pt>
                <c:pt idx="43">
                  <c:v>142.00683409562455</c:v>
                </c:pt>
                <c:pt idx="44">
                  <c:v>141.35492692661768</c:v>
                </c:pt>
                <c:pt idx="45">
                  <c:v>137.94649153309936</c:v>
                </c:pt>
                <c:pt idx="46">
                  <c:v>136.0964363201924</c:v>
                </c:pt>
                <c:pt idx="47">
                  <c:v>136.87362784925605</c:v>
                </c:pt>
                <c:pt idx="48">
                  <c:v>133.2711941909495</c:v>
                </c:pt>
                <c:pt idx="49">
                  <c:v>128.13713542034475</c:v>
                </c:pt>
                <c:pt idx="50">
                  <c:v>125.5976608532889</c:v>
                </c:pt>
                <c:pt idx="51">
                  <c:v>121.40408142587118</c:v>
                </c:pt>
                <c:pt idx="52">
                  <c:v>116.66796615667589</c:v>
                </c:pt>
                <c:pt idx="53">
                  <c:v>115.62800112883802</c:v>
                </c:pt>
                <c:pt idx="54">
                  <c:v>114.83021998504394</c:v>
                </c:pt>
                <c:pt idx="55">
                  <c:v>110.25350484077204</c:v>
                </c:pt>
              </c:numCache>
            </c:numRef>
          </c:val>
          <c:smooth val="0"/>
          <c:extLst>
            <c:ext xmlns:c16="http://schemas.microsoft.com/office/drawing/2014/chart" uri="{C3380CC4-5D6E-409C-BE32-E72D297353CC}">
              <c16:uniqueId val="{00000001-058E-4F44-8E0B-E62645370F56}"/>
            </c:ext>
          </c:extLst>
        </c:ser>
        <c:ser>
          <c:idx val="2"/>
          <c:order val="2"/>
          <c:tx>
            <c:strRef>
              <c:f>Sheet1!$F$1</c:f>
              <c:strCache>
                <c:ptCount val="1"/>
                <c:pt idx="0">
                  <c:v>Հացահատիկ</c:v>
                </c:pt>
              </c:strCache>
            </c:strRef>
          </c:tx>
          <c:spPr>
            <a:ln w="15875" cap="rnd">
              <a:solidFill>
                <a:schemeClr val="accent3"/>
              </a:solidFill>
              <a:round/>
            </a:ln>
            <a:effectLst/>
          </c:spPr>
          <c:marker>
            <c:symbol val="none"/>
          </c:marker>
          <c:cat>
            <c:multiLvlStrRef>
              <c:f>Sheet1!$A$2:$B$57</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Sheet1!$F$2:$F$57</c:f>
              <c:numCache>
                <c:formatCode>0.0</c:formatCode>
                <c:ptCount val="56"/>
                <c:pt idx="0">
                  <c:v>100</c:v>
                </c:pt>
                <c:pt idx="1">
                  <c:v>98.985395098475806</c:v>
                </c:pt>
                <c:pt idx="2">
                  <c:v>95.816626080183198</c:v>
                </c:pt>
                <c:pt idx="3">
                  <c:v>92.987942994225008</c:v>
                </c:pt>
                <c:pt idx="4">
                  <c:v>92.801046560737234</c:v>
                </c:pt>
                <c:pt idx="5">
                  <c:v>97.465520350487068</c:v>
                </c:pt>
                <c:pt idx="6">
                  <c:v>95.854793466357037</c:v>
                </c:pt>
                <c:pt idx="7">
                  <c:v>91.01473530222674</c:v>
                </c:pt>
                <c:pt idx="8">
                  <c:v>90.240091601802135</c:v>
                </c:pt>
                <c:pt idx="9">
                  <c:v>94.308612311417278</c:v>
                </c:pt>
                <c:pt idx="10">
                  <c:v>93.90698271263858</c:v>
                </c:pt>
                <c:pt idx="11">
                  <c:v>95.703138536731757</c:v>
                </c:pt>
                <c:pt idx="12">
                  <c:v>98.936351837251266</c:v>
                </c:pt>
                <c:pt idx="13">
                  <c:v>97.844578780153185</c:v>
                </c:pt>
                <c:pt idx="14">
                  <c:v>96.319077782832437</c:v>
                </c:pt>
                <c:pt idx="15">
                  <c:v>97.914255891970967</c:v>
                </c:pt>
                <c:pt idx="16">
                  <c:v>96.314261860736863</c:v>
                </c:pt>
                <c:pt idx="17">
                  <c:v>95.617224463784694</c:v>
                </c:pt>
                <c:pt idx="18">
                  <c:v>95.581822270726576</c:v>
                </c:pt>
                <c:pt idx="19">
                  <c:v>97.492093538398393</c:v>
                </c:pt>
                <c:pt idx="20">
                  <c:v>102.51289527455974</c:v>
                </c:pt>
                <c:pt idx="21">
                  <c:v>110.13891645112076</c:v>
                </c:pt>
                <c:pt idx="22">
                  <c:v>112.84616841427791</c:v>
                </c:pt>
                <c:pt idx="23">
                  <c:v>114.36236890932446</c:v>
                </c:pt>
                <c:pt idx="24">
                  <c:v>122.83525898681131</c:v>
                </c:pt>
                <c:pt idx="25">
                  <c:v>123.95325316936005</c:v>
                </c:pt>
                <c:pt idx="26">
                  <c:v>121.75339483791809</c:v>
                </c:pt>
                <c:pt idx="27">
                  <c:v>124.00589966739793</c:v>
                </c:pt>
                <c:pt idx="28">
                  <c:v>131.37017225284697</c:v>
                </c:pt>
                <c:pt idx="29">
                  <c:v>128.04821188790831</c:v>
                </c:pt>
                <c:pt idx="30">
                  <c:v>124.06125093955555</c:v>
                </c:pt>
                <c:pt idx="31">
                  <c:v>128.12056089305887</c:v>
                </c:pt>
                <c:pt idx="32">
                  <c:v>130.52668449223728</c:v>
                </c:pt>
                <c:pt idx="33">
                  <c:v>134.7576081189911</c:v>
                </c:pt>
                <c:pt idx="34">
                  <c:v>138.98475844737547</c:v>
                </c:pt>
                <c:pt idx="35">
                  <c:v>138.05150811785779</c:v>
                </c:pt>
                <c:pt idx="36">
                  <c:v>138.20150153537679</c:v>
                </c:pt>
                <c:pt idx="37">
                  <c:v>142.74817414022243</c:v>
                </c:pt>
                <c:pt idx="38">
                  <c:v>167.1723725042124</c:v>
                </c:pt>
                <c:pt idx="39">
                  <c:v>166.72569891241511</c:v>
                </c:pt>
                <c:pt idx="40">
                  <c:v>170.50289594114409</c:v>
                </c:pt>
                <c:pt idx="41">
                  <c:v>163.44365022121542</c:v>
                </c:pt>
                <c:pt idx="42">
                  <c:v>144.69558297650883</c:v>
                </c:pt>
                <c:pt idx="43">
                  <c:v>143.04370356207207</c:v>
                </c:pt>
                <c:pt idx="44">
                  <c:v>145.34256159766957</c:v>
                </c:pt>
                <c:pt idx="45">
                  <c:v>149.63321614291354</c:v>
                </c:pt>
                <c:pt idx="46">
                  <c:v>147.49795083868722</c:v>
                </c:pt>
                <c:pt idx="47">
                  <c:v>144.69298147846806</c:v>
                </c:pt>
                <c:pt idx="48">
                  <c:v>144.92698641546843</c:v>
                </c:pt>
                <c:pt idx="49">
                  <c:v>144.16416316386986</c:v>
                </c:pt>
                <c:pt idx="50">
                  <c:v>136.14462283416228</c:v>
                </c:pt>
                <c:pt idx="51">
                  <c:v>133.77294032195991</c:v>
                </c:pt>
                <c:pt idx="52">
                  <c:v>127.0229375737151</c:v>
                </c:pt>
                <c:pt idx="53">
                  <c:v>124.40059132190768</c:v>
                </c:pt>
                <c:pt idx="54">
                  <c:v>123.67107287353399</c:v>
                </c:pt>
                <c:pt idx="55">
                  <c:v>122.81920659581708</c:v>
                </c:pt>
              </c:numCache>
            </c:numRef>
          </c:val>
          <c:smooth val="0"/>
          <c:extLst>
            <c:ext xmlns:c16="http://schemas.microsoft.com/office/drawing/2014/chart" uri="{C3380CC4-5D6E-409C-BE32-E72D297353CC}">
              <c16:uniqueId val="{00000002-058E-4F44-8E0B-E62645370F56}"/>
            </c:ext>
          </c:extLst>
        </c:ser>
        <c:ser>
          <c:idx val="3"/>
          <c:order val="3"/>
          <c:tx>
            <c:strRef>
              <c:f>Sheet1!$G$1</c:f>
              <c:strCache>
                <c:ptCount val="1"/>
                <c:pt idx="0">
                  <c:v>Բուսական յուղեր</c:v>
                </c:pt>
              </c:strCache>
            </c:strRef>
          </c:tx>
          <c:spPr>
            <a:ln w="15875" cap="rnd">
              <a:solidFill>
                <a:srgbClr val="3EA9CA"/>
              </a:solidFill>
              <a:round/>
            </a:ln>
            <a:effectLst/>
          </c:spPr>
          <c:marker>
            <c:symbol val="none"/>
          </c:marker>
          <c:cat>
            <c:multiLvlStrRef>
              <c:f>Sheet1!$A$2:$B$57</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Sheet1!$G$2:$G$57</c:f>
              <c:numCache>
                <c:formatCode>0.0</c:formatCode>
                <c:ptCount val="56"/>
                <c:pt idx="0">
                  <c:v>100</c:v>
                </c:pt>
                <c:pt idx="1">
                  <c:v>101.90158761245678</c:v>
                </c:pt>
                <c:pt idx="2">
                  <c:v>97.702481638652813</c:v>
                </c:pt>
                <c:pt idx="3">
                  <c:v>98.572245351657685</c:v>
                </c:pt>
                <c:pt idx="4">
                  <c:v>97.811420319519797</c:v>
                </c:pt>
                <c:pt idx="5">
                  <c:v>96.516098791435752</c:v>
                </c:pt>
                <c:pt idx="6">
                  <c:v>97.299143182493083</c:v>
                </c:pt>
                <c:pt idx="7">
                  <c:v>102.90490450098041</c:v>
                </c:pt>
                <c:pt idx="8">
                  <c:v>104.52331034940649</c:v>
                </c:pt>
                <c:pt idx="9">
                  <c:v>104.79856180734109</c:v>
                </c:pt>
                <c:pt idx="10">
                  <c:v>116.0803304223341</c:v>
                </c:pt>
                <c:pt idx="11">
                  <c:v>126.46549525320391</c:v>
                </c:pt>
                <c:pt idx="12">
                  <c:v>135.47876006027283</c:v>
                </c:pt>
                <c:pt idx="13">
                  <c:v>121.54970216207607</c:v>
                </c:pt>
                <c:pt idx="14">
                  <c:v>106.43780089071068</c:v>
                </c:pt>
                <c:pt idx="15">
                  <c:v>101.14577420980156</c:v>
                </c:pt>
                <c:pt idx="16">
                  <c:v>96.898600570707501</c:v>
                </c:pt>
                <c:pt idx="17">
                  <c:v>107.91904549425286</c:v>
                </c:pt>
                <c:pt idx="18">
                  <c:v>116.1260300308309</c:v>
                </c:pt>
                <c:pt idx="19">
                  <c:v>122.98069204901711</c:v>
                </c:pt>
                <c:pt idx="20">
                  <c:v>130.32515106440414</c:v>
                </c:pt>
                <c:pt idx="21">
                  <c:v>132.63508261724903</c:v>
                </c:pt>
                <c:pt idx="22">
                  <c:v>151.88949268183791</c:v>
                </c:pt>
                <c:pt idx="23">
                  <c:v>163.47201641400815</c:v>
                </c:pt>
                <c:pt idx="24">
                  <c:v>173.03516139386724</c:v>
                </c:pt>
                <c:pt idx="25">
                  <c:v>183.73558324521639</c:v>
                </c:pt>
                <c:pt idx="26">
                  <c:v>198.48742240136227</c:v>
                </c:pt>
                <c:pt idx="27">
                  <c:v>202.08746281888722</c:v>
                </c:pt>
                <c:pt idx="28">
                  <c:v>217.89223210508541</c:v>
                </c:pt>
                <c:pt idx="29">
                  <c:v>196.46708388723403</c:v>
                </c:pt>
                <c:pt idx="30">
                  <c:v>193.74461309045728</c:v>
                </c:pt>
                <c:pt idx="31">
                  <c:v>206.66142036391179</c:v>
                </c:pt>
                <c:pt idx="32">
                  <c:v>210.03624559668773</c:v>
                </c:pt>
                <c:pt idx="33">
                  <c:v>230.30414407291863</c:v>
                </c:pt>
                <c:pt idx="34">
                  <c:v>229.95241258820283</c:v>
                </c:pt>
                <c:pt idx="35">
                  <c:v>222.41455002447412</c:v>
                </c:pt>
                <c:pt idx="36">
                  <c:v>231.66721156204446</c:v>
                </c:pt>
                <c:pt idx="37">
                  <c:v>251.3365728438678</c:v>
                </c:pt>
                <c:pt idx="38">
                  <c:v>313.77720677985673</c:v>
                </c:pt>
                <c:pt idx="39">
                  <c:v>295.96024430789657</c:v>
                </c:pt>
                <c:pt idx="40">
                  <c:v>285.63001933404212</c:v>
                </c:pt>
                <c:pt idx="41">
                  <c:v>263.89296419451284</c:v>
                </c:pt>
                <c:pt idx="42">
                  <c:v>210.34719343638744</c:v>
                </c:pt>
                <c:pt idx="43">
                  <c:v>203.49817760835785</c:v>
                </c:pt>
                <c:pt idx="44">
                  <c:v>190.1029284524889</c:v>
                </c:pt>
                <c:pt idx="45">
                  <c:v>188.49833853760259</c:v>
                </c:pt>
                <c:pt idx="46">
                  <c:v>192.76226734476404</c:v>
                </c:pt>
                <c:pt idx="47">
                  <c:v>180.16935522996457</c:v>
                </c:pt>
                <c:pt idx="48">
                  <c:v>174.95068241007854</c:v>
                </c:pt>
                <c:pt idx="49">
                  <c:v>169.29049786435638</c:v>
                </c:pt>
                <c:pt idx="50">
                  <c:v>164.20379142631597</c:v>
                </c:pt>
                <c:pt idx="51">
                  <c:v>162.01505722191894</c:v>
                </c:pt>
                <c:pt idx="52">
                  <c:v>147.87614701606566</c:v>
                </c:pt>
                <c:pt idx="53">
                  <c:v>144.27186696819604</c:v>
                </c:pt>
                <c:pt idx="54">
                  <c:v>161.73595868426494</c:v>
                </c:pt>
                <c:pt idx="55">
                  <c:v>156.77174837707108</c:v>
                </c:pt>
              </c:numCache>
            </c:numRef>
          </c:val>
          <c:smooth val="0"/>
          <c:extLst>
            <c:ext xmlns:c16="http://schemas.microsoft.com/office/drawing/2014/chart" uri="{C3380CC4-5D6E-409C-BE32-E72D297353CC}">
              <c16:uniqueId val="{00000003-058E-4F44-8E0B-E62645370F56}"/>
            </c:ext>
          </c:extLst>
        </c:ser>
        <c:ser>
          <c:idx val="4"/>
          <c:order val="4"/>
          <c:tx>
            <c:strRef>
              <c:f>Sheet1!$H$1</c:f>
              <c:strCache>
                <c:ptCount val="1"/>
                <c:pt idx="0">
                  <c:v>Շաքարավազ</c:v>
                </c:pt>
              </c:strCache>
            </c:strRef>
          </c:tx>
          <c:spPr>
            <a:ln w="15875" cap="rnd">
              <a:solidFill>
                <a:schemeClr val="accent4">
                  <a:lumMod val="40000"/>
                  <a:lumOff val="60000"/>
                </a:schemeClr>
              </a:solidFill>
              <a:round/>
            </a:ln>
            <a:effectLst/>
          </c:spPr>
          <c:marker>
            <c:symbol val="none"/>
          </c:marker>
          <c:cat>
            <c:multiLvlStrRef>
              <c:f>Sheet1!$A$2:$B$57</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Sheet1!$H$2:$H$57</c:f>
              <c:numCache>
                <c:formatCode>0.0</c:formatCode>
                <c:ptCount val="56"/>
                <c:pt idx="0">
                  <c:v>100</c:v>
                </c:pt>
                <c:pt idx="1">
                  <c:v>101.21747145997304</c:v>
                </c:pt>
                <c:pt idx="2">
                  <c:v>99.142364171081468</c:v>
                </c:pt>
                <c:pt idx="3">
                  <c:v>99.89009430617601</c:v>
                </c:pt>
                <c:pt idx="4">
                  <c:v>96.713465220165901</c:v>
                </c:pt>
                <c:pt idx="5">
                  <c:v>100.75728568389701</c:v>
                </c:pt>
                <c:pt idx="6">
                  <c:v>100.10821009405953</c:v>
                </c:pt>
                <c:pt idx="7">
                  <c:v>96.075303126994257</c:v>
                </c:pt>
                <c:pt idx="8">
                  <c:v>92.649993415787918</c:v>
                </c:pt>
                <c:pt idx="9">
                  <c:v>98.019231184237697</c:v>
                </c:pt>
                <c:pt idx="10">
                  <c:v>99.807200764443877</c:v>
                </c:pt>
                <c:pt idx="11">
                  <c:v>104.60590958357389</c:v>
                </c:pt>
                <c:pt idx="12">
                  <c:v>110.33113521945684</c:v>
                </c:pt>
                <c:pt idx="13">
                  <c:v>115.25703750974969</c:v>
                </c:pt>
                <c:pt idx="14">
                  <c:v>93.195419414309001</c:v>
                </c:pt>
                <c:pt idx="15">
                  <c:v>79.628110196074459</c:v>
                </c:pt>
                <c:pt idx="16">
                  <c:v>85.508757002056271</c:v>
                </c:pt>
                <c:pt idx="17">
                  <c:v>94.451180599872359</c:v>
                </c:pt>
                <c:pt idx="18">
                  <c:v>95.801386692316456</c:v>
                </c:pt>
                <c:pt idx="19">
                  <c:v>102.20655517400888</c:v>
                </c:pt>
                <c:pt idx="20">
                  <c:v>99.517833085159154</c:v>
                </c:pt>
                <c:pt idx="21">
                  <c:v>106.76451818761964</c:v>
                </c:pt>
                <c:pt idx="22">
                  <c:v>110.31589023611994</c:v>
                </c:pt>
                <c:pt idx="23">
                  <c:v>109.82769623484363</c:v>
                </c:pt>
                <c:pt idx="24">
                  <c:v>118.67333191519532</c:v>
                </c:pt>
                <c:pt idx="25">
                  <c:v>126.25469758207471</c:v>
                </c:pt>
                <c:pt idx="26">
                  <c:v>121.24216555836099</c:v>
                </c:pt>
                <c:pt idx="27">
                  <c:v>126.0181048949396</c:v>
                </c:pt>
                <c:pt idx="28">
                  <c:v>134.60433950223356</c:v>
                </c:pt>
                <c:pt idx="29">
                  <c:v>135.77962135715802</c:v>
                </c:pt>
                <c:pt idx="30">
                  <c:v>138.07345954761399</c:v>
                </c:pt>
                <c:pt idx="31">
                  <c:v>151.92512231440114</c:v>
                </c:pt>
                <c:pt idx="32">
                  <c:v>152.74055165567609</c:v>
                </c:pt>
                <c:pt idx="33">
                  <c:v>150.0636473833666</c:v>
                </c:pt>
                <c:pt idx="34">
                  <c:v>151.47486350421894</c:v>
                </c:pt>
                <c:pt idx="35">
                  <c:v>146.74537332482456</c:v>
                </c:pt>
                <c:pt idx="36">
                  <c:v>142.00018233202667</c:v>
                </c:pt>
                <c:pt idx="37">
                  <c:v>139.30759412890876</c:v>
                </c:pt>
                <c:pt idx="38">
                  <c:v>148.61253695636762</c:v>
                </c:pt>
                <c:pt idx="39">
                  <c:v>153.18726512089628</c:v>
                </c:pt>
                <c:pt idx="40">
                  <c:v>151.7301283414877</c:v>
                </c:pt>
                <c:pt idx="41">
                  <c:v>147.81961284833019</c:v>
                </c:pt>
                <c:pt idx="42">
                  <c:v>142.21931841587241</c:v>
                </c:pt>
                <c:pt idx="43">
                  <c:v>139.23587025887187</c:v>
                </c:pt>
                <c:pt idx="44">
                  <c:v>138.22945472594489</c:v>
                </c:pt>
                <c:pt idx="45">
                  <c:v>136.84862727619594</c:v>
                </c:pt>
                <c:pt idx="46">
                  <c:v>144.17499822732759</c:v>
                </c:pt>
                <c:pt idx="47">
                  <c:v>147.68286382836484</c:v>
                </c:pt>
                <c:pt idx="48">
                  <c:v>147.19259326789648</c:v>
                </c:pt>
                <c:pt idx="49">
                  <c:v>157.75792384599026</c:v>
                </c:pt>
                <c:pt idx="50">
                  <c:v>160.05783536651165</c:v>
                </c:pt>
                <c:pt idx="51">
                  <c:v>188.29439051788162</c:v>
                </c:pt>
                <c:pt idx="52">
                  <c:v>198.14223923987808</c:v>
                </c:pt>
                <c:pt idx="53">
                  <c:v>191.77125434304764</c:v>
                </c:pt>
                <c:pt idx="54">
                  <c:v>184.37460114869182</c:v>
                </c:pt>
                <c:pt idx="55">
                  <c:v>186.77709645496336</c:v>
                </c:pt>
              </c:numCache>
            </c:numRef>
          </c:val>
          <c:smooth val="0"/>
          <c:extLst>
            <c:ext xmlns:c16="http://schemas.microsoft.com/office/drawing/2014/chart" uri="{C3380CC4-5D6E-409C-BE32-E72D297353CC}">
              <c16:uniqueId val="{00000004-058E-4F44-8E0B-E62645370F56}"/>
            </c:ext>
          </c:extLst>
        </c:ser>
        <c:ser>
          <c:idx val="5"/>
          <c:order val="5"/>
          <c:tx>
            <c:strRef>
              <c:f>Sheet1!$C$1</c:f>
              <c:strCache>
                <c:ptCount val="1"/>
                <c:pt idx="0">
                  <c:v>Պարենի գնի համաթիվ</c:v>
                </c:pt>
              </c:strCache>
            </c:strRef>
          </c:tx>
          <c:spPr>
            <a:ln w="19050" cap="rnd">
              <a:solidFill>
                <a:schemeClr val="accent5">
                  <a:lumMod val="75000"/>
                </a:schemeClr>
              </a:solidFill>
              <a:round/>
            </a:ln>
            <a:effectLst/>
          </c:spPr>
          <c:marker>
            <c:symbol val="none"/>
          </c:marker>
          <c:cat>
            <c:multiLvlStrRef>
              <c:f>Sheet1!$A$2:$B$57</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Sheet1!$C$2:$C$57</c:f>
              <c:numCache>
                <c:formatCode>0.0</c:formatCode>
                <c:ptCount val="56"/>
                <c:pt idx="0">
                  <c:v>100</c:v>
                </c:pt>
                <c:pt idx="1">
                  <c:v>100.74453890270553</c:v>
                </c:pt>
                <c:pt idx="2">
                  <c:v>99.832132827399604</c:v>
                </c:pt>
                <c:pt idx="3">
                  <c:v>100.31753700950637</c:v>
                </c:pt>
                <c:pt idx="4">
                  <c:v>101.02084693992067</c:v>
                </c:pt>
                <c:pt idx="5">
                  <c:v>102.23965210334796</c:v>
                </c:pt>
                <c:pt idx="6">
                  <c:v>101.96319281775789</c:v>
                </c:pt>
                <c:pt idx="7">
                  <c:v>100.82421534090194</c:v>
                </c:pt>
                <c:pt idx="8">
                  <c:v>100.0574124353123</c:v>
                </c:pt>
                <c:pt idx="9">
                  <c:v>102.07071553450325</c:v>
                </c:pt>
                <c:pt idx="10">
                  <c:v>105.69159498568746</c:v>
                </c:pt>
                <c:pt idx="11">
                  <c:v>108.24274701853363</c:v>
                </c:pt>
                <c:pt idx="12">
                  <c:v>109.85911726662653</c:v>
                </c:pt>
                <c:pt idx="13">
                  <c:v>106.54119961188425</c:v>
                </c:pt>
                <c:pt idx="14">
                  <c:v>101.99558194667132</c:v>
                </c:pt>
                <c:pt idx="15">
                  <c:v>99.155350990555917</c:v>
                </c:pt>
                <c:pt idx="16">
                  <c:v>97.664150112245395</c:v>
                </c:pt>
                <c:pt idx="17">
                  <c:v>99.936540825253985</c:v>
                </c:pt>
                <c:pt idx="18">
                  <c:v>100.77842889257241</c:v>
                </c:pt>
                <c:pt idx="19">
                  <c:v>102.78720724941809</c:v>
                </c:pt>
                <c:pt idx="20">
                  <c:v>105.03288274311672</c:v>
                </c:pt>
                <c:pt idx="21">
                  <c:v>108.63882062522549</c:v>
                </c:pt>
                <c:pt idx="22">
                  <c:v>113.15001130745854</c:v>
                </c:pt>
                <c:pt idx="23">
                  <c:v>116.37654118872092</c:v>
                </c:pt>
                <c:pt idx="24">
                  <c:v>121.65831839495753</c:v>
                </c:pt>
                <c:pt idx="25">
                  <c:v>124.92143317820711</c:v>
                </c:pt>
                <c:pt idx="26">
                  <c:v>127.77072558939832</c:v>
                </c:pt>
                <c:pt idx="27">
                  <c:v>130.81089912356762</c:v>
                </c:pt>
                <c:pt idx="28">
                  <c:v>137.30426601932751</c:v>
                </c:pt>
                <c:pt idx="29">
                  <c:v>134.25232125150248</c:v>
                </c:pt>
                <c:pt idx="30">
                  <c:v>133.4884829370381</c:v>
                </c:pt>
                <c:pt idx="31">
                  <c:v>137.12484937262627</c:v>
                </c:pt>
                <c:pt idx="32">
                  <c:v>138.44409662675565</c:v>
                </c:pt>
                <c:pt idx="33">
                  <c:v>142.76834637008389</c:v>
                </c:pt>
                <c:pt idx="34">
                  <c:v>145.00858965514425</c:v>
                </c:pt>
                <c:pt idx="35">
                  <c:v>143.26851703879638</c:v>
                </c:pt>
                <c:pt idx="36">
                  <c:v>145.3079002302855</c:v>
                </c:pt>
                <c:pt idx="37">
                  <c:v>151.35332825484298</c:v>
                </c:pt>
                <c:pt idx="38">
                  <c:v>171.15477337302912</c:v>
                </c:pt>
                <c:pt idx="39">
                  <c:v>169.78507056106341</c:v>
                </c:pt>
                <c:pt idx="40">
                  <c:v>169.37547831364941</c:v>
                </c:pt>
                <c:pt idx="41">
                  <c:v>165.79125941340135</c:v>
                </c:pt>
                <c:pt idx="42">
                  <c:v>150.64279187151291</c:v>
                </c:pt>
                <c:pt idx="43">
                  <c:v>147.43552710500325</c:v>
                </c:pt>
                <c:pt idx="44">
                  <c:v>145.78756264512978</c:v>
                </c:pt>
                <c:pt idx="45">
                  <c:v>145.07676688971267</c:v>
                </c:pt>
                <c:pt idx="46">
                  <c:v>144.38990540625946</c:v>
                </c:pt>
                <c:pt idx="47">
                  <c:v>141.2361280986444</c:v>
                </c:pt>
                <c:pt idx="48">
                  <c:v>139.52897883078353</c:v>
                </c:pt>
                <c:pt idx="49">
                  <c:v>139.11671366357982</c:v>
                </c:pt>
                <c:pt idx="50">
                  <c:v>136.10259826251581</c:v>
                </c:pt>
                <c:pt idx="51">
                  <c:v>136.83507050214098</c:v>
                </c:pt>
                <c:pt idx="52">
                  <c:v>133.03852214584029</c:v>
                </c:pt>
                <c:pt idx="53">
                  <c:v>131.46335129346636</c:v>
                </c:pt>
                <c:pt idx="54">
                  <c:v>132.89704082873305</c:v>
                </c:pt>
                <c:pt idx="55">
                  <c:v>130.08767082357261</c:v>
                </c:pt>
              </c:numCache>
            </c:numRef>
          </c:val>
          <c:smooth val="0"/>
          <c:extLst>
            <c:ext xmlns:c16="http://schemas.microsoft.com/office/drawing/2014/chart" uri="{C3380CC4-5D6E-409C-BE32-E72D297353CC}">
              <c16:uniqueId val="{00000005-058E-4F44-8E0B-E62645370F56}"/>
            </c:ext>
          </c:extLst>
        </c:ser>
        <c:dLbls>
          <c:showLegendKey val="0"/>
          <c:showVal val="0"/>
          <c:showCatName val="0"/>
          <c:showSerName val="0"/>
          <c:showPercent val="0"/>
          <c:showBubbleSize val="0"/>
        </c:dLbls>
        <c:smooth val="0"/>
        <c:axId val="-675685440"/>
        <c:axId val="-675683808"/>
      </c:lineChart>
      <c:catAx>
        <c:axId val="-67568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75683808"/>
        <c:crosses val="autoZero"/>
        <c:auto val="1"/>
        <c:lblAlgn val="ctr"/>
        <c:lblOffset val="0"/>
        <c:noMultiLvlLbl val="0"/>
      </c:catAx>
      <c:valAx>
        <c:axId val="-675683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hy-AM" sz="900">
                    <a:latin typeface="GHEA Grapalat" panose="02000506050000020003" pitchFamily="50" charset="0"/>
                  </a:rPr>
                  <a:t>Ինդեքս,</a:t>
                </a:r>
                <a:r>
                  <a:rPr lang="hy-AM" sz="900" baseline="0">
                    <a:latin typeface="GHEA Grapalat" panose="02000506050000020003" pitchFamily="50" charset="0"/>
                  </a:rPr>
                  <a:t> </a:t>
                </a:r>
                <a:r>
                  <a:rPr lang="hy-AM" sz="900">
                    <a:latin typeface="GHEA Grapalat" panose="02000506050000020003" pitchFamily="50" charset="0"/>
                  </a:rPr>
                  <a:t>2019թ․</a:t>
                </a:r>
                <a:r>
                  <a:rPr lang="hy-AM" sz="900" baseline="0">
                    <a:latin typeface="GHEA Grapalat" panose="02000506050000020003" pitchFamily="50" charset="0"/>
                  </a:rPr>
                  <a:t> հունվար</a:t>
                </a:r>
                <a:r>
                  <a:rPr lang="en-US" sz="900" baseline="0">
                    <a:latin typeface="GHEA Grapalat" panose="02000506050000020003" pitchFamily="50" charset="0"/>
                  </a:rPr>
                  <a:t>=100</a:t>
                </a:r>
                <a:endParaRPr lang="en-US" sz="900">
                  <a:latin typeface="GHEA Grapalat" panose="02000506050000020003" pitchFamily="50" charset="0"/>
                </a:endParaRPr>
              </a:p>
            </c:rich>
          </c:tx>
          <c:layout>
            <c:manualLayout>
              <c:xMode val="edge"/>
              <c:yMode val="edge"/>
              <c:x val="0"/>
              <c:y val="0.1195773085182533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75685440"/>
        <c:crosses val="autoZero"/>
        <c:crossBetween val="between"/>
      </c:valAx>
      <c:spPr>
        <a:noFill/>
        <a:ln>
          <a:noFill/>
        </a:ln>
        <a:effectLst/>
      </c:spPr>
    </c:plotArea>
    <c:legend>
      <c:legendPos val="b"/>
      <c:layout>
        <c:manualLayout>
          <c:xMode val="edge"/>
          <c:yMode val="edge"/>
          <c:x val="4.6934267093214056E-2"/>
          <c:y val="0.83070078740157482"/>
          <c:w val="0.95269723996956723"/>
          <c:h val="0.1658460987831066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65660472727729"/>
          <c:y val="7.1301466104615782E-2"/>
          <c:w val="0.8282812133118006"/>
          <c:h val="0.67818924149632864"/>
        </c:manualLayout>
      </c:layout>
      <c:barChart>
        <c:barDir val="col"/>
        <c:grouping val="clustered"/>
        <c:varyColors val="0"/>
        <c:ser>
          <c:idx val="1"/>
          <c:order val="1"/>
          <c:tx>
            <c:strRef>
              <c:f>Sheet1!$C$1</c:f>
              <c:strCache>
                <c:ptCount val="1"/>
                <c:pt idx="0">
                  <c:v>ՌԴ</c:v>
                </c:pt>
              </c:strCache>
            </c:strRef>
          </c:tx>
          <c:spPr>
            <a:solidFill>
              <a:srgbClr val="ED7D31">
                <a:lumMod val="60000"/>
                <a:lumOff val="40000"/>
              </a:srgbClr>
            </a:solidFill>
            <a:ln>
              <a:noFill/>
            </a:ln>
            <a:effectLst/>
          </c:spPr>
          <c:invertIfNegative val="0"/>
          <c:cat>
            <c:numRef>
              <c:f>Sheet1!$A$2:$A$11</c:f>
              <c:numCache>
                <c:formatCode>General</c:formatCode>
                <c:ptCount val="6"/>
                <c:pt idx="0">
                  <c:v>2019</c:v>
                </c:pt>
                <c:pt idx="1">
                  <c:v>2020</c:v>
                </c:pt>
                <c:pt idx="2">
                  <c:v>2021</c:v>
                </c:pt>
                <c:pt idx="3">
                  <c:v>2022</c:v>
                </c:pt>
                <c:pt idx="4">
                  <c:v>2023</c:v>
                </c:pt>
                <c:pt idx="5">
                  <c:v>2024</c:v>
                </c:pt>
              </c:numCache>
            </c:numRef>
          </c:cat>
          <c:val>
            <c:numRef>
              <c:f>Sheet1!$C$2:$C$11</c:f>
              <c:numCache>
                <c:formatCode>0.0</c:formatCode>
                <c:ptCount val="6"/>
                <c:pt idx="0">
                  <c:v>2.198</c:v>
                </c:pt>
                <c:pt idx="1">
                  <c:v>-2.6539999999999999</c:v>
                </c:pt>
                <c:pt idx="2">
                  <c:v>5.6239999999999997</c:v>
                </c:pt>
                <c:pt idx="3">
                  <c:v>-2.0510000000000002</c:v>
                </c:pt>
                <c:pt idx="4">
                  <c:v>0.71099999999999997</c:v>
                </c:pt>
                <c:pt idx="5">
                  <c:v>1.2809999999999999</c:v>
                </c:pt>
              </c:numCache>
            </c:numRef>
          </c:val>
          <c:extLst>
            <c:ext xmlns:c16="http://schemas.microsoft.com/office/drawing/2014/chart" uri="{C3380CC4-5D6E-409C-BE32-E72D297353CC}">
              <c16:uniqueId val="{00000000-CAA2-4531-81E0-6726444AC5B7}"/>
            </c:ext>
          </c:extLst>
        </c:ser>
        <c:ser>
          <c:idx val="2"/>
          <c:order val="2"/>
          <c:tx>
            <c:strRef>
              <c:f>Sheet1!$D$1</c:f>
              <c:strCache>
                <c:ptCount val="1"/>
                <c:pt idx="0">
                  <c:v>Եվրագոտի</c:v>
                </c:pt>
              </c:strCache>
            </c:strRef>
          </c:tx>
          <c:spPr>
            <a:solidFill>
              <a:schemeClr val="accent3"/>
            </a:solidFill>
            <a:ln>
              <a:noFill/>
            </a:ln>
            <a:effectLst/>
          </c:spPr>
          <c:invertIfNegative val="0"/>
          <c:cat>
            <c:numRef>
              <c:f>Sheet1!$A$2:$A$11</c:f>
              <c:numCache>
                <c:formatCode>General</c:formatCode>
                <c:ptCount val="6"/>
                <c:pt idx="0">
                  <c:v>2019</c:v>
                </c:pt>
                <c:pt idx="1">
                  <c:v>2020</c:v>
                </c:pt>
                <c:pt idx="2">
                  <c:v>2021</c:v>
                </c:pt>
                <c:pt idx="3">
                  <c:v>2022</c:v>
                </c:pt>
                <c:pt idx="4">
                  <c:v>2023</c:v>
                </c:pt>
                <c:pt idx="5">
                  <c:v>2024</c:v>
                </c:pt>
              </c:numCache>
            </c:numRef>
          </c:cat>
          <c:val>
            <c:numRef>
              <c:f>Sheet1!$D$2:$D$11</c:f>
              <c:numCache>
                <c:formatCode>0.0</c:formatCode>
                <c:ptCount val="6"/>
                <c:pt idx="0">
                  <c:v>1.5</c:v>
                </c:pt>
                <c:pt idx="1">
                  <c:v>-6.3639999999999999</c:v>
                </c:pt>
                <c:pt idx="2">
                  <c:v>5.3360000000000003</c:v>
                </c:pt>
                <c:pt idx="3">
                  <c:v>3.5</c:v>
                </c:pt>
                <c:pt idx="4">
                  <c:v>0.78900000000000003</c:v>
                </c:pt>
                <c:pt idx="5">
                  <c:v>1.367</c:v>
                </c:pt>
              </c:numCache>
            </c:numRef>
          </c:val>
          <c:extLst>
            <c:ext xmlns:c16="http://schemas.microsoft.com/office/drawing/2014/chart" uri="{C3380CC4-5D6E-409C-BE32-E72D297353CC}">
              <c16:uniqueId val="{00000001-CAA2-4531-81E0-6726444AC5B7}"/>
            </c:ext>
          </c:extLst>
        </c:ser>
        <c:ser>
          <c:idx val="3"/>
          <c:order val="3"/>
          <c:tx>
            <c:strRef>
              <c:f>Sheet1!$E$1</c:f>
              <c:strCache>
                <c:ptCount val="1"/>
                <c:pt idx="0">
                  <c:v>Չինաստան</c:v>
                </c:pt>
              </c:strCache>
            </c:strRef>
          </c:tx>
          <c:spPr>
            <a:solidFill>
              <a:srgbClr val="4472C4">
                <a:lumMod val="40000"/>
                <a:lumOff val="60000"/>
              </a:srgbClr>
            </a:solidFill>
            <a:ln>
              <a:noFill/>
            </a:ln>
            <a:effectLst/>
          </c:spPr>
          <c:invertIfNegative val="0"/>
          <c:cat>
            <c:numRef>
              <c:f>Sheet1!$A$2:$A$11</c:f>
              <c:numCache>
                <c:formatCode>General</c:formatCode>
                <c:ptCount val="6"/>
                <c:pt idx="0">
                  <c:v>2019</c:v>
                </c:pt>
                <c:pt idx="1">
                  <c:v>2020</c:v>
                </c:pt>
                <c:pt idx="2">
                  <c:v>2021</c:v>
                </c:pt>
                <c:pt idx="3">
                  <c:v>2022</c:v>
                </c:pt>
                <c:pt idx="4">
                  <c:v>2023</c:v>
                </c:pt>
                <c:pt idx="5">
                  <c:v>2024</c:v>
                </c:pt>
              </c:numCache>
            </c:numRef>
          </c:cat>
          <c:val>
            <c:numRef>
              <c:f>Sheet1!$E$2:$E$11</c:f>
              <c:numCache>
                <c:formatCode>0.0</c:formatCode>
                <c:ptCount val="6"/>
                <c:pt idx="0">
                  <c:v>5.9509999999999996</c:v>
                </c:pt>
                <c:pt idx="1">
                  <c:v>2.242</c:v>
                </c:pt>
                <c:pt idx="2">
                  <c:v>8.4499999999999993</c:v>
                </c:pt>
                <c:pt idx="3">
                  <c:v>2.988</c:v>
                </c:pt>
                <c:pt idx="4">
                  <c:v>5.2380000000000004</c:v>
                </c:pt>
                <c:pt idx="5">
                  <c:v>4.4809999999999999</c:v>
                </c:pt>
              </c:numCache>
            </c:numRef>
          </c:val>
          <c:extLst>
            <c:ext xmlns:c16="http://schemas.microsoft.com/office/drawing/2014/chart" uri="{C3380CC4-5D6E-409C-BE32-E72D297353CC}">
              <c16:uniqueId val="{00000002-CAA2-4531-81E0-6726444AC5B7}"/>
            </c:ext>
          </c:extLst>
        </c:ser>
        <c:ser>
          <c:idx val="4"/>
          <c:order val="4"/>
          <c:tx>
            <c:strRef>
              <c:f>Sheet1!$F$1</c:f>
              <c:strCache>
                <c:ptCount val="1"/>
                <c:pt idx="0">
                  <c:v>ԱՄՆ</c:v>
                </c:pt>
              </c:strCache>
            </c:strRef>
          </c:tx>
          <c:spPr>
            <a:solidFill>
              <a:srgbClr val="5B9BD5">
                <a:lumMod val="75000"/>
              </a:srgbClr>
            </a:solidFill>
            <a:ln>
              <a:noFill/>
            </a:ln>
            <a:effectLst/>
          </c:spPr>
          <c:invertIfNegative val="0"/>
          <c:cat>
            <c:numRef>
              <c:f>Sheet1!$A$2:$A$11</c:f>
              <c:numCache>
                <c:formatCode>General</c:formatCode>
                <c:ptCount val="6"/>
                <c:pt idx="0">
                  <c:v>2019</c:v>
                </c:pt>
                <c:pt idx="1">
                  <c:v>2020</c:v>
                </c:pt>
                <c:pt idx="2">
                  <c:v>2021</c:v>
                </c:pt>
                <c:pt idx="3">
                  <c:v>2022</c:v>
                </c:pt>
                <c:pt idx="4">
                  <c:v>2023</c:v>
                </c:pt>
                <c:pt idx="5">
                  <c:v>2024</c:v>
                </c:pt>
              </c:numCache>
            </c:numRef>
          </c:cat>
          <c:val>
            <c:numRef>
              <c:f>Sheet1!$F$2:$F$11</c:f>
              <c:numCache>
                <c:formatCode>0.0</c:formatCode>
                <c:ptCount val="6"/>
                <c:pt idx="0">
                  <c:v>2.2890000000000001</c:v>
                </c:pt>
                <c:pt idx="1">
                  <c:v>-2.7679999999999998</c:v>
                </c:pt>
                <c:pt idx="2">
                  <c:v>5.9470000000000001</c:v>
                </c:pt>
                <c:pt idx="3">
                  <c:v>2.0680000000000001</c:v>
                </c:pt>
                <c:pt idx="4">
                  <c:v>1.577</c:v>
                </c:pt>
                <c:pt idx="5">
                  <c:v>1.0629999999999999</c:v>
                </c:pt>
              </c:numCache>
            </c:numRef>
          </c:val>
          <c:extLst>
            <c:ext xmlns:c16="http://schemas.microsoft.com/office/drawing/2014/chart" uri="{C3380CC4-5D6E-409C-BE32-E72D297353CC}">
              <c16:uniqueId val="{00000003-CAA2-4531-81E0-6726444AC5B7}"/>
            </c:ext>
          </c:extLst>
        </c:ser>
        <c:dLbls>
          <c:showLegendKey val="0"/>
          <c:showVal val="0"/>
          <c:showCatName val="0"/>
          <c:showSerName val="0"/>
          <c:showPercent val="0"/>
          <c:showBubbleSize val="0"/>
        </c:dLbls>
        <c:gapWidth val="150"/>
        <c:axId val="1691185232"/>
        <c:axId val="1691190672"/>
      </c:barChart>
      <c:lineChart>
        <c:grouping val="standard"/>
        <c:varyColors val="0"/>
        <c:ser>
          <c:idx val="0"/>
          <c:order val="0"/>
          <c:tx>
            <c:strRef>
              <c:f>Sheet1!$B$1</c:f>
              <c:strCache>
                <c:ptCount val="1"/>
                <c:pt idx="0">
                  <c:v>Աշխարհ</c:v>
                </c:pt>
              </c:strCache>
            </c:strRef>
          </c:tx>
          <c:spPr>
            <a:ln w="28575" cap="rnd">
              <a:solidFill>
                <a:srgbClr val="44546A"/>
              </a:solidFill>
              <a:round/>
            </a:ln>
            <a:effectLst/>
          </c:spPr>
          <c:marker>
            <c:symbol val="circle"/>
            <c:size val="5"/>
            <c:spPr>
              <a:solidFill>
                <a:srgbClr val="44546A"/>
              </a:solidFill>
              <a:ln w="9525">
                <a:solidFill>
                  <a:srgbClr val="44546A"/>
                </a:solidFill>
              </a:ln>
              <a:effectLst/>
            </c:spPr>
          </c:marker>
          <c:dLbls>
            <c:dLbl>
              <c:idx val="1"/>
              <c:layout>
                <c:manualLayout>
                  <c:x val="-7.2548439977426035E-2"/>
                  <c:y val="5.159780285196302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AA2-4531-81E0-6726444AC5B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6"/>
                <c:pt idx="0">
                  <c:v>2019</c:v>
                </c:pt>
                <c:pt idx="1">
                  <c:v>2020</c:v>
                </c:pt>
                <c:pt idx="2">
                  <c:v>2021</c:v>
                </c:pt>
                <c:pt idx="3">
                  <c:v>2022</c:v>
                </c:pt>
                <c:pt idx="4">
                  <c:v>2023</c:v>
                </c:pt>
                <c:pt idx="5">
                  <c:v>2024</c:v>
                </c:pt>
              </c:numCache>
            </c:numRef>
          </c:cat>
          <c:val>
            <c:numRef>
              <c:f>Sheet1!$B$2:$B$11</c:f>
              <c:numCache>
                <c:formatCode>0.0</c:formatCode>
                <c:ptCount val="6"/>
                <c:pt idx="0">
                  <c:v>2.8</c:v>
                </c:pt>
                <c:pt idx="1">
                  <c:v>-3.0630000000000002</c:v>
                </c:pt>
                <c:pt idx="2">
                  <c:v>6.2</c:v>
                </c:pt>
                <c:pt idx="3">
                  <c:v>3.4</c:v>
                </c:pt>
                <c:pt idx="4">
                  <c:v>2.831</c:v>
                </c:pt>
                <c:pt idx="5">
                  <c:v>3.0230000000000001</c:v>
                </c:pt>
              </c:numCache>
            </c:numRef>
          </c:val>
          <c:smooth val="0"/>
          <c:extLst>
            <c:ext xmlns:c16="http://schemas.microsoft.com/office/drawing/2014/chart" uri="{C3380CC4-5D6E-409C-BE32-E72D297353CC}">
              <c16:uniqueId val="{00000005-CAA2-4531-81E0-6726444AC5B7}"/>
            </c:ext>
          </c:extLst>
        </c:ser>
        <c:dLbls>
          <c:showLegendKey val="0"/>
          <c:showVal val="0"/>
          <c:showCatName val="0"/>
          <c:showSerName val="0"/>
          <c:showPercent val="0"/>
          <c:showBubbleSize val="0"/>
        </c:dLbls>
        <c:marker val="1"/>
        <c:smooth val="0"/>
        <c:axId val="1691185232"/>
        <c:axId val="1691190672"/>
      </c:lineChart>
      <c:catAx>
        <c:axId val="16911852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1190672"/>
        <c:crosses val="autoZero"/>
        <c:auto val="1"/>
        <c:lblAlgn val="ctr"/>
        <c:lblOffset val="100"/>
        <c:noMultiLvlLbl val="0"/>
      </c:catAx>
      <c:valAx>
        <c:axId val="1691190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1185232"/>
        <c:crosses val="autoZero"/>
        <c:crossBetween val="between"/>
      </c:valAx>
      <c:spPr>
        <a:noFill/>
        <a:ln>
          <a:noFill/>
        </a:ln>
        <a:effectLst/>
      </c:spPr>
    </c:plotArea>
    <c:legend>
      <c:legendPos val="b"/>
      <c:layout>
        <c:manualLayout>
          <c:xMode val="edge"/>
          <c:yMode val="edge"/>
          <c:x val="1.8065984072810005E-2"/>
          <c:y val="0.86564105173444605"/>
          <c:w val="0.91522685944120463"/>
          <c:h val="0.1159192499968198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058250315395659"/>
          <c:y val="7.1544715447154475E-2"/>
          <c:w val="0.60232688041066695"/>
          <c:h val="0.65965303117598106"/>
        </c:manualLayout>
      </c:layout>
      <c:lineChart>
        <c:grouping val="standard"/>
        <c:varyColors val="0"/>
        <c:ser>
          <c:idx val="1"/>
          <c:order val="1"/>
          <c:tx>
            <c:strRef>
              <c:f>Sheet1!$C$1</c:f>
              <c:strCache>
                <c:ptCount val="1"/>
                <c:pt idx="0">
                  <c:v>Պղինձ</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numRef>
              <c:f>Sheet1!$A$2:$A$11</c:f>
              <c:numCache>
                <c:formatCode>General</c:formatCode>
                <c:ptCount val="6"/>
                <c:pt idx="0">
                  <c:v>2019</c:v>
                </c:pt>
                <c:pt idx="1">
                  <c:v>2020</c:v>
                </c:pt>
                <c:pt idx="2">
                  <c:v>2021</c:v>
                </c:pt>
                <c:pt idx="3">
                  <c:v>2022</c:v>
                </c:pt>
                <c:pt idx="4">
                  <c:v>2023</c:v>
                </c:pt>
                <c:pt idx="5">
                  <c:v>2024</c:v>
                </c:pt>
              </c:numCache>
            </c:numRef>
          </c:cat>
          <c:val>
            <c:numRef>
              <c:f>Sheet1!$C$2:$C$11</c:f>
              <c:numCache>
                <c:formatCode>_(* #,##0_);_(* \(#,##0\);_(* "-"??_);_(@_)</c:formatCode>
                <c:ptCount val="6"/>
                <c:pt idx="0">
                  <c:v>6010.1450000000004</c:v>
                </c:pt>
                <c:pt idx="1">
                  <c:v>6173.7708333333303</c:v>
                </c:pt>
                <c:pt idx="2">
                  <c:v>9317.0499999999975</c:v>
                </c:pt>
                <c:pt idx="3">
                  <c:v>8822.3700000000008</c:v>
                </c:pt>
                <c:pt idx="4" formatCode="0">
                  <c:v>8509.0702999999994</c:v>
                </c:pt>
                <c:pt idx="5" formatCode="0">
                  <c:v>8347.9760000000006</c:v>
                </c:pt>
              </c:numCache>
            </c:numRef>
          </c:val>
          <c:smooth val="0"/>
          <c:extLst>
            <c:ext xmlns:c16="http://schemas.microsoft.com/office/drawing/2014/chart" uri="{C3380CC4-5D6E-409C-BE32-E72D297353CC}">
              <c16:uniqueId val="{00000000-C54D-4C0F-B216-9B5CA5533778}"/>
            </c:ext>
          </c:extLst>
        </c:ser>
        <c:dLbls>
          <c:showLegendKey val="0"/>
          <c:showVal val="0"/>
          <c:showCatName val="0"/>
          <c:showSerName val="0"/>
          <c:showPercent val="0"/>
          <c:showBubbleSize val="0"/>
        </c:dLbls>
        <c:marker val="1"/>
        <c:smooth val="0"/>
        <c:axId val="1691165648"/>
        <c:axId val="1691166192"/>
      </c:lineChart>
      <c:lineChart>
        <c:grouping val="standard"/>
        <c:varyColors val="0"/>
        <c:ser>
          <c:idx val="0"/>
          <c:order val="0"/>
          <c:tx>
            <c:strRef>
              <c:f>Sheet1!$B$1</c:f>
              <c:strCache>
                <c:ptCount val="1"/>
                <c:pt idx="0">
                  <c:v>Նավթ (աջ առանցք)</c:v>
                </c:pt>
              </c:strCache>
            </c:strRef>
          </c:tx>
          <c:spPr>
            <a:ln w="28575" cap="rnd">
              <a:solidFill>
                <a:srgbClr val="44546A"/>
              </a:solidFill>
              <a:round/>
            </a:ln>
            <a:effectLst/>
          </c:spPr>
          <c:marker>
            <c:symbol val="circle"/>
            <c:size val="5"/>
            <c:spPr>
              <a:solidFill>
                <a:schemeClr val="tx2"/>
              </a:solidFill>
              <a:ln w="9525">
                <a:solidFill>
                  <a:schemeClr val="tx2"/>
                </a:solidFill>
              </a:ln>
              <a:effectLst/>
            </c:spPr>
          </c:marker>
          <c:cat>
            <c:numRef>
              <c:f>Sheet1!$A$2:$A$11</c:f>
              <c:numCache>
                <c:formatCode>General</c:formatCode>
                <c:ptCount val="6"/>
                <c:pt idx="0">
                  <c:v>2019</c:v>
                </c:pt>
                <c:pt idx="1">
                  <c:v>2020</c:v>
                </c:pt>
                <c:pt idx="2">
                  <c:v>2021</c:v>
                </c:pt>
                <c:pt idx="3">
                  <c:v>2022</c:v>
                </c:pt>
                <c:pt idx="4">
                  <c:v>2023</c:v>
                </c:pt>
                <c:pt idx="5">
                  <c:v>2024</c:v>
                </c:pt>
              </c:numCache>
            </c:numRef>
          </c:cat>
          <c:val>
            <c:numRef>
              <c:f>Sheet1!$B$2:$B$11</c:f>
              <c:numCache>
                <c:formatCode>_(* #,##0_);_(* \(#,##0\);_(* "-"??_);_(@_)</c:formatCode>
                <c:ptCount val="6"/>
                <c:pt idx="0">
                  <c:v>64.031666666666695</c:v>
                </c:pt>
                <c:pt idx="1">
                  <c:v>42.3</c:v>
                </c:pt>
                <c:pt idx="2">
                  <c:v>70.44</c:v>
                </c:pt>
                <c:pt idx="3">
                  <c:v>99.82</c:v>
                </c:pt>
                <c:pt idx="4" formatCode="0">
                  <c:v>82.0959</c:v>
                </c:pt>
                <c:pt idx="5" formatCode="0">
                  <c:v>81.366500000000002</c:v>
                </c:pt>
              </c:numCache>
            </c:numRef>
          </c:val>
          <c:smooth val="0"/>
          <c:extLst>
            <c:ext xmlns:c16="http://schemas.microsoft.com/office/drawing/2014/chart" uri="{C3380CC4-5D6E-409C-BE32-E72D297353CC}">
              <c16:uniqueId val="{00000001-C54D-4C0F-B216-9B5CA5533778}"/>
            </c:ext>
          </c:extLst>
        </c:ser>
        <c:dLbls>
          <c:showLegendKey val="0"/>
          <c:showVal val="0"/>
          <c:showCatName val="0"/>
          <c:showSerName val="0"/>
          <c:showPercent val="0"/>
          <c:showBubbleSize val="0"/>
        </c:dLbls>
        <c:marker val="1"/>
        <c:smooth val="0"/>
        <c:axId val="1584695984"/>
        <c:axId val="1584694352"/>
      </c:lineChart>
      <c:catAx>
        <c:axId val="16911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1166192"/>
        <c:crosses val="autoZero"/>
        <c:auto val="1"/>
        <c:lblAlgn val="ctr"/>
        <c:lblOffset val="100"/>
        <c:noMultiLvlLbl val="0"/>
      </c:catAx>
      <c:valAx>
        <c:axId val="1691166192"/>
        <c:scaling>
          <c:orientation val="minMax"/>
          <c:min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a:t>դոլար/տոննա</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1165648"/>
        <c:crosses val="autoZero"/>
        <c:crossBetween val="between"/>
      </c:valAx>
      <c:valAx>
        <c:axId val="1584694352"/>
        <c:scaling>
          <c:orientation val="minMax"/>
          <c:min val="3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a:t>դոլար/բարել</a:t>
                </a:r>
                <a:endParaRPr lang="en-US"/>
              </a:p>
            </c:rich>
          </c:tx>
          <c:layout>
            <c:manualLayout>
              <c:xMode val="edge"/>
              <c:yMode val="edge"/>
              <c:x val="0.92395562709357459"/>
              <c:y val="0.159452531848153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4695984"/>
        <c:crosses val="max"/>
        <c:crossBetween val="between"/>
      </c:valAx>
      <c:catAx>
        <c:axId val="1584695984"/>
        <c:scaling>
          <c:orientation val="minMax"/>
        </c:scaling>
        <c:delete val="1"/>
        <c:axPos val="b"/>
        <c:numFmt formatCode="General" sourceLinked="1"/>
        <c:majorTickMark val="out"/>
        <c:minorTickMark val="none"/>
        <c:tickLblPos val="nextTo"/>
        <c:crossAx val="1584694352"/>
        <c:crosses val="autoZero"/>
        <c:auto val="1"/>
        <c:lblAlgn val="ctr"/>
        <c:lblOffset val="100"/>
        <c:noMultiLvlLbl val="0"/>
      </c:catAx>
      <c:spPr>
        <a:noFill/>
        <a:ln>
          <a:noFill/>
        </a:ln>
        <a:effectLst/>
      </c:spPr>
    </c:plotArea>
    <c:legend>
      <c:legendPos val="b"/>
      <c:layout>
        <c:manualLayout>
          <c:xMode val="edge"/>
          <c:yMode val="edge"/>
          <c:x val="9.6998825423065205E-2"/>
          <c:y val="0.89024313424236601"/>
          <c:w val="0.80600234915386959"/>
          <c:h val="0.109756865757633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7614709925968"/>
          <c:y val="0.12727272727272718"/>
          <c:w val="0.82715542910077533"/>
          <c:h val="0.45733767572247186"/>
        </c:manualLayout>
      </c:layout>
      <c:barChart>
        <c:barDir val="col"/>
        <c:grouping val="clustered"/>
        <c:varyColors val="0"/>
        <c:ser>
          <c:idx val="1"/>
          <c:order val="1"/>
          <c:tx>
            <c:strRef>
              <c:f>Sheet1!$C$1</c:f>
              <c:strCache>
                <c:ptCount val="1"/>
                <c:pt idx="0">
                  <c:v>Արտահանում</c:v>
                </c:pt>
              </c:strCache>
            </c:strRef>
          </c:tx>
          <c:spPr>
            <a:solidFill>
              <a:srgbClr val="ED7D31">
                <a:lumMod val="60000"/>
                <a:lumOff val="40000"/>
              </a:srgbClr>
            </a:solidFill>
            <a:ln>
              <a:noFill/>
            </a:ln>
            <a:effectLst/>
          </c:spPr>
          <c:invertIfNegative val="0"/>
          <c:cat>
            <c:numRef>
              <c:f>Sheet1!$A$2:$A$11</c:f>
              <c:numCache>
                <c:formatCode>General</c:formatCode>
                <c:ptCount val="6"/>
                <c:pt idx="0">
                  <c:v>2019</c:v>
                </c:pt>
                <c:pt idx="1">
                  <c:v>2020</c:v>
                </c:pt>
                <c:pt idx="2">
                  <c:v>2021</c:v>
                </c:pt>
                <c:pt idx="3">
                  <c:v>2022</c:v>
                </c:pt>
                <c:pt idx="4">
                  <c:v>2023</c:v>
                </c:pt>
                <c:pt idx="5">
                  <c:v>2024</c:v>
                </c:pt>
              </c:numCache>
            </c:numRef>
          </c:cat>
          <c:val>
            <c:numRef>
              <c:f>Sheet1!$C$2:$C$11</c:f>
              <c:numCache>
                <c:formatCode>0.0</c:formatCode>
                <c:ptCount val="6"/>
                <c:pt idx="0">
                  <c:v>1.0609999999999999</c:v>
                </c:pt>
                <c:pt idx="1">
                  <c:v>-7.431</c:v>
                </c:pt>
                <c:pt idx="2">
                  <c:v>10.595000000000001</c:v>
                </c:pt>
                <c:pt idx="3">
                  <c:v>4.79</c:v>
                </c:pt>
                <c:pt idx="4">
                  <c:v>2.4620000000000002</c:v>
                </c:pt>
                <c:pt idx="5">
                  <c:v>3.5230000000000001</c:v>
                </c:pt>
              </c:numCache>
            </c:numRef>
          </c:val>
          <c:extLst>
            <c:ext xmlns:c16="http://schemas.microsoft.com/office/drawing/2014/chart" uri="{C3380CC4-5D6E-409C-BE32-E72D297353CC}">
              <c16:uniqueId val="{00000000-401A-42BD-B3FD-96F8748556B7}"/>
            </c:ext>
          </c:extLst>
        </c:ser>
        <c:ser>
          <c:idx val="2"/>
          <c:order val="2"/>
          <c:tx>
            <c:strRef>
              <c:f>Sheet1!$D$1</c:f>
              <c:strCache>
                <c:ptCount val="1"/>
                <c:pt idx="0">
                  <c:v>Ներմուծում</c:v>
                </c:pt>
              </c:strCache>
            </c:strRef>
          </c:tx>
          <c:spPr>
            <a:solidFill>
              <a:srgbClr val="2E75B6"/>
            </a:solidFill>
            <a:ln>
              <a:solidFill>
                <a:schemeClr val="accent1"/>
              </a:solidFill>
            </a:ln>
            <a:effectLst/>
          </c:spPr>
          <c:invertIfNegative val="0"/>
          <c:cat>
            <c:numRef>
              <c:f>Sheet1!$A$2:$A$11</c:f>
              <c:numCache>
                <c:formatCode>General</c:formatCode>
                <c:ptCount val="6"/>
                <c:pt idx="0">
                  <c:v>2019</c:v>
                </c:pt>
                <c:pt idx="1">
                  <c:v>2020</c:v>
                </c:pt>
                <c:pt idx="2">
                  <c:v>2021</c:v>
                </c:pt>
                <c:pt idx="3">
                  <c:v>2022</c:v>
                </c:pt>
                <c:pt idx="4">
                  <c:v>2023</c:v>
                </c:pt>
                <c:pt idx="5">
                  <c:v>2024</c:v>
                </c:pt>
              </c:numCache>
            </c:numRef>
          </c:cat>
          <c:val>
            <c:numRef>
              <c:f>Sheet1!$D$2:$D$11</c:f>
              <c:numCache>
                <c:formatCode>0.0</c:formatCode>
                <c:ptCount val="6"/>
                <c:pt idx="0">
                  <c:v>0.90800000000000003</c:v>
                </c:pt>
                <c:pt idx="1">
                  <c:v>-8.1530000000000005</c:v>
                </c:pt>
                <c:pt idx="2">
                  <c:v>10.641</c:v>
                </c:pt>
                <c:pt idx="3">
                  <c:v>5.4459999999999997</c:v>
                </c:pt>
                <c:pt idx="4">
                  <c:v>2.363</c:v>
                </c:pt>
                <c:pt idx="5">
                  <c:v>3.5760000000000001</c:v>
                </c:pt>
              </c:numCache>
            </c:numRef>
          </c:val>
          <c:extLst>
            <c:ext xmlns:c16="http://schemas.microsoft.com/office/drawing/2014/chart" uri="{C3380CC4-5D6E-409C-BE32-E72D297353CC}">
              <c16:uniqueId val="{00000001-401A-42BD-B3FD-96F8748556B7}"/>
            </c:ext>
          </c:extLst>
        </c:ser>
        <c:dLbls>
          <c:showLegendKey val="0"/>
          <c:showVal val="0"/>
          <c:showCatName val="0"/>
          <c:showSerName val="0"/>
          <c:showPercent val="0"/>
          <c:showBubbleSize val="0"/>
        </c:dLbls>
        <c:gapWidth val="150"/>
        <c:axId val="1586421568"/>
        <c:axId val="1586418848"/>
      </c:barChart>
      <c:lineChart>
        <c:grouping val="standard"/>
        <c:varyColors val="0"/>
        <c:ser>
          <c:idx val="0"/>
          <c:order val="0"/>
          <c:tx>
            <c:strRef>
              <c:f>Sheet1!$B$1</c:f>
              <c:strCache>
                <c:ptCount val="1"/>
                <c:pt idx="0">
                  <c:v>Առևտրաշրջանառություն</c:v>
                </c:pt>
              </c:strCache>
            </c:strRef>
          </c:tx>
          <c:spPr>
            <a:ln w="28575" cap="rnd">
              <a:solidFill>
                <a:srgbClr val="44546A"/>
              </a:solidFill>
              <a:round/>
            </a:ln>
            <a:effectLst/>
          </c:spPr>
          <c:marker>
            <c:symbol val="circle"/>
            <c:size val="5"/>
            <c:spPr>
              <a:solidFill>
                <a:srgbClr val="4472C4">
                  <a:lumMod val="50000"/>
                </a:srgbClr>
              </a:solidFill>
              <a:ln w="9525">
                <a:solidFill>
                  <a:srgbClr val="4472C4">
                    <a:lumMod val="50000"/>
                  </a:srgbClr>
                </a:solidFill>
              </a:ln>
              <a:effectLst/>
            </c:spPr>
          </c:marker>
          <c:dLbls>
            <c:dLbl>
              <c:idx val="1"/>
              <c:layout>
                <c:manualLayout>
                  <c:x val="-6.9211198600175022E-2"/>
                  <c:y val="2.237626995190188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01A-42BD-B3FD-96F8748556B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6"/>
                <c:pt idx="0">
                  <c:v>2019</c:v>
                </c:pt>
                <c:pt idx="1">
                  <c:v>2020</c:v>
                </c:pt>
                <c:pt idx="2">
                  <c:v>2021</c:v>
                </c:pt>
                <c:pt idx="3">
                  <c:v>2022</c:v>
                </c:pt>
                <c:pt idx="4">
                  <c:v>2023</c:v>
                </c:pt>
                <c:pt idx="5">
                  <c:v>2024</c:v>
                </c:pt>
              </c:numCache>
            </c:numRef>
          </c:cat>
          <c:val>
            <c:numRef>
              <c:f>Sheet1!$B$2:$B$11</c:f>
              <c:numCache>
                <c:formatCode>0.0</c:formatCode>
                <c:ptCount val="6"/>
                <c:pt idx="0">
                  <c:v>0.98499999999999999</c:v>
                </c:pt>
                <c:pt idx="1">
                  <c:v>-7.7910000000000004</c:v>
                </c:pt>
                <c:pt idx="2">
                  <c:v>10.617000000000001</c:v>
                </c:pt>
                <c:pt idx="3">
                  <c:v>5.1159999999999997</c:v>
                </c:pt>
                <c:pt idx="4">
                  <c:v>2.4129999999999998</c:v>
                </c:pt>
                <c:pt idx="5">
                  <c:v>3.5489999999999999</c:v>
                </c:pt>
              </c:numCache>
            </c:numRef>
          </c:val>
          <c:smooth val="0"/>
          <c:extLst>
            <c:ext xmlns:c16="http://schemas.microsoft.com/office/drawing/2014/chart" uri="{C3380CC4-5D6E-409C-BE32-E72D297353CC}">
              <c16:uniqueId val="{00000003-401A-42BD-B3FD-96F8748556B7}"/>
            </c:ext>
          </c:extLst>
        </c:ser>
        <c:dLbls>
          <c:showLegendKey val="0"/>
          <c:showVal val="0"/>
          <c:showCatName val="0"/>
          <c:showSerName val="0"/>
          <c:showPercent val="0"/>
          <c:showBubbleSize val="0"/>
        </c:dLbls>
        <c:marker val="1"/>
        <c:smooth val="0"/>
        <c:axId val="1586421568"/>
        <c:axId val="1586418848"/>
      </c:lineChart>
      <c:catAx>
        <c:axId val="15864215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6418848"/>
        <c:crosses val="autoZero"/>
        <c:auto val="1"/>
        <c:lblAlgn val="ctr"/>
        <c:lblOffset val="100"/>
        <c:noMultiLvlLbl val="0"/>
      </c:catAx>
      <c:valAx>
        <c:axId val="158641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6421568"/>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1.9547920725707145E-3"/>
          <c:y val="0.7584328291758361"/>
          <c:w val="0.98445949256342957"/>
          <c:h val="0.239063768079070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0.5529</cdr:x>
      <cdr:y>0.00474</cdr:y>
    </cdr:from>
    <cdr:to>
      <cdr:x>1</cdr:x>
      <cdr:y>0.85332</cdr:y>
    </cdr:to>
    <cdr:sp macro="" textlink="">
      <cdr:nvSpPr>
        <cdr:cNvPr id="2" name="Rectangle 1"/>
        <cdr:cNvSpPr/>
      </cdr:nvSpPr>
      <cdr:spPr>
        <a:xfrm xmlns:a="http://schemas.openxmlformats.org/drawingml/2006/main">
          <a:off x="1543050" y="9316"/>
          <a:ext cx="1247775" cy="1667735"/>
        </a:xfrm>
        <a:prstGeom xmlns:a="http://schemas.openxmlformats.org/drawingml/2006/main" prst="rect">
          <a:avLst/>
        </a:prstGeom>
        <a:solidFill xmlns:a="http://schemas.openxmlformats.org/drawingml/2006/main">
          <a:srgbClr val="D8E2F4">
            <a:alpha val="3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0.xml><?xml version="1.0" encoding="utf-8"?>
<c:userShapes xmlns:c="http://schemas.openxmlformats.org/drawingml/2006/chart">
  <cdr:relSizeAnchor xmlns:cdr="http://schemas.openxmlformats.org/drawingml/2006/chartDrawing">
    <cdr:from>
      <cdr:x>0.74101</cdr:x>
      <cdr:y>0.18275</cdr:y>
    </cdr:from>
    <cdr:to>
      <cdr:x>1</cdr:x>
      <cdr:y>0.78816</cdr:y>
    </cdr:to>
    <cdr:sp macro="" textlink="">
      <cdr:nvSpPr>
        <cdr:cNvPr id="2" name="Rectangle 1"/>
        <cdr:cNvSpPr/>
      </cdr:nvSpPr>
      <cdr:spPr>
        <a:xfrm xmlns:a="http://schemas.openxmlformats.org/drawingml/2006/main">
          <a:off x="2276474" y="392701"/>
          <a:ext cx="795655" cy="1300929"/>
        </a:xfrm>
        <a:prstGeom xmlns:a="http://schemas.openxmlformats.org/drawingml/2006/main" prst="rect">
          <a:avLst/>
        </a:prstGeom>
        <a:solidFill xmlns:a="http://schemas.openxmlformats.org/drawingml/2006/main">
          <a:srgbClr val="D8E2F4">
            <a:alpha val="30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solidFill>
              <a:schemeClr val="lt1">
                <a:alpha val="40000"/>
              </a:schemeClr>
            </a:solidFill>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0.70593</cdr:x>
      <cdr:y>0</cdr:y>
    </cdr:from>
    <cdr:to>
      <cdr:x>1</cdr:x>
      <cdr:y>0.688</cdr:y>
    </cdr:to>
    <cdr:sp macro="" textlink="">
      <cdr:nvSpPr>
        <cdr:cNvPr id="2" name="Rectangle 1"/>
        <cdr:cNvSpPr/>
      </cdr:nvSpPr>
      <cdr:spPr>
        <a:xfrm xmlns:a="http://schemas.openxmlformats.org/drawingml/2006/main">
          <a:off x="2018996" y="0"/>
          <a:ext cx="841044" cy="1733540"/>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2.xml><?xml version="1.0" encoding="utf-8"?>
<c:userShapes xmlns:c="http://schemas.openxmlformats.org/drawingml/2006/chart">
  <cdr:relSizeAnchor xmlns:cdr="http://schemas.openxmlformats.org/drawingml/2006/chartDrawing">
    <cdr:from>
      <cdr:x>0.73728</cdr:x>
      <cdr:y>0</cdr:y>
    </cdr:from>
    <cdr:to>
      <cdr:x>1</cdr:x>
      <cdr:y>0.79245</cdr:y>
    </cdr:to>
    <cdr:sp macro="" textlink="">
      <cdr:nvSpPr>
        <cdr:cNvPr id="2" name="Rectangle 1"/>
        <cdr:cNvSpPr/>
      </cdr:nvSpPr>
      <cdr:spPr>
        <a:xfrm xmlns:a="http://schemas.openxmlformats.org/drawingml/2006/main">
          <a:off x="1989734" y="0"/>
          <a:ext cx="709015" cy="1866893"/>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3.xml><?xml version="1.0" encoding="utf-8"?>
<c:userShapes xmlns:c="http://schemas.openxmlformats.org/drawingml/2006/chart">
  <cdr:relSizeAnchor xmlns:cdr="http://schemas.openxmlformats.org/drawingml/2006/chartDrawing">
    <cdr:from>
      <cdr:x>0.73088</cdr:x>
      <cdr:y>0</cdr:y>
    </cdr:from>
    <cdr:to>
      <cdr:x>0.98311</cdr:x>
      <cdr:y>0.71069</cdr:y>
    </cdr:to>
    <cdr:sp macro="" textlink="">
      <cdr:nvSpPr>
        <cdr:cNvPr id="2" name="Rectangle 1"/>
        <cdr:cNvSpPr/>
      </cdr:nvSpPr>
      <cdr:spPr>
        <a:xfrm xmlns:a="http://schemas.openxmlformats.org/drawingml/2006/main">
          <a:off x="2026311" y="0"/>
          <a:ext cx="699273" cy="1790711"/>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4.xml><?xml version="1.0" encoding="utf-8"?>
<c:userShapes xmlns:c="http://schemas.openxmlformats.org/drawingml/2006/chart">
  <cdr:relSizeAnchor xmlns:cdr="http://schemas.openxmlformats.org/drawingml/2006/chartDrawing">
    <cdr:from>
      <cdr:x>0.7388</cdr:x>
      <cdr:y>0</cdr:y>
    </cdr:from>
    <cdr:to>
      <cdr:x>1</cdr:x>
      <cdr:y>0.785</cdr:y>
    </cdr:to>
    <cdr:sp macro="" textlink="">
      <cdr:nvSpPr>
        <cdr:cNvPr id="2" name="Rectangle 1"/>
        <cdr:cNvSpPr/>
      </cdr:nvSpPr>
      <cdr:spPr>
        <a:xfrm xmlns:a="http://schemas.openxmlformats.org/drawingml/2006/main">
          <a:off x="2048256" y="0"/>
          <a:ext cx="724153" cy="1847847"/>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5.xml><?xml version="1.0" encoding="utf-8"?>
<c:userShapes xmlns:c="http://schemas.openxmlformats.org/drawingml/2006/chart">
  <cdr:relSizeAnchor xmlns:cdr="http://schemas.openxmlformats.org/drawingml/2006/chartDrawing">
    <cdr:from>
      <cdr:x>0.38097</cdr:x>
      <cdr:y>0.07497</cdr:y>
    </cdr:from>
    <cdr:to>
      <cdr:x>0.80543</cdr:x>
      <cdr:y>0.21226</cdr:y>
    </cdr:to>
    <cdr:sp macro="" textlink="">
      <cdr:nvSpPr>
        <cdr:cNvPr id="2" name="Text Box 1"/>
        <cdr:cNvSpPr txBox="1"/>
      </cdr:nvSpPr>
      <cdr:spPr>
        <a:xfrm xmlns:a="http://schemas.openxmlformats.org/drawingml/2006/main">
          <a:off x="1128538" y="152092"/>
          <a:ext cx="1257361" cy="2785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0.35093</cdr:x>
      <cdr:y>0.0766</cdr:y>
    </cdr:from>
    <cdr:to>
      <cdr:x>0.73913</cdr:x>
      <cdr:y>0.1895</cdr:y>
    </cdr:to>
    <cdr:sp macro="" textlink="">
      <cdr:nvSpPr>
        <cdr:cNvPr id="2" name="Text Box 1"/>
        <cdr:cNvSpPr txBox="1"/>
      </cdr:nvSpPr>
      <cdr:spPr>
        <a:xfrm xmlns:a="http://schemas.openxmlformats.org/drawingml/2006/main">
          <a:off x="1076325" y="171450"/>
          <a:ext cx="1190625" cy="252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0.72867</cdr:x>
      <cdr:y>0</cdr:y>
    </cdr:from>
    <cdr:to>
      <cdr:x>0.98017</cdr:x>
      <cdr:y>0.83823</cdr:y>
    </cdr:to>
    <cdr:sp macro="" textlink="">
      <cdr:nvSpPr>
        <cdr:cNvPr id="2" name="Rounded Rectangle 1"/>
        <cdr:cNvSpPr/>
      </cdr:nvSpPr>
      <cdr:spPr>
        <a:xfrm xmlns:a="http://schemas.openxmlformats.org/drawingml/2006/main">
          <a:off x="2150669" y="0"/>
          <a:ext cx="742290" cy="2706624"/>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8.xml><?xml version="1.0" encoding="utf-8"?>
<c:userShapes xmlns:c="http://schemas.openxmlformats.org/drawingml/2006/chart">
  <cdr:relSizeAnchor xmlns:cdr="http://schemas.openxmlformats.org/drawingml/2006/chartDrawing">
    <cdr:from>
      <cdr:x>0.71644</cdr:x>
      <cdr:y>0.01</cdr:y>
    </cdr:from>
    <cdr:to>
      <cdr:x>0.97418</cdr:x>
      <cdr:y>0.82301</cdr:y>
    </cdr:to>
    <cdr:sp macro="" textlink="">
      <cdr:nvSpPr>
        <cdr:cNvPr id="2" name="Rounded Rectangle 1"/>
        <cdr:cNvSpPr/>
      </cdr:nvSpPr>
      <cdr:spPr>
        <a:xfrm xmlns:a="http://schemas.openxmlformats.org/drawingml/2006/main">
          <a:off x="2114558" y="32290"/>
          <a:ext cx="760715" cy="2625185"/>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9.xml><?xml version="1.0" encoding="utf-8"?>
<c:userShapes xmlns:c="http://schemas.openxmlformats.org/drawingml/2006/chart">
  <cdr:relSizeAnchor xmlns:cdr="http://schemas.openxmlformats.org/drawingml/2006/chartDrawing">
    <cdr:from>
      <cdr:x>0.73883</cdr:x>
      <cdr:y>4.00713E-7</cdr:y>
    </cdr:from>
    <cdr:to>
      <cdr:x>1</cdr:x>
      <cdr:y>0.75318</cdr:y>
    </cdr:to>
    <cdr:sp macro="" textlink="">
      <cdr:nvSpPr>
        <cdr:cNvPr id="2" name="Rounded Rectangle 1"/>
        <cdr:cNvSpPr/>
      </cdr:nvSpPr>
      <cdr:spPr>
        <a:xfrm xmlns:a="http://schemas.openxmlformats.org/drawingml/2006/main">
          <a:off x="4410074" y="1"/>
          <a:ext cx="1558925" cy="1879597"/>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0.51294</cdr:x>
      <cdr:y>0</cdr:y>
    </cdr:from>
    <cdr:to>
      <cdr:x>0.83505</cdr:x>
      <cdr:y>0.89823</cdr:y>
    </cdr:to>
    <cdr:sp macro="" textlink="">
      <cdr:nvSpPr>
        <cdr:cNvPr id="2" name="Rectangle 1"/>
        <cdr:cNvSpPr/>
      </cdr:nvSpPr>
      <cdr:spPr>
        <a:xfrm xmlns:a="http://schemas.openxmlformats.org/drawingml/2006/main">
          <a:off x="1473880" y="-1589809"/>
          <a:ext cx="925542" cy="1753906"/>
        </a:xfrm>
        <a:prstGeom xmlns:a="http://schemas.openxmlformats.org/drawingml/2006/main" prst="rect">
          <a:avLst/>
        </a:prstGeom>
        <a:solidFill xmlns:a="http://schemas.openxmlformats.org/drawingml/2006/main">
          <a:srgbClr val="D8E2F4">
            <a:alpha val="3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0.xml><?xml version="1.0" encoding="utf-8"?>
<c:userShapes xmlns:c="http://schemas.openxmlformats.org/drawingml/2006/chart">
  <cdr:relSizeAnchor xmlns:cdr="http://schemas.openxmlformats.org/drawingml/2006/chartDrawing">
    <cdr:from>
      <cdr:x>0.73254</cdr:x>
      <cdr:y>0</cdr:y>
    </cdr:from>
    <cdr:to>
      <cdr:x>1</cdr:x>
      <cdr:y>0.78589</cdr:y>
    </cdr:to>
    <cdr:sp macro="" textlink="">
      <cdr:nvSpPr>
        <cdr:cNvPr id="2" name="Rounded Rectangle 1"/>
        <cdr:cNvSpPr/>
      </cdr:nvSpPr>
      <cdr:spPr>
        <a:xfrm xmlns:a="http://schemas.openxmlformats.org/drawingml/2006/main">
          <a:off x="2136038" y="0"/>
          <a:ext cx="779882" cy="2121420"/>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1.xml><?xml version="1.0" encoding="utf-8"?>
<c:userShapes xmlns:c="http://schemas.openxmlformats.org/drawingml/2006/chart">
  <cdr:relSizeAnchor xmlns:cdr="http://schemas.openxmlformats.org/drawingml/2006/chartDrawing">
    <cdr:from>
      <cdr:x>0.72</cdr:x>
      <cdr:y>0</cdr:y>
    </cdr:from>
    <cdr:to>
      <cdr:x>1</cdr:x>
      <cdr:y>0.80757</cdr:y>
    </cdr:to>
    <cdr:sp macro="" textlink="">
      <cdr:nvSpPr>
        <cdr:cNvPr id="2" name="Rounded Rectangle 1"/>
        <cdr:cNvSpPr/>
      </cdr:nvSpPr>
      <cdr:spPr>
        <a:xfrm xmlns:a="http://schemas.openxmlformats.org/drawingml/2006/main">
          <a:off x="2099462" y="0"/>
          <a:ext cx="816458" cy="2179930"/>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22.xml><?xml version="1.0" encoding="utf-8"?>
<c:userShapes xmlns:c="http://schemas.openxmlformats.org/drawingml/2006/chart">
  <cdr:relSizeAnchor xmlns:cdr="http://schemas.openxmlformats.org/drawingml/2006/chartDrawing">
    <cdr:from>
      <cdr:x>0.13909</cdr:x>
      <cdr:y>0.26693</cdr:y>
    </cdr:from>
    <cdr:to>
      <cdr:x>0.85372</cdr:x>
      <cdr:y>0.27169</cdr:y>
    </cdr:to>
    <cdr:cxnSp macro="">
      <cdr:nvCxnSpPr>
        <cdr:cNvPr id="3" name="Straight Connector 2"/>
        <cdr:cNvCxnSpPr/>
      </cdr:nvCxnSpPr>
      <cdr:spPr>
        <a:xfrm xmlns:a="http://schemas.openxmlformats.org/drawingml/2006/main" flipH="1">
          <a:off x="400541" y="768673"/>
          <a:ext cx="2057938" cy="13708"/>
        </a:xfrm>
        <a:prstGeom xmlns:a="http://schemas.openxmlformats.org/drawingml/2006/main" prst="line">
          <a:avLst/>
        </a:prstGeom>
        <a:ln xmlns:a="http://schemas.openxmlformats.org/drawingml/2006/main" w="28575">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0.12891</cdr:x>
      <cdr:y>0.3423</cdr:y>
    </cdr:from>
    <cdr:to>
      <cdr:x>0.84354</cdr:x>
      <cdr:y>0.34706</cdr:y>
    </cdr:to>
    <cdr:cxnSp macro="">
      <cdr:nvCxnSpPr>
        <cdr:cNvPr id="4" name="Straight Connector 3"/>
        <cdr:cNvCxnSpPr/>
      </cdr:nvCxnSpPr>
      <cdr:spPr>
        <a:xfrm xmlns:a="http://schemas.openxmlformats.org/drawingml/2006/main" flipH="1">
          <a:off x="371234" y="985729"/>
          <a:ext cx="2057938" cy="13707"/>
        </a:xfrm>
        <a:prstGeom xmlns:a="http://schemas.openxmlformats.org/drawingml/2006/main" prst="line">
          <a:avLst/>
        </a:prstGeom>
        <a:ln xmlns:a="http://schemas.openxmlformats.org/drawingml/2006/main" w="28575">
          <a:solidFill>
            <a:schemeClr val="accent4"/>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0.67999</cdr:x>
      <cdr:y>0.18483</cdr:y>
    </cdr:from>
    <cdr:to>
      <cdr:x>0.87483</cdr:x>
      <cdr:y>0.68245</cdr:y>
    </cdr:to>
    <cdr:sp macro="" textlink="">
      <cdr:nvSpPr>
        <cdr:cNvPr id="2" name="Rectangle 1"/>
        <cdr:cNvSpPr/>
      </cdr:nvSpPr>
      <cdr:spPr>
        <a:xfrm xmlns:a="http://schemas.openxmlformats.org/drawingml/2006/main">
          <a:off x="1933575" y="532260"/>
          <a:ext cx="554030" cy="1433008"/>
        </a:xfrm>
        <a:prstGeom xmlns:a="http://schemas.openxmlformats.org/drawingml/2006/main" prst="rect">
          <a:avLst/>
        </a:prstGeom>
        <a:solidFill xmlns:a="http://schemas.openxmlformats.org/drawingml/2006/main">
          <a:schemeClr val="bg1">
            <a:lumMod val="85000"/>
            <a:alpha val="3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hy-AM"/>
        </a:p>
      </cdr:txBody>
    </cdr:sp>
  </cdr:relSizeAnchor>
</c:userShapes>
</file>

<file path=word/drawings/drawing23.xml><?xml version="1.0" encoding="utf-8"?>
<c:userShapes xmlns:c="http://schemas.openxmlformats.org/drawingml/2006/chart">
  <cdr:relSizeAnchor xmlns:cdr="http://schemas.openxmlformats.org/drawingml/2006/chartDrawing">
    <cdr:from>
      <cdr:x>0.44656</cdr:x>
      <cdr:y>0.21122</cdr:y>
    </cdr:from>
    <cdr:to>
      <cdr:x>0.62969</cdr:x>
      <cdr:y>0.88693</cdr:y>
    </cdr:to>
    <cdr:sp macro="" textlink="">
      <cdr:nvSpPr>
        <cdr:cNvPr id="2" name="Rectangle 1"/>
        <cdr:cNvSpPr/>
      </cdr:nvSpPr>
      <cdr:spPr>
        <a:xfrm xmlns:a="http://schemas.openxmlformats.org/drawingml/2006/main">
          <a:off x="1323975" y="609600"/>
          <a:ext cx="542936" cy="1950155"/>
        </a:xfrm>
        <a:prstGeom xmlns:a="http://schemas.openxmlformats.org/drawingml/2006/main" prst="rect">
          <a:avLst/>
        </a:prstGeom>
        <a:solidFill xmlns:a="http://schemas.openxmlformats.org/drawingml/2006/main">
          <a:schemeClr val="bg1">
            <a:lumMod val="85000"/>
            <a:alpha val="2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0.53608</cdr:x>
      <cdr:y>0</cdr:y>
    </cdr:from>
    <cdr:to>
      <cdr:x>0.96835</cdr:x>
      <cdr:y>0.71244</cdr:y>
    </cdr:to>
    <cdr:sp macro="" textlink="">
      <cdr:nvSpPr>
        <cdr:cNvPr id="2" name="Rectangle 1"/>
        <cdr:cNvSpPr/>
      </cdr:nvSpPr>
      <cdr:spPr>
        <a:xfrm xmlns:a="http://schemas.openxmlformats.org/drawingml/2006/main">
          <a:off x="1495425" y="0"/>
          <a:ext cx="1205841" cy="1400175"/>
        </a:xfrm>
        <a:prstGeom xmlns:a="http://schemas.openxmlformats.org/drawingml/2006/main" prst="rect">
          <a:avLst/>
        </a:prstGeom>
        <a:solidFill xmlns:a="http://schemas.openxmlformats.org/drawingml/2006/main">
          <a:srgbClr val="D8E2F4">
            <a:alpha val="3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0.84458</cdr:x>
      <cdr:y>0</cdr:y>
    </cdr:from>
    <cdr:to>
      <cdr:x>0.90456</cdr:x>
      <cdr:y>0.87535</cdr:y>
    </cdr:to>
    <cdr:sp macro="" textlink="">
      <cdr:nvSpPr>
        <cdr:cNvPr id="2" name="Rectangle 1"/>
        <cdr:cNvSpPr/>
      </cdr:nvSpPr>
      <cdr:spPr>
        <a:xfrm xmlns:a="http://schemas.openxmlformats.org/drawingml/2006/main">
          <a:off x="2598419" y="0"/>
          <a:ext cx="184527" cy="1613069"/>
        </a:xfrm>
        <a:prstGeom xmlns:a="http://schemas.openxmlformats.org/drawingml/2006/main" prst="rect">
          <a:avLst/>
        </a:prstGeom>
        <a:solidFill xmlns:a="http://schemas.openxmlformats.org/drawingml/2006/main">
          <a:srgbClr val="D8E2F4">
            <a:alpha val="40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solidFill>
              <a:schemeClr val="lt1">
                <a:alpha val="55000"/>
              </a:schemeClr>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0.71627</cdr:x>
      <cdr:y>0</cdr:y>
    </cdr:from>
    <cdr:to>
      <cdr:x>1</cdr:x>
      <cdr:y>0.77315</cdr:y>
    </cdr:to>
    <cdr:sp macro="" textlink="">
      <cdr:nvSpPr>
        <cdr:cNvPr id="2" name="Rectangle 1"/>
        <cdr:cNvSpPr/>
      </cdr:nvSpPr>
      <cdr:spPr>
        <a:xfrm xmlns:a="http://schemas.openxmlformats.org/drawingml/2006/main">
          <a:off x="2164080" y="0"/>
          <a:ext cx="857250" cy="1463032"/>
        </a:xfrm>
        <a:prstGeom xmlns:a="http://schemas.openxmlformats.org/drawingml/2006/main" prst="rect">
          <a:avLst/>
        </a:prstGeom>
        <a:solidFill xmlns:a="http://schemas.openxmlformats.org/drawingml/2006/main">
          <a:srgbClr val="D8E2F4">
            <a:alpha val="40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0.71722</cdr:x>
      <cdr:y>0</cdr:y>
    </cdr:from>
    <cdr:to>
      <cdr:x>0.94848</cdr:x>
      <cdr:y>0.76567</cdr:y>
    </cdr:to>
    <cdr:sp macro="" textlink="">
      <cdr:nvSpPr>
        <cdr:cNvPr id="2" name="Rectangle 1"/>
        <cdr:cNvSpPr/>
      </cdr:nvSpPr>
      <cdr:spPr>
        <a:xfrm xmlns:a="http://schemas.openxmlformats.org/drawingml/2006/main">
          <a:off x="2240280" y="0"/>
          <a:ext cx="722358" cy="1430402"/>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0.70241</cdr:x>
      <cdr:y>0</cdr:y>
    </cdr:from>
    <cdr:to>
      <cdr:x>0.99974</cdr:x>
      <cdr:y>0.72419</cdr:y>
    </cdr:to>
    <cdr:sp macro="" textlink="">
      <cdr:nvSpPr>
        <cdr:cNvPr id="2" name="Rectangle 1"/>
        <cdr:cNvSpPr/>
      </cdr:nvSpPr>
      <cdr:spPr>
        <a:xfrm xmlns:a="http://schemas.openxmlformats.org/drawingml/2006/main">
          <a:off x="2179319" y="0"/>
          <a:ext cx="922483" cy="1309223"/>
        </a:xfrm>
        <a:prstGeom xmlns:a="http://schemas.openxmlformats.org/drawingml/2006/main" prst="rect">
          <a:avLst/>
        </a:prstGeom>
        <a:solidFill xmlns:a="http://schemas.openxmlformats.org/drawingml/2006/main">
          <a:srgbClr val="D8E2F4">
            <a:alpha val="45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solidFill>
              <a:schemeClr val="lt1">
                <a:alpha val="40000"/>
              </a:schemeClr>
            </a:solidFill>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0.70271</cdr:x>
      <cdr:y>0</cdr:y>
    </cdr:from>
    <cdr:to>
      <cdr:x>1</cdr:x>
      <cdr:y>0.74048</cdr:y>
    </cdr:to>
    <cdr:sp macro="" textlink="">
      <cdr:nvSpPr>
        <cdr:cNvPr id="2" name="Rectangle 1"/>
        <cdr:cNvSpPr/>
      </cdr:nvSpPr>
      <cdr:spPr>
        <a:xfrm xmlns:a="http://schemas.openxmlformats.org/drawingml/2006/main">
          <a:off x="2186939" y="0"/>
          <a:ext cx="925195" cy="1338673"/>
        </a:xfrm>
        <a:prstGeom xmlns:a="http://schemas.openxmlformats.org/drawingml/2006/main" prst="rect">
          <a:avLst/>
        </a:prstGeom>
        <a:solidFill xmlns:a="http://schemas.openxmlformats.org/drawingml/2006/main">
          <a:srgbClr val="D8E2F4">
            <a:alpha val="40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0.68566</cdr:x>
      <cdr:y>0.15911</cdr:y>
    </cdr:from>
    <cdr:to>
      <cdr:x>1</cdr:x>
      <cdr:y>0.80682</cdr:y>
    </cdr:to>
    <cdr:sp macro="" textlink="">
      <cdr:nvSpPr>
        <cdr:cNvPr id="2" name="Rectangle 1"/>
        <cdr:cNvSpPr/>
      </cdr:nvSpPr>
      <cdr:spPr>
        <a:xfrm xmlns:a="http://schemas.openxmlformats.org/drawingml/2006/main">
          <a:off x="2085975" y="341902"/>
          <a:ext cx="956310" cy="1391825"/>
        </a:xfrm>
        <a:prstGeom xmlns:a="http://schemas.openxmlformats.org/drawingml/2006/main" prst="rect">
          <a:avLst/>
        </a:prstGeom>
        <a:solidFill xmlns:a="http://schemas.openxmlformats.org/drawingml/2006/main">
          <a:srgbClr val="D8E2F4">
            <a:alpha val="30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solidFill>
              <a:schemeClr val="lt1">
                <a:alpha val="40000"/>
              </a:schemeClr>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Աղյուսակ</b:Tag>
    <b:RefOrder>1</b:RefOrder>
  </b:Source>
  <b:Source>
    <b:Tag>Placeholder1</b:Tag>
    <b:SourceType>Book</b:SourceType>
    <b:Guid>{2AE0E246-06CA-492A-BE9E-19E05D9F8719}</b:Guid>
    <b:RefOrder>2</b:RefOrder>
  </b:Source>
</b:Sources>
</file>

<file path=customXml/itemProps1.xml><?xml version="1.0" encoding="utf-8"?>
<ds:datastoreItem xmlns:ds="http://schemas.openxmlformats.org/officeDocument/2006/customXml" ds:itemID="{51451E01-0DEA-488D-A682-012E6F8CA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61</Pages>
  <Words>13106</Words>
  <Characters>97037</Characters>
  <Application>Microsoft Office Word</Application>
  <DocSecurity>0</DocSecurity>
  <Lines>808</Lines>
  <Paragraphs>219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Մ Ա Ս   I</vt:lpstr>
      <vt:lpstr>Մ Ա Ս   I</vt:lpstr>
    </vt:vector>
  </TitlesOfParts>
  <Company>Compass</Company>
  <LinksUpToDate>false</LinksUpToDate>
  <CharactersWithSpaces>109924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Մ Ա Ս   I</dc:title>
  <dc:subject/>
  <dc:creator>User</dc:creator>
  <cp:keywords>https:/mul2-minfin.gov.am/tasks/729674/oneclick/2.Uxerdz_bacatragir_2024.docx?token=ab78b77f582f36ad221c8d857b1fffd1</cp:keywords>
  <dc:description/>
  <cp:lastModifiedBy>Greta Adamyan</cp:lastModifiedBy>
  <cp:revision>5</cp:revision>
  <cp:lastPrinted>2023-12-08T07:27:00Z</cp:lastPrinted>
  <dcterms:created xsi:type="dcterms:W3CDTF">2024-05-03T07:20:00Z</dcterms:created>
  <dcterms:modified xsi:type="dcterms:W3CDTF">2024-05-06T11:28:00Z</dcterms:modified>
</cp:coreProperties>
</file>